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13B45D2" w:rsidR="00B6527E" w:rsidRDefault="00DB2A16" w:rsidP="00224486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24486">
              <w:t>TWT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4BCA98C" w:rsidR="00B6527E" w:rsidRDefault="00B6527E" w:rsidP="00DD62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DD6227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CA7451">
              <w:rPr>
                <w:b w:val="0"/>
                <w:sz w:val="20"/>
              </w:rPr>
              <w:t>22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5762A" w14:paraId="663C711F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E5801F" w14:textId="2475DB5C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530" w:type="dxa"/>
            <w:vAlign w:val="center"/>
          </w:tcPr>
          <w:p w14:paraId="4D70F13D" w14:textId="7B4707B3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070" w:type="dxa"/>
            <w:vAlign w:val="center"/>
          </w:tcPr>
          <w:p w14:paraId="00E3920C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5668484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8F69199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5762A" w14:paraId="2ADD1F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37CCAA99" w14:textId="57FA0613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Yifan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Zhou</w:t>
            </w:r>
          </w:p>
        </w:tc>
        <w:tc>
          <w:tcPr>
            <w:tcW w:w="1530" w:type="dxa"/>
            <w:vAlign w:val="center"/>
          </w:tcPr>
          <w:p w14:paraId="41B97E7B" w14:textId="323E706A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070" w:type="dxa"/>
            <w:vAlign w:val="center"/>
          </w:tcPr>
          <w:p w14:paraId="043618CB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A61CAA3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A78D1C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0EBB82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7AA42EED" w14:textId="3355B708" w:rsidR="00A471EF" w:rsidRPr="004637EC" w:rsidRDefault="00F35E55" w:rsidP="00DD6227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1089</w:t>
                            </w:r>
                            <w:r w:rsidR="00A471EF" w:rsidRPr="004637EC">
                              <w:t xml:space="preserve">, </w:t>
                            </w:r>
                            <w:r>
                              <w:t>2014</w:t>
                            </w:r>
                          </w:p>
                          <w:p w14:paraId="7CB2A291" w14:textId="476F1FFE" w:rsidR="00A471EF" w:rsidRPr="0018471C" w:rsidRDefault="00A471EF" w:rsidP="009125C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0EBB82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0.4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7AA42EED" w14:textId="3355B708" w:rsidR="00A471EF" w:rsidRPr="004637EC" w:rsidRDefault="00F35E55" w:rsidP="00DD6227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1089</w:t>
                      </w:r>
                      <w:r w:rsidR="00A471EF" w:rsidRPr="004637EC">
                        <w:t xml:space="preserve">, </w:t>
                      </w:r>
                      <w:r>
                        <w:t>2014</w:t>
                      </w:r>
                    </w:p>
                    <w:p w14:paraId="7CB2A291" w14:textId="476F1FFE" w:rsidR="00A471EF" w:rsidRPr="0018471C" w:rsidRDefault="00A471EF" w:rsidP="009125C4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rFonts w:eastAsia="Malgun Gothic"/>
          <w:b/>
          <w:bCs/>
          <w:i/>
          <w:iCs/>
          <w:lang w:eastAsia="ko-K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427"/>
        <w:gridCol w:w="871"/>
        <w:gridCol w:w="864"/>
        <w:gridCol w:w="1658"/>
        <w:gridCol w:w="1417"/>
        <w:gridCol w:w="2409"/>
      </w:tblGrid>
      <w:tr w:rsidR="00224486" w:rsidRPr="00224486" w14:paraId="41B7020F" w14:textId="77777777" w:rsidTr="00F35E55">
        <w:trPr>
          <w:trHeight w:val="900"/>
        </w:trPr>
        <w:tc>
          <w:tcPr>
            <w:tcW w:w="704" w:type="dxa"/>
            <w:hideMark/>
          </w:tcPr>
          <w:p w14:paraId="562A00DB" w14:textId="77777777" w:rsidR="00224486" w:rsidRPr="00224486" w:rsidRDefault="00224486" w:rsidP="00224486">
            <w:pPr>
              <w:rPr>
                <w:rFonts w:eastAsia="Malgun Gothic"/>
                <w:b/>
                <w:bCs/>
                <w:i/>
                <w:iCs/>
                <w:lang w:val="en-US"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CID</w:t>
            </w:r>
          </w:p>
        </w:tc>
        <w:tc>
          <w:tcPr>
            <w:tcW w:w="1427" w:type="dxa"/>
            <w:hideMark/>
          </w:tcPr>
          <w:p w14:paraId="246FA9AD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Commenter</w:t>
            </w:r>
          </w:p>
        </w:tc>
        <w:tc>
          <w:tcPr>
            <w:tcW w:w="871" w:type="dxa"/>
            <w:hideMark/>
          </w:tcPr>
          <w:p w14:paraId="6ACD1CB3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Page</w:t>
            </w:r>
          </w:p>
        </w:tc>
        <w:tc>
          <w:tcPr>
            <w:tcW w:w="864" w:type="dxa"/>
            <w:hideMark/>
          </w:tcPr>
          <w:p w14:paraId="59D2EA79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Clause</w:t>
            </w:r>
          </w:p>
        </w:tc>
        <w:tc>
          <w:tcPr>
            <w:tcW w:w="1658" w:type="dxa"/>
            <w:hideMark/>
          </w:tcPr>
          <w:p w14:paraId="0B7A1015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Comment</w:t>
            </w:r>
          </w:p>
        </w:tc>
        <w:tc>
          <w:tcPr>
            <w:tcW w:w="1417" w:type="dxa"/>
            <w:hideMark/>
          </w:tcPr>
          <w:p w14:paraId="64C7AD39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Proposed Change</w:t>
            </w:r>
          </w:p>
        </w:tc>
        <w:tc>
          <w:tcPr>
            <w:tcW w:w="2409" w:type="dxa"/>
            <w:hideMark/>
          </w:tcPr>
          <w:p w14:paraId="5B4D5B5E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Resolution</w:t>
            </w:r>
          </w:p>
        </w:tc>
      </w:tr>
      <w:tr w:rsidR="00224486" w:rsidRPr="00224486" w14:paraId="591C673F" w14:textId="77777777" w:rsidTr="00F35E55">
        <w:trPr>
          <w:trHeight w:val="1785"/>
        </w:trPr>
        <w:tc>
          <w:tcPr>
            <w:tcW w:w="704" w:type="dxa"/>
            <w:hideMark/>
          </w:tcPr>
          <w:p w14:paraId="24D6DC48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1089</w:t>
            </w:r>
          </w:p>
        </w:tc>
        <w:tc>
          <w:tcPr>
            <w:tcW w:w="1427" w:type="dxa"/>
            <w:hideMark/>
          </w:tcPr>
          <w:p w14:paraId="61CD8009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 xml:space="preserve">Alfred </w:t>
            </w:r>
            <w:proofErr w:type="spellStart"/>
            <w:r w:rsidRPr="00224486">
              <w:rPr>
                <w:rFonts w:eastAsia="Malgun Gothic"/>
                <w:bCs/>
                <w:iCs/>
                <w:lang w:eastAsia="ko-KR"/>
              </w:rPr>
              <w:t>Asterjadhi</w:t>
            </w:r>
            <w:proofErr w:type="spellEnd"/>
          </w:p>
        </w:tc>
        <w:tc>
          <w:tcPr>
            <w:tcW w:w="871" w:type="dxa"/>
            <w:hideMark/>
          </w:tcPr>
          <w:p w14:paraId="23B5B6DB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146.58</w:t>
            </w:r>
          </w:p>
        </w:tc>
        <w:tc>
          <w:tcPr>
            <w:tcW w:w="864" w:type="dxa"/>
            <w:hideMark/>
          </w:tcPr>
          <w:p w14:paraId="0D34C461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35.6</w:t>
            </w:r>
          </w:p>
        </w:tc>
        <w:tc>
          <w:tcPr>
            <w:tcW w:w="1658" w:type="dxa"/>
            <w:hideMark/>
          </w:tcPr>
          <w:p w14:paraId="3C5E8864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 xml:space="preserve">Please expand TWT operation protocol </w:t>
            </w:r>
            <w:proofErr w:type="spellStart"/>
            <w:r w:rsidRPr="00224486">
              <w:rPr>
                <w:rFonts w:eastAsia="Malgun Gothic"/>
                <w:bCs/>
                <w:iCs/>
                <w:lang w:eastAsia="ko-KR"/>
              </w:rPr>
              <w:t>subclause</w:t>
            </w:r>
            <w:proofErr w:type="spellEnd"/>
            <w:r w:rsidRPr="00224486">
              <w:rPr>
                <w:rFonts w:eastAsia="Malgun Gothic"/>
                <w:bCs/>
                <w:iCs/>
                <w:lang w:eastAsia="ko-KR"/>
              </w:rPr>
              <w:t xml:space="preserve"> to cover the new variant "restricted TW" and how TWTs for each link are negotiated independently. Add necessary capability bits and MIB variables.</w:t>
            </w:r>
          </w:p>
        </w:tc>
        <w:tc>
          <w:tcPr>
            <w:tcW w:w="1417" w:type="dxa"/>
            <w:hideMark/>
          </w:tcPr>
          <w:p w14:paraId="11A3454A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As in comment.</w:t>
            </w:r>
          </w:p>
        </w:tc>
        <w:tc>
          <w:tcPr>
            <w:tcW w:w="2409" w:type="dxa"/>
            <w:hideMark/>
          </w:tcPr>
          <w:p w14:paraId="33C678AD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Revised-</w:t>
            </w:r>
          </w:p>
          <w:p w14:paraId="60104C67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037AB346" w14:textId="0F0990C7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>
              <w:rPr>
                <w:rFonts w:eastAsia="Malgun Gothic"/>
                <w:bCs/>
                <w:iCs/>
                <w:lang w:eastAsia="ko-KR"/>
              </w:rPr>
              <w:t>Agree with the commenter in principal.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The new variant “restricted TWT”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>
              <w:rPr>
                <w:rFonts w:eastAsia="Malgun Gothic"/>
                <w:bCs/>
                <w:iCs/>
                <w:lang w:eastAsia="ko-KR"/>
              </w:rPr>
              <w:t>and</w:t>
            </w:r>
            <w:r>
              <w:rPr>
                <w:rFonts w:eastAsiaTheme="minorEastAsia" w:hint="eastAsia"/>
                <w:bCs/>
                <w:iCs/>
                <w:lang w:eastAsia="zh-CN"/>
              </w:rPr>
              <w:t xml:space="preserve"> </w:t>
            </w:r>
            <w:r>
              <w:rPr>
                <w:rFonts w:eastAsiaTheme="minorEastAsia"/>
                <w:bCs/>
                <w:iCs/>
                <w:lang w:eastAsia="zh-CN"/>
              </w:rPr>
              <w:t>its operation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ha</w:t>
            </w:r>
            <w:r>
              <w:rPr>
                <w:rFonts w:eastAsia="Malgun Gothic"/>
                <w:bCs/>
                <w:iCs/>
                <w:lang w:eastAsia="ko-KR"/>
              </w:rPr>
              <w:t>ve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be </w:t>
            </w:r>
            <w:r>
              <w:rPr>
                <w:rFonts w:eastAsia="Malgun Gothic"/>
                <w:bCs/>
                <w:iCs/>
                <w:lang w:eastAsia="ko-KR"/>
              </w:rPr>
              <w:t>resolved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 w:rsidRPr="00F35E55">
              <w:rPr>
                <w:rFonts w:eastAsia="Malgun Gothic"/>
                <w:bCs/>
                <w:iCs/>
                <w:lang w:eastAsia="ko-KR"/>
              </w:rPr>
              <w:t>in 11-21</w:t>
            </w:r>
            <w:r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Pr="00F35E55">
              <w:rPr>
                <w:rFonts w:eastAsia="Malgun Gothic"/>
                <w:bCs/>
                <w:iCs/>
                <w:lang w:eastAsia="ko-KR"/>
              </w:rPr>
              <w:t>0</w:t>
            </w:r>
            <w:r>
              <w:rPr>
                <w:rFonts w:eastAsia="Malgun Gothic"/>
                <w:bCs/>
                <w:iCs/>
                <w:lang w:eastAsia="ko-KR"/>
              </w:rPr>
              <w:t>683</w:t>
            </w:r>
            <w:r w:rsidRPr="00F35E55">
              <w:rPr>
                <w:rFonts w:eastAsia="Malgun Gothic"/>
                <w:bCs/>
                <w:iCs/>
                <w:lang w:eastAsia="ko-KR"/>
              </w:rPr>
              <w:t>r</w:t>
            </w:r>
            <w:r>
              <w:rPr>
                <w:rFonts w:eastAsia="Malgun Gothic"/>
                <w:bCs/>
                <w:iCs/>
                <w:lang w:eastAsia="ko-KR"/>
              </w:rPr>
              <w:t xml:space="preserve">6, </w:t>
            </w:r>
            <w:r w:rsidRPr="00F35E55">
              <w:rPr>
                <w:rFonts w:eastAsia="Malgun Gothic"/>
                <w:bCs/>
                <w:iCs/>
                <w:lang w:eastAsia="ko-KR"/>
              </w:rPr>
              <w:t>11-21</w:t>
            </w:r>
            <w:r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Pr="00F35E55">
              <w:rPr>
                <w:rFonts w:eastAsia="Malgun Gothic"/>
                <w:bCs/>
                <w:iCs/>
                <w:lang w:eastAsia="ko-KR"/>
              </w:rPr>
              <w:t>0</w:t>
            </w:r>
            <w:r>
              <w:rPr>
                <w:rFonts w:eastAsia="Malgun Gothic"/>
                <w:bCs/>
                <w:iCs/>
                <w:lang w:eastAsia="ko-KR"/>
              </w:rPr>
              <w:t>462</w:t>
            </w:r>
            <w:r w:rsidRPr="00F35E55">
              <w:rPr>
                <w:rFonts w:eastAsia="Malgun Gothic"/>
                <w:bCs/>
                <w:iCs/>
                <w:lang w:eastAsia="ko-KR"/>
              </w:rPr>
              <w:t>r</w:t>
            </w:r>
            <w:r>
              <w:rPr>
                <w:rFonts w:eastAsia="Malgun Gothic"/>
                <w:bCs/>
                <w:iCs/>
                <w:lang w:eastAsia="ko-KR"/>
              </w:rPr>
              <w:t xml:space="preserve">7 and </w:t>
            </w:r>
            <w:r w:rsidRPr="00F35E55">
              <w:rPr>
                <w:rFonts w:eastAsia="Malgun Gothic"/>
                <w:bCs/>
                <w:iCs/>
                <w:lang w:eastAsia="ko-KR"/>
              </w:rPr>
              <w:t>11-21</w:t>
            </w:r>
            <w:r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Pr="00F35E55">
              <w:rPr>
                <w:rFonts w:eastAsia="Malgun Gothic"/>
                <w:bCs/>
                <w:iCs/>
                <w:lang w:eastAsia="ko-KR"/>
              </w:rPr>
              <w:t>0</w:t>
            </w:r>
            <w:r>
              <w:rPr>
                <w:rFonts w:eastAsia="Malgun Gothic"/>
                <w:bCs/>
                <w:iCs/>
                <w:lang w:eastAsia="ko-KR"/>
              </w:rPr>
              <w:t>142</w:t>
            </w:r>
            <w:r w:rsidRPr="00F35E55">
              <w:rPr>
                <w:rFonts w:eastAsia="Malgun Gothic"/>
                <w:bCs/>
                <w:iCs/>
                <w:lang w:eastAsia="ko-KR"/>
              </w:rPr>
              <w:t>r</w:t>
            </w:r>
            <w:r>
              <w:rPr>
                <w:rFonts w:eastAsia="Malgun Gothic"/>
                <w:bCs/>
                <w:iCs/>
                <w:lang w:eastAsia="ko-KR"/>
              </w:rPr>
              <w:t>9.</w:t>
            </w:r>
          </w:p>
          <w:p w14:paraId="431CA6BD" w14:textId="77777777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6C4FF72A" w14:textId="62E99C69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proofErr w:type="spellStart"/>
            <w:r>
              <w:rPr>
                <w:rFonts w:eastAsia="Malgun Gothic"/>
                <w:bCs/>
                <w:iCs/>
                <w:lang w:eastAsia="ko-KR"/>
              </w:rPr>
              <w:t>TGbe</w:t>
            </w:r>
            <w:proofErr w:type="spellEnd"/>
            <w:r w:rsidR="00F5762A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bookmarkStart w:id="0" w:name="_GoBack"/>
            <w:bookmarkEnd w:id="0"/>
            <w:r>
              <w:rPr>
                <w:rFonts w:eastAsia="Malgun Gothic"/>
                <w:bCs/>
                <w:iCs/>
                <w:lang w:eastAsia="ko-KR"/>
              </w:rPr>
              <w:t>editor</w:t>
            </w:r>
            <w:r>
              <w:rPr>
                <w:rFonts w:asciiTheme="minorEastAsia" w:eastAsiaTheme="minorEastAsia" w:hAnsiTheme="minorEastAsia" w:hint="eastAsia"/>
                <w:bCs/>
                <w:iCs/>
                <w:lang w:eastAsia="zh-CN"/>
              </w:rPr>
              <w:t>：</w:t>
            </w:r>
          </w:p>
          <w:p w14:paraId="3FA5DD02" w14:textId="52C9E7BD" w:rsidR="00224486" w:rsidRPr="00224486" w:rsidRDefault="00F35E55" w:rsidP="00F35E55">
            <w:pPr>
              <w:rPr>
                <w:rFonts w:eastAsia="Malgun Gothic" w:hint="eastAsia"/>
                <w:b/>
                <w:bCs/>
                <w:i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No further changes are needed to address this comment.</w:t>
            </w:r>
          </w:p>
        </w:tc>
      </w:tr>
      <w:tr w:rsidR="00224486" w:rsidRPr="00224486" w14:paraId="3F3662CC" w14:textId="77777777" w:rsidTr="00F35E55">
        <w:trPr>
          <w:trHeight w:val="1020"/>
        </w:trPr>
        <w:tc>
          <w:tcPr>
            <w:tcW w:w="704" w:type="dxa"/>
            <w:hideMark/>
          </w:tcPr>
          <w:p w14:paraId="31B1CDB4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2014</w:t>
            </w:r>
          </w:p>
        </w:tc>
        <w:tc>
          <w:tcPr>
            <w:tcW w:w="1427" w:type="dxa"/>
            <w:hideMark/>
          </w:tcPr>
          <w:p w14:paraId="0D2D48DC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JINYOUNG CHUN</w:t>
            </w:r>
          </w:p>
        </w:tc>
        <w:tc>
          <w:tcPr>
            <w:tcW w:w="871" w:type="dxa"/>
            <w:hideMark/>
          </w:tcPr>
          <w:p w14:paraId="1D50EAED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146.58</w:t>
            </w:r>
          </w:p>
        </w:tc>
        <w:tc>
          <w:tcPr>
            <w:tcW w:w="864" w:type="dxa"/>
            <w:hideMark/>
          </w:tcPr>
          <w:p w14:paraId="4451591E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35.6</w:t>
            </w:r>
          </w:p>
        </w:tc>
        <w:tc>
          <w:tcPr>
            <w:tcW w:w="1658" w:type="dxa"/>
            <w:hideMark/>
          </w:tcPr>
          <w:p w14:paraId="7FD4B7A0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We need to define TWT operation for EHT</w:t>
            </w:r>
          </w:p>
        </w:tc>
        <w:tc>
          <w:tcPr>
            <w:tcW w:w="1417" w:type="dxa"/>
            <w:hideMark/>
          </w:tcPr>
          <w:p w14:paraId="1E956C43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Fill the section</w:t>
            </w:r>
          </w:p>
        </w:tc>
        <w:tc>
          <w:tcPr>
            <w:tcW w:w="2409" w:type="dxa"/>
            <w:hideMark/>
          </w:tcPr>
          <w:p w14:paraId="6208D0D3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Revised-</w:t>
            </w:r>
          </w:p>
          <w:p w14:paraId="43442563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206B6455" w14:textId="77777777" w:rsidR="00F5762A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>
              <w:rPr>
                <w:rFonts w:eastAsia="Malgun Gothic"/>
                <w:bCs/>
                <w:iCs/>
                <w:lang w:eastAsia="ko-KR"/>
              </w:rPr>
              <w:t xml:space="preserve">Agree with the commenter in principal. </w:t>
            </w:r>
            <w:r w:rsidRPr="00224486">
              <w:rPr>
                <w:rFonts w:eastAsia="Malgun Gothic"/>
                <w:bCs/>
                <w:iCs/>
                <w:lang w:eastAsia="ko-KR"/>
              </w:rPr>
              <w:t>TWT operation for EHT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has be defined </w:t>
            </w:r>
            <w:r w:rsidRPr="00F35E55">
              <w:rPr>
                <w:rFonts w:eastAsia="Malgun Gothic"/>
                <w:bCs/>
                <w:iCs/>
                <w:lang w:eastAsia="ko-KR"/>
              </w:rPr>
              <w:t>in 11-21</w:t>
            </w:r>
            <w:r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Pr="00F35E55">
              <w:rPr>
                <w:rFonts w:eastAsia="Malgun Gothic"/>
                <w:bCs/>
                <w:iCs/>
                <w:lang w:eastAsia="ko-KR"/>
              </w:rPr>
              <w:t>0080r7</w:t>
            </w:r>
            <w:r>
              <w:rPr>
                <w:rFonts w:eastAsia="Malgun Gothic"/>
                <w:bCs/>
                <w:iCs/>
                <w:lang w:eastAsia="ko-KR"/>
              </w:rPr>
              <w:t>.</w:t>
            </w:r>
          </w:p>
          <w:p w14:paraId="15231174" w14:textId="77777777" w:rsidR="00F5762A" w:rsidRDefault="00F5762A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69D2AC1F" w14:textId="3F20A869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proofErr w:type="spellStart"/>
            <w:r>
              <w:rPr>
                <w:rFonts w:eastAsia="Malgun Gothic"/>
                <w:bCs/>
                <w:iCs/>
                <w:lang w:eastAsia="ko-KR"/>
              </w:rPr>
              <w:t>TGbe</w:t>
            </w:r>
            <w:proofErr w:type="spellEnd"/>
            <w:r w:rsidR="00F5762A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>
              <w:rPr>
                <w:rFonts w:eastAsia="Malgun Gothic"/>
                <w:bCs/>
                <w:iCs/>
                <w:lang w:eastAsia="ko-KR"/>
              </w:rPr>
              <w:t>editor</w:t>
            </w:r>
            <w:r>
              <w:rPr>
                <w:rFonts w:asciiTheme="minorEastAsia" w:eastAsiaTheme="minorEastAsia" w:hAnsiTheme="minorEastAsia" w:hint="eastAsia"/>
                <w:bCs/>
                <w:iCs/>
                <w:lang w:eastAsia="zh-CN"/>
              </w:rPr>
              <w:t>：</w:t>
            </w:r>
          </w:p>
          <w:p w14:paraId="656718FC" w14:textId="00BE572D" w:rsidR="00224486" w:rsidRPr="00224486" w:rsidRDefault="00F35E55" w:rsidP="00F35E55">
            <w:pPr>
              <w:rPr>
                <w:rFonts w:eastAsia="Malgun Gothic" w:hint="eastAsia"/>
                <w:b/>
                <w:bCs/>
                <w:i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No further changes are needed to address this comment.</w:t>
            </w:r>
          </w:p>
        </w:tc>
      </w:tr>
    </w:tbl>
    <w:p w14:paraId="4B00E07C" w14:textId="77777777" w:rsidR="00224486" w:rsidRDefault="00224486" w:rsidP="00AA56F8">
      <w:pPr>
        <w:rPr>
          <w:rFonts w:eastAsia="Malgun Gothic"/>
          <w:b/>
          <w:bCs/>
          <w:i/>
          <w:iCs/>
          <w:lang w:eastAsia="ko-KR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bookmarkStart w:id="1" w:name="RTF35383035323a2048342c312e"/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1"/>
    </w:p>
    <w:sectPr w:rsidR="00EE5D9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11CC" w16cex:dateUtc="2021-04-19T06:27:00Z"/>
  <w16cex:commentExtensible w16cex:durableId="24281158" w16cex:dateUtc="2021-04-19T06:25:00Z"/>
  <w16cex:commentExtensible w16cex:durableId="24216240" w16cex:dateUtc="2021-04-14T04:44:00Z"/>
  <w16cex:commentExtensible w16cex:durableId="241B011F" w16cex:dateUtc="2021-04-0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5FA8C" w16cid:durableId="242811CC"/>
  <w16cid:commentId w16cid:paraId="4F04E5D3" w16cid:durableId="24281158"/>
  <w16cid:commentId w16cid:paraId="7F914A56" w16cid:durableId="24216240"/>
  <w16cid:commentId w16cid:paraId="77E2AC8B" w16cid:durableId="241B0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0150" w14:textId="77777777" w:rsidR="008B7037" w:rsidRDefault="008B7037">
      <w:r>
        <w:separator/>
      </w:r>
    </w:p>
  </w:endnote>
  <w:endnote w:type="continuationSeparator" w:id="0">
    <w:p w14:paraId="08EBF37D" w14:textId="77777777" w:rsidR="008B7037" w:rsidRDefault="008B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B21A55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A471EF">
        <w:t>Submission</w:t>
      </w:r>
    </w:fldSimple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F5762A">
      <w:rPr>
        <w:noProof/>
      </w:rPr>
      <w:t>2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1B7B1" w14:textId="77777777" w:rsidR="008B7037" w:rsidRDefault="008B7037">
      <w:r>
        <w:separator/>
      </w:r>
    </w:p>
  </w:footnote>
  <w:footnote w:type="continuationSeparator" w:id="0">
    <w:p w14:paraId="21CD329D" w14:textId="77777777" w:rsidR="008B7037" w:rsidRDefault="008B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14271C98" w:rsidR="00A471EF" w:rsidRDefault="00A471EF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April</w:t>
    </w:r>
    <w:r>
      <w:t xml:space="preserve">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="000B752C" w:rsidRPr="000B752C">
      <w:rPr>
        <w:bCs/>
        <w:lang w:eastAsia="zh-CN"/>
      </w:rPr>
      <w:t>0825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52C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48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3ED6"/>
    <w:rsid w:val="00474174"/>
    <w:rsid w:val="00474AE0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3462"/>
    <w:rsid w:val="00695205"/>
    <w:rsid w:val="006963B9"/>
    <w:rsid w:val="006967E6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B7037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78EF"/>
    <w:rsid w:val="00B17EB0"/>
    <w:rsid w:val="00B20CB5"/>
    <w:rsid w:val="00B20DB6"/>
    <w:rsid w:val="00B21A55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2FB1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35E55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2A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E815823-B082-4D5A-A44E-9B6926E1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5</cp:revision>
  <cp:lastPrinted>2014-09-06T06:13:00Z</cp:lastPrinted>
  <dcterms:created xsi:type="dcterms:W3CDTF">2021-05-12T09:02:00Z</dcterms:created>
  <dcterms:modified xsi:type="dcterms:W3CDTF">2021-05-12T09:16:00Z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(3)vqj67VeNTpW01flp4rH9UwBfHT2dV9kKi0WLVEoAm9aeY7dWIfOz9w4x85x3Sc+4H8lRKIeN
gGaKx3N1buwAaNrT+xROnUC8dUJELo8uX8kcKuvdU0Wgc+pwcS8GYFM0H/Z6xIzDo9EtoV5P
cczfMjCtc23aOQf2SCRjB/nR5FZlGTxgp9/d/HhIY6QrduazHhy0hmBtb8UUiEtlEl+KG0YY
x2iRhI+tMK9Kexnd4i</vt:lpwstr>
  </property>
  <property fmtid="{D5CDD505-2E9C-101B-9397-08002B2CF9AE}" pid="7" name="_2015_ms_pID_7253431">
    <vt:lpwstr>HYKKfRbbSaD2sCLw4kg4aAm+zb9RcPcD3bnOUS2y6lKK9E9hcN4Lds
DyGwDnhk41ZksI7+GPyPueEQGrXLsDKiCZE/iYYNQAAY2SGZO2c1HvS71pfYcFydBbHLlj2v
e75D3DFDS+BnIpDwZLW1QrJbwDqhaMaxxWBellSSnIzt8Xv3A/JyfNotW49eO0I6liDIn6ey
Wt5ybXJUgE8v4fc/HjXBpOhdy2pigywAneW8</vt:lpwstr>
  </property>
  <property fmtid="{D5CDD505-2E9C-101B-9397-08002B2CF9AE}" pid="8" name="CTPClassification">
    <vt:lpwstr>CTP_IC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1619479382</vt:lpwstr>
  </property>
  <property fmtid="{D5CDD505-2E9C-101B-9397-08002B2CF9AE}" pid="13" name="_2015_ms_pID_7253432">
    <vt:lpwstr>Zx5a8WAYWVZDVIe0XaMnkZw=</vt:lpwstr>
  </property>
</Properties>
</file>