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154374">
        <w:tblPrEx>
          <w:tblCellMar>
            <w:top w:w="0" w:type="dxa"/>
            <w:bottom w:w="0" w:type="dxa"/>
          </w:tblCellMar>
        </w:tblPrEx>
        <w:trPr>
          <w:trHeight w:val="485"/>
          <w:jc w:val="center"/>
        </w:trPr>
        <w:tc>
          <w:tcPr>
            <w:tcW w:w="9576" w:type="dxa"/>
            <w:gridSpan w:val="5"/>
            <w:vAlign w:val="center"/>
          </w:tcPr>
          <w:p w:rsidR="00CA09B2" w:rsidRDefault="008E67BC" w:rsidP="00154374">
            <w:pPr>
              <w:pStyle w:val="T2"/>
            </w:pPr>
            <w:r>
              <w:t>C</w:t>
            </w:r>
            <w:r w:rsidR="00154374">
              <w:t>ommuni</w:t>
            </w:r>
            <w:r>
              <w:t>cation from WFA Hotspot T</w:t>
            </w:r>
            <w:r w:rsidR="00154374">
              <w:t>ask Group</w:t>
            </w:r>
            <w:r>
              <w:t xml:space="preserve"> re: ANQP</w:t>
            </w:r>
          </w:p>
        </w:tc>
      </w:tr>
      <w:tr w:rsidR="00CA09B2" w:rsidTr="00154374">
        <w:tblPrEx>
          <w:tblCellMar>
            <w:top w:w="0" w:type="dxa"/>
            <w:bottom w:w="0" w:type="dxa"/>
          </w:tblCellMar>
        </w:tblPrEx>
        <w:trPr>
          <w:trHeight w:val="359"/>
          <w:jc w:val="center"/>
        </w:trPr>
        <w:tc>
          <w:tcPr>
            <w:tcW w:w="9576" w:type="dxa"/>
            <w:gridSpan w:val="5"/>
            <w:vAlign w:val="center"/>
          </w:tcPr>
          <w:p w:rsidR="00CA09B2" w:rsidRDefault="00CA09B2" w:rsidP="008E67BC">
            <w:pPr>
              <w:pStyle w:val="T2"/>
              <w:ind w:left="0"/>
              <w:rPr>
                <w:sz w:val="20"/>
              </w:rPr>
            </w:pPr>
            <w:r>
              <w:rPr>
                <w:sz w:val="20"/>
              </w:rPr>
              <w:t>Date:</w:t>
            </w:r>
            <w:r>
              <w:rPr>
                <w:b w:val="0"/>
                <w:sz w:val="20"/>
              </w:rPr>
              <w:t xml:space="preserve">  </w:t>
            </w:r>
            <w:r w:rsidR="008E67BC">
              <w:rPr>
                <w:b w:val="0"/>
                <w:sz w:val="20"/>
              </w:rPr>
              <w:t>2021-05-07</w:t>
            </w:r>
          </w:p>
        </w:tc>
      </w:tr>
      <w:tr w:rsidR="00CA09B2" w:rsidTr="00154374">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54374">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54374" w:rsidTr="00154374">
        <w:tblPrEx>
          <w:tblCellMar>
            <w:top w:w="0" w:type="dxa"/>
            <w:bottom w:w="0" w:type="dxa"/>
          </w:tblCellMar>
        </w:tblPrEx>
        <w:trPr>
          <w:jc w:val="center"/>
        </w:trPr>
        <w:tc>
          <w:tcPr>
            <w:tcW w:w="1336" w:type="dxa"/>
            <w:vAlign w:val="center"/>
          </w:tcPr>
          <w:p w:rsidR="00154374" w:rsidRDefault="00154374" w:rsidP="00154374">
            <w:pPr>
              <w:pStyle w:val="T2"/>
              <w:spacing w:after="0"/>
              <w:ind w:left="0" w:right="0"/>
              <w:rPr>
                <w:b w:val="0"/>
                <w:sz w:val="20"/>
              </w:rPr>
            </w:pPr>
            <w:r>
              <w:rPr>
                <w:b w:val="0"/>
                <w:sz w:val="20"/>
              </w:rPr>
              <w:t>Dorothy Stanley</w:t>
            </w:r>
          </w:p>
        </w:tc>
        <w:tc>
          <w:tcPr>
            <w:tcW w:w="2064" w:type="dxa"/>
            <w:vAlign w:val="center"/>
          </w:tcPr>
          <w:p w:rsidR="00154374" w:rsidRDefault="00154374" w:rsidP="00154374">
            <w:pPr>
              <w:pStyle w:val="T2"/>
              <w:spacing w:after="0"/>
              <w:ind w:left="0" w:right="0"/>
              <w:rPr>
                <w:b w:val="0"/>
                <w:sz w:val="20"/>
              </w:rPr>
            </w:pPr>
            <w:r>
              <w:rPr>
                <w:b w:val="0"/>
                <w:sz w:val="20"/>
              </w:rPr>
              <w:t>Hewlett Packard Enterprise</w:t>
            </w:r>
          </w:p>
        </w:tc>
        <w:tc>
          <w:tcPr>
            <w:tcW w:w="2814" w:type="dxa"/>
            <w:vAlign w:val="center"/>
          </w:tcPr>
          <w:p w:rsidR="00154374" w:rsidRDefault="00154374" w:rsidP="00154374">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154374" w:rsidRDefault="00154374" w:rsidP="00154374">
            <w:pPr>
              <w:pStyle w:val="T2"/>
              <w:spacing w:after="0"/>
              <w:ind w:left="0" w:right="0"/>
              <w:rPr>
                <w:b w:val="0"/>
                <w:sz w:val="20"/>
              </w:rPr>
            </w:pPr>
            <w:r>
              <w:rPr>
                <w:b w:val="0"/>
                <w:sz w:val="20"/>
              </w:rPr>
              <w:t>+1 630-363-1389</w:t>
            </w:r>
          </w:p>
        </w:tc>
        <w:tc>
          <w:tcPr>
            <w:tcW w:w="1647" w:type="dxa"/>
            <w:vAlign w:val="center"/>
          </w:tcPr>
          <w:p w:rsidR="00154374" w:rsidRDefault="00154374" w:rsidP="00154374">
            <w:pPr>
              <w:pStyle w:val="T2"/>
              <w:spacing w:after="0"/>
              <w:ind w:left="0" w:right="0"/>
              <w:rPr>
                <w:b w:val="0"/>
                <w:sz w:val="16"/>
              </w:rPr>
            </w:pPr>
            <w:hyperlink r:id="rId6" w:history="1">
              <w:r w:rsidRPr="00221F21">
                <w:rPr>
                  <w:rStyle w:val="Hyperlink"/>
                  <w:b w:val="0"/>
                  <w:sz w:val="16"/>
                </w:rPr>
                <w:t>dstanley@ieee.org</w:t>
              </w:r>
            </w:hyperlink>
            <w:r>
              <w:rPr>
                <w:b w:val="0"/>
                <w:sz w:val="16"/>
              </w:rPr>
              <w:t xml:space="preserve"> </w:t>
            </w:r>
          </w:p>
        </w:tc>
      </w:tr>
      <w:tr w:rsidR="00CA09B2" w:rsidTr="00154374">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C39F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E67BC" w:rsidP="008E67BC">
                            <w:pPr>
                              <w:jc w:val="both"/>
                            </w:pPr>
                            <w:r w:rsidRPr="001C1675">
                              <w:t>T</w:t>
                            </w:r>
                            <w:r>
                              <w:t>his document contains a</w:t>
                            </w:r>
                            <w:r>
                              <w:t>n email communication</w:t>
                            </w:r>
                            <w:r>
                              <w:t xml:space="preserve"> received from the </w:t>
                            </w:r>
                            <w:r>
                              <w:t xml:space="preserve">WFA 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E67BC" w:rsidP="008E67BC">
                      <w:pPr>
                        <w:jc w:val="both"/>
                      </w:pPr>
                      <w:r w:rsidRPr="001C1675">
                        <w:t>T</w:t>
                      </w:r>
                      <w:r>
                        <w:t>his document contains a</w:t>
                      </w:r>
                      <w:r>
                        <w:t>n email communication</w:t>
                      </w:r>
                      <w:r>
                        <w:t xml:space="preserve"> received from the </w:t>
                      </w:r>
                      <w:r>
                        <w:t xml:space="preserve">WFA 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t>.</w:t>
                      </w:r>
                      <w:r>
                        <w:t xml:space="preserve"> </w:t>
                      </w:r>
                    </w:p>
                  </w:txbxContent>
                </v:textbox>
              </v:shape>
            </w:pict>
          </mc:Fallback>
        </mc:AlternateContent>
      </w:r>
    </w:p>
    <w:p w:rsidR="00CA09B2" w:rsidRDefault="00CA09B2" w:rsidP="008E67BC">
      <w:r>
        <w:br w:type="page"/>
      </w:r>
    </w:p>
    <w:tbl>
      <w:tblPr>
        <w:tblpPr w:leftFromText="180" w:rightFromText="180" w:vertAnchor="page" w:horzAnchor="margin" w:tblpY="1276"/>
        <w:tblW w:w="5000" w:type="pct"/>
        <w:tblCellSpacing w:w="0" w:type="dxa"/>
        <w:tblCellMar>
          <w:left w:w="0" w:type="dxa"/>
          <w:right w:w="0" w:type="dxa"/>
        </w:tblCellMar>
        <w:tblLook w:val="04A0" w:firstRow="1" w:lastRow="0" w:firstColumn="1" w:lastColumn="0" w:noHBand="0" w:noVBand="1"/>
      </w:tblPr>
      <w:tblGrid>
        <w:gridCol w:w="5610"/>
        <w:gridCol w:w="3750"/>
      </w:tblGrid>
      <w:tr w:rsidR="002B3664" w:rsidRPr="008E67BC" w:rsidTr="002B3664">
        <w:trPr>
          <w:tblCellSpacing w:w="0" w:type="dxa"/>
        </w:trPr>
        <w:tc>
          <w:tcPr>
            <w:tcW w:w="0" w:type="auto"/>
            <w:vAlign w:val="center"/>
            <w:hideMark/>
          </w:tcPr>
          <w:p w:rsidR="002B3664" w:rsidRPr="008E67BC" w:rsidRDefault="002B3664" w:rsidP="002B3664">
            <w:pPr>
              <w:rPr>
                <w:rFonts w:asciiTheme="minorHAnsi" w:hAnsiTheme="minorHAnsi" w:cstheme="minorHAnsi"/>
                <w:szCs w:val="22"/>
                <w:lang w:eastAsia="en-GB"/>
              </w:rPr>
            </w:pPr>
            <w:r w:rsidRPr="008E67BC">
              <w:rPr>
                <w:rFonts w:asciiTheme="minorHAnsi" w:hAnsiTheme="minorHAnsi" w:cstheme="minorHAnsi"/>
                <w:b/>
                <w:bCs/>
                <w:szCs w:val="22"/>
                <w:lang w:eastAsia="en-GB"/>
              </w:rPr>
              <w:lastRenderedPageBreak/>
              <w:t xml:space="preserve">Susan </w:t>
            </w:r>
            <w:proofErr w:type="spellStart"/>
            <w:r w:rsidRPr="008E67BC">
              <w:rPr>
                <w:rFonts w:asciiTheme="minorHAnsi" w:hAnsiTheme="minorHAnsi" w:cstheme="minorHAnsi"/>
                <w:b/>
                <w:bCs/>
                <w:szCs w:val="22"/>
                <w:lang w:eastAsia="en-GB"/>
              </w:rPr>
              <w:t>Silveira</w:t>
            </w:r>
            <w:proofErr w:type="spellEnd"/>
            <w:r w:rsidRPr="008E67BC">
              <w:rPr>
                <w:rFonts w:asciiTheme="minorHAnsi" w:hAnsiTheme="minorHAnsi" w:cstheme="minorHAnsi"/>
                <w:b/>
                <w:bCs/>
                <w:szCs w:val="22"/>
                <w:lang w:eastAsia="en-GB"/>
              </w:rPr>
              <w:t xml:space="preserve"> </w:t>
            </w:r>
            <w:r w:rsidRPr="008E67BC">
              <w:rPr>
                <w:rFonts w:asciiTheme="minorHAnsi" w:hAnsiTheme="minorHAnsi" w:cstheme="minorHAnsi"/>
                <w:szCs w:val="22"/>
                <w:lang w:eastAsia="en-GB"/>
              </w:rPr>
              <w:t>&lt;ssilveira@wi-fi.org&gt;</w:t>
            </w:r>
          </w:p>
        </w:tc>
        <w:tc>
          <w:tcPr>
            <w:tcW w:w="0" w:type="auto"/>
            <w:vAlign w:val="center"/>
            <w:hideMark/>
          </w:tcPr>
          <w:p w:rsidR="002B3664" w:rsidRPr="008E67BC" w:rsidRDefault="002B3664" w:rsidP="002B3664">
            <w:pPr>
              <w:jc w:val="right"/>
              <w:rPr>
                <w:rFonts w:asciiTheme="minorHAnsi" w:hAnsiTheme="minorHAnsi" w:cstheme="minorHAnsi"/>
                <w:szCs w:val="22"/>
                <w:lang w:eastAsia="en-GB"/>
              </w:rPr>
            </w:pPr>
            <w:r w:rsidRPr="008E67BC">
              <w:rPr>
                <w:rFonts w:asciiTheme="minorHAnsi" w:hAnsiTheme="minorHAnsi" w:cstheme="minorHAnsi"/>
                <w:szCs w:val="22"/>
                <w:lang w:eastAsia="en-GB"/>
              </w:rPr>
              <w:t>Thu, Apr 29, 2021 at 5:21 PM</w:t>
            </w:r>
          </w:p>
        </w:tc>
      </w:tr>
      <w:tr w:rsidR="002B3664" w:rsidRPr="008E67BC" w:rsidTr="002B3664">
        <w:trPr>
          <w:tblCellSpacing w:w="0" w:type="dxa"/>
        </w:trPr>
        <w:tc>
          <w:tcPr>
            <w:tcW w:w="0" w:type="auto"/>
            <w:gridSpan w:val="2"/>
            <w:tcMar>
              <w:top w:w="0" w:type="dxa"/>
              <w:left w:w="0" w:type="dxa"/>
              <w:bottom w:w="60" w:type="dxa"/>
              <w:right w:w="0" w:type="dxa"/>
            </w:tcMar>
            <w:vAlign w:val="center"/>
            <w:hideMark/>
          </w:tcPr>
          <w:p w:rsidR="002B3664" w:rsidRPr="008E67BC" w:rsidRDefault="002B3664" w:rsidP="002B3664">
            <w:pPr>
              <w:rPr>
                <w:rFonts w:asciiTheme="minorHAnsi" w:hAnsiTheme="minorHAnsi" w:cstheme="minorHAnsi"/>
                <w:szCs w:val="22"/>
                <w:lang w:eastAsia="en-GB"/>
              </w:rPr>
            </w:pPr>
            <w:r w:rsidRPr="008E67BC">
              <w:rPr>
                <w:rFonts w:asciiTheme="minorHAnsi" w:hAnsiTheme="minorHAnsi" w:cstheme="minorHAnsi"/>
                <w:szCs w:val="22"/>
                <w:lang w:eastAsia="en-GB"/>
              </w:rPr>
              <w:t>To: "dstanley@ieee.org" &lt;dstanley@ieee.org&gt;</w:t>
            </w:r>
          </w:p>
          <w:p w:rsidR="002B3664" w:rsidRDefault="002B3664" w:rsidP="002B3664">
            <w:pPr>
              <w:rPr>
                <w:rFonts w:asciiTheme="minorHAnsi" w:hAnsiTheme="minorHAnsi" w:cstheme="minorHAnsi"/>
                <w:szCs w:val="22"/>
                <w:lang w:eastAsia="en-GB"/>
              </w:rPr>
            </w:pPr>
            <w:r w:rsidRPr="008E67BC">
              <w:rPr>
                <w:rFonts w:asciiTheme="minorHAnsi" w:hAnsiTheme="minorHAnsi" w:cstheme="minorHAnsi"/>
                <w:szCs w:val="22"/>
                <w:lang w:eastAsia="en-GB"/>
              </w:rPr>
              <w:t>Cc: "montemurro.michael@gmail.com" &lt;montemurro.michael@gmail.com</w:t>
            </w:r>
            <w:bookmarkStart w:id="0" w:name="_GoBack"/>
            <w:bookmarkEnd w:id="0"/>
            <w:r w:rsidRPr="008E67BC">
              <w:rPr>
                <w:rFonts w:asciiTheme="minorHAnsi" w:hAnsiTheme="minorHAnsi" w:cstheme="minorHAnsi"/>
                <w:szCs w:val="22"/>
                <w:lang w:eastAsia="en-GB"/>
              </w:rPr>
              <w:t xml:space="preserve">&gt;, Consuelo Ortiz </w:t>
            </w:r>
            <w:hyperlink r:id="rId7" w:history="1">
              <w:r w:rsidRPr="006323DD">
                <w:rPr>
                  <w:rStyle w:val="Hyperlink"/>
                  <w:rFonts w:asciiTheme="minorHAnsi" w:hAnsiTheme="minorHAnsi" w:cstheme="minorHAnsi"/>
                  <w:szCs w:val="22"/>
                  <w:lang w:eastAsia="en-GB"/>
                </w:rPr>
                <w:t>cortiz@wi-fi.org</w:t>
              </w:r>
            </w:hyperlink>
          </w:p>
          <w:tbl>
            <w:tblPr>
              <w:tblW w:w="0" w:type="auto"/>
              <w:tblCellSpacing w:w="15" w:type="dxa"/>
              <w:tblCellMar>
                <w:left w:w="0" w:type="dxa"/>
                <w:right w:w="0" w:type="dxa"/>
              </w:tblCellMar>
              <w:tblLook w:val="04A0" w:firstRow="1" w:lastRow="0" w:firstColumn="1" w:lastColumn="0" w:noHBand="0" w:noVBand="1"/>
            </w:tblPr>
            <w:tblGrid>
              <w:gridCol w:w="750"/>
              <w:gridCol w:w="3468"/>
            </w:tblGrid>
            <w:tr w:rsidR="002B3664" w:rsidRPr="002B3664" w:rsidTr="00256248">
              <w:trPr>
                <w:tblCellSpacing w:w="15" w:type="dxa"/>
              </w:trPr>
              <w:tc>
                <w:tcPr>
                  <w:tcW w:w="0" w:type="auto"/>
                  <w:vAlign w:val="center"/>
                  <w:hideMark/>
                </w:tcPr>
                <w:p w:rsidR="002B3664" w:rsidRPr="002B3664" w:rsidRDefault="002B3664" w:rsidP="002B3664">
                  <w:pPr>
                    <w:framePr w:hSpace="180" w:wrap="around" w:vAnchor="page" w:hAnchor="margin" w:y="1276"/>
                    <w:rPr>
                      <w:rFonts w:asciiTheme="minorHAnsi" w:hAnsiTheme="minorHAnsi" w:cstheme="minorHAnsi"/>
                      <w:szCs w:val="22"/>
                      <w:lang w:eastAsia="en-GB"/>
                    </w:rPr>
                  </w:pPr>
                  <w:r w:rsidRPr="002B3664">
                    <w:rPr>
                      <w:rFonts w:asciiTheme="minorHAnsi" w:hAnsiTheme="minorHAnsi" w:cstheme="minorHAnsi"/>
                      <w:szCs w:val="22"/>
                      <w:lang w:eastAsia="en-GB"/>
                    </w:rPr>
                    <w:t>subject:</w:t>
                  </w:r>
                </w:p>
              </w:tc>
              <w:tc>
                <w:tcPr>
                  <w:tcW w:w="0" w:type="auto"/>
                  <w:vAlign w:val="center"/>
                  <w:hideMark/>
                </w:tcPr>
                <w:p w:rsidR="002B3664" w:rsidRPr="002B3664" w:rsidRDefault="002B3664" w:rsidP="002B3664">
                  <w:pPr>
                    <w:framePr w:hSpace="180" w:wrap="around" w:vAnchor="page" w:hAnchor="margin" w:y="1276"/>
                    <w:rPr>
                      <w:rFonts w:asciiTheme="minorHAnsi" w:hAnsiTheme="minorHAnsi" w:cstheme="minorHAnsi"/>
                      <w:szCs w:val="22"/>
                      <w:lang w:eastAsia="en-GB"/>
                    </w:rPr>
                  </w:pPr>
                  <w:r w:rsidRPr="002B3664">
                    <w:rPr>
                      <w:rFonts w:asciiTheme="minorHAnsi" w:hAnsiTheme="minorHAnsi" w:cstheme="minorHAnsi"/>
                      <w:szCs w:val="22"/>
                      <w:lang w:eastAsia="en-GB"/>
                    </w:rPr>
                    <w:t xml:space="preserve">IEEE </w:t>
                  </w:r>
                  <w:proofErr w:type="spellStart"/>
                  <w:r w:rsidRPr="002B3664">
                    <w:rPr>
                      <w:rFonts w:asciiTheme="minorHAnsi" w:hAnsiTheme="minorHAnsi" w:cstheme="minorHAnsi"/>
                      <w:szCs w:val="22"/>
                      <w:lang w:eastAsia="en-GB"/>
                    </w:rPr>
                    <w:t>Std</w:t>
                  </w:r>
                  <w:proofErr w:type="spellEnd"/>
                  <w:r w:rsidRPr="002B3664">
                    <w:rPr>
                      <w:rFonts w:asciiTheme="minorHAnsi" w:hAnsiTheme="minorHAnsi" w:cstheme="minorHAnsi"/>
                      <w:szCs w:val="22"/>
                      <w:lang w:eastAsia="en-GB"/>
                    </w:rPr>
                    <w:t xml:space="preserve"> 802.11™-2020 ANQP features</w:t>
                  </w:r>
                </w:p>
              </w:tc>
            </w:tr>
          </w:tbl>
          <w:p w:rsidR="002B3664" w:rsidRPr="008E67BC" w:rsidRDefault="002B3664" w:rsidP="002B3664">
            <w:pPr>
              <w:rPr>
                <w:rFonts w:asciiTheme="minorHAnsi" w:hAnsiTheme="minorHAnsi" w:cstheme="minorHAnsi"/>
                <w:szCs w:val="22"/>
                <w:lang w:eastAsia="en-GB"/>
              </w:rPr>
            </w:pPr>
          </w:p>
        </w:tc>
      </w:tr>
      <w:tr w:rsidR="002B3664" w:rsidRPr="008E67BC" w:rsidTr="002B3664">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B3664" w:rsidRPr="008E67BC" w:rsidTr="00256248">
              <w:trPr>
                <w:tblCellSpacing w:w="0" w:type="dxa"/>
              </w:trPr>
              <w:tc>
                <w:tcPr>
                  <w:tcW w:w="0" w:type="auto"/>
                  <w:vAlign w:val="center"/>
                  <w:hideMark/>
                </w:tcPr>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Dear Dorothy,</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Wi-Fi Alliance member companies implement multiple features that use IEEE 802.11 Working Group defined ANQP signaling. We have found that some ANQP exchanges could be ambiguous, not fully expressing the expectations of the limit of a message or its response. We also found that additional messages could be used to express quantities that were not envisioned in the original design of ANQP.</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xml:space="preserve">We know that the IEEE 802.11 Working Group is developing a maintenance revision of IEEE </w:t>
                  </w:r>
                  <w:proofErr w:type="spellStart"/>
                  <w:r w:rsidRPr="008E67BC">
                    <w:rPr>
                      <w:rFonts w:asciiTheme="minorHAnsi" w:hAnsiTheme="minorHAnsi" w:cstheme="minorHAnsi"/>
                      <w:szCs w:val="22"/>
                      <w:lang w:val="en-US" w:eastAsia="en-GB"/>
                    </w:rPr>
                    <w:t>Std</w:t>
                  </w:r>
                  <w:proofErr w:type="spellEnd"/>
                  <w:r w:rsidRPr="008E67BC">
                    <w:rPr>
                      <w:rFonts w:asciiTheme="minorHAnsi" w:hAnsiTheme="minorHAnsi" w:cstheme="minorHAnsi"/>
                      <w:szCs w:val="22"/>
                      <w:lang w:val="en-US" w:eastAsia="en-GB"/>
                    </w:rPr>
                    <w:t xml:space="preserve"> 802.11™-2020 in the P802.11REVme project. We would like to express our support of clarifications and enhancements in clauses that concern ANQP, and request the following areas be investigated:</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w:t>
                  </w:r>
                </w:p>
                <w:p w:rsidR="002B3664" w:rsidRPr="008E67BC" w:rsidRDefault="002B3664" w:rsidP="002B3664">
                  <w:pPr>
                    <w:framePr w:hSpace="180" w:wrap="around" w:vAnchor="page" w:hAnchor="margin" w:y="1276"/>
                    <w:spacing w:before="100" w:beforeAutospacing="1"/>
                    <w:ind w:left="720"/>
                    <w:rPr>
                      <w:rFonts w:asciiTheme="minorHAnsi" w:hAnsiTheme="minorHAnsi" w:cstheme="minorHAnsi"/>
                      <w:szCs w:val="22"/>
                      <w:lang w:val="en-US" w:eastAsia="en-GB"/>
                    </w:rPr>
                  </w:pPr>
                  <w:r w:rsidRPr="008E67BC">
                    <w:rPr>
                      <w:rFonts w:asciiTheme="minorHAnsi" w:hAnsiTheme="minorHAnsi" w:cstheme="minorHAnsi"/>
                      <w:szCs w:val="22"/>
                      <w:lang w:val="en-US" w:eastAsia="en-GB"/>
                    </w:rPr>
                    <w:t>·         If an ANQP request includes a request for elements that the non-AP STA does not actually need;</w:t>
                  </w:r>
                </w:p>
                <w:p w:rsidR="002B3664" w:rsidRPr="008E67BC" w:rsidRDefault="002B3664" w:rsidP="002B3664">
                  <w:pPr>
                    <w:framePr w:hSpace="180" w:wrap="around" w:vAnchor="page" w:hAnchor="margin" w:y="1276"/>
                    <w:spacing w:before="100" w:beforeAutospacing="1"/>
                    <w:ind w:left="720"/>
                    <w:rPr>
                      <w:rFonts w:asciiTheme="minorHAnsi" w:hAnsiTheme="minorHAnsi" w:cstheme="minorHAnsi"/>
                      <w:szCs w:val="22"/>
                      <w:lang w:val="en-US" w:eastAsia="en-GB"/>
                    </w:rPr>
                  </w:pPr>
                  <w:r w:rsidRPr="008E67BC">
                    <w:rPr>
                      <w:rFonts w:asciiTheme="minorHAnsi" w:hAnsiTheme="minorHAnsi" w:cstheme="minorHAnsi"/>
                      <w:szCs w:val="22"/>
                      <w:lang w:val="en-US" w:eastAsia="en-GB"/>
                    </w:rPr>
                    <w:t>·         If an ANQP response includes ANQP elements beyond those that were requested;</w:t>
                  </w:r>
                </w:p>
                <w:p w:rsidR="002B3664" w:rsidRPr="008E67BC" w:rsidRDefault="002B3664" w:rsidP="002B3664">
                  <w:pPr>
                    <w:framePr w:hSpace="180" w:wrap="around" w:vAnchor="page" w:hAnchor="margin" w:y="1276"/>
                    <w:spacing w:before="100" w:beforeAutospacing="1"/>
                    <w:ind w:left="720"/>
                    <w:rPr>
                      <w:rFonts w:asciiTheme="minorHAnsi" w:hAnsiTheme="minorHAnsi" w:cstheme="minorHAnsi"/>
                      <w:szCs w:val="22"/>
                      <w:lang w:val="en-US" w:eastAsia="en-GB"/>
                    </w:rPr>
                  </w:pPr>
                  <w:r w:rsidRPr="008E67BC">
                    <w:rPr>
                      <w:rFonts w:asciiTheme="minorHAnsi" w:hAnsiTheme="minorHAnsi" w:cstheme="minorHAnsi"/>
                      <w:szCs w:val="22"/>
                      <w:lang w:val="en-US" w:eastAsia="en-GB"/>
                    </w:rPr>
                    <w:t>·         If an ANQP response does not carry all vendor-specific responses appropriate to the vendor-specific requests, if any;</w:t>
                  </w:r>
                </w:p>
                <w:p w:rsidR="002B3664" w:rsidRPr="008E67BC" w:rsidRDefault="002B3664" w:rsidP="002B3664">
                  <w:pPr>
                    <w:framePr w:hSpace="180" w:wrap="around" w:vAnchor="page" w:hAnchor="margin" w:y="1276"/>
                    <w:spacing w:before="100" w:beforeAutospacing="1"/>
                    <w:ind w:left="720"/>
                    <w:rPr>
                      <w:rFonts w:asciiTheme="minorHAnsi" w:hAnsiTheme="minorHAnsi" w:cstheme="minorHAnsi"/>
                      <w:szCs w:val="22"/>
                      <w:lang w:val="en-US" w:eastAsia="en-GB"/>
                    </w:rPr>
                  </w:pPr>
                  <w:r w:rsidRPr="008E67BC">
                    <w:rPr>
                      <w:rFonts w:asciiTheme="minorHAnsi" w:hAnsiTheme="minorHAnsi" w:cstheme="minorHAnsi"/>
                      <w:szCs w:val="22"/>
                      <w:lang w:val="en-US" w:eastAsia="en-GB"/>
                    </w:rPr>
                    <w:t xml:space="preserve">·         How to interpret an ANQP response that contains elements with overlapping semantics. For example, FQDN, realm, RCOI and/or MNC/MCC lists; and </w:t>
                  </w:r>
                </w:p>
                <w:p w:rsidR="002B3664" w:rsidRPr="008E67BC" w:rsidRDefault="002B3664" w:rsidP="002B3664">
                  <w:pPr>
                    <w:framePr w:hSpace="180" w:wrap="around" w:vAnchor="page" w:hAnchor="margin" w:y="1276"/>
                    <w:spacing w:before="100" w:beforeAutospacing="1"/>
                    <w:ind w:left="720"/>
                    <w:rPr>
                      <w:rFonts w:asciiTheme="minorHAnsi" w:hAnsiTheme="minorHAnsi" w:cstheme="minorHAnsi"/>
                      <w:szCs w:val="22"/>
                      <w:lang w:val="en-US" w:eastAsia="en-GB"/>
                    </w:rPr>
                  </w:pPr>
                  <w:r w:rsidRPr="008E67BC">
                    <w:rPr>
                      <w:rFonts w:asciiTheme="minorHAnsi" w:hAnsiTheme="minorHAnsi" w:cstheme="minorHAnsi"/>
                      <w:szCs w:val="22"/>
                      <w:lang w:val="en-US" w:eastAsia="en-GB"/>
                    </w:rPr>
                    <w:t>·         If an ANQP response can be in the same GAS frame that carries non-ANQP GAS elements.</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Thank you for your consideration,</w:t>
                  </w:r>
                </w:p>
                <w:p w:rsidR="002B3664" w:rsidRPr="008E67BC" w:rsidRDefault="002B3664" w:rsidP="002B3664">
                  <w:pPr>
                    <w:framePr w:hSpace="180" w:wrap="around" w:vAnchor="page" w:hAnchor="margin" w:y="1276"/>
                    <w:spacing w:before="100" w:before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 </w:t>
                  </w:r>
                </w:p>
                <w:p w:rsidR="002B3664" w:rsidRPr="008E67BC" w:rsidRDefault="002B3664" w:rsidP="002B3664">
                  <w:pPr>
                    <w:framePr w:hSpace="180" w:wrap="around" w:vAnchor="page" w:hAnchor="margin" w:y="1276"/>
                    <w:spacing w:before="100" w:beforeAutospacing="1" w:after="100" w:after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Hotspot 2.0 Marketing Task Group</w:t>
                  </w:r>
                </w:p>
                <w:p w:rsidR="002B3664" w:rsidRPr="008E67BC" w:rsidRDefault="002B3664" w:rsidP="002B3664">
                  <w:pPr>
                    <w:framePr w:hSpace="180" w:wrap="around" w:vAnchor="page" w:hAnchor="margin" w:y="1276"/>
                    <w:spacing w:before="100" w:beforeAutospacing="1" w:after="100" w:afterAutospacing="1"/>
                    <w:rPr>
                      <w:rFonts w:asciiTheme="minorHAnsi" w:hAnsiTheme="minorHAnsi" w:cstheme="minorHAnsi"/>
                      <w:szCs w:val="22"/>
                      <w:lang w:val="en-US" w:eastAsia="en-GB"/>
                    </w:rPr>
                  </w:pPr>
                  <w:r w:rsidRPr="008E67BC">
                    <w:rPr>
                      <w:rFonts w:asciiTheme="minorHAnsi" w:hAnsiTheme="minorHAnsi" w:cstheme="minorHAnsi"/>
                      <w:szCs w:val="22"/>
                      <w:lang w:val="en-US" w:eastAsia="en-GB"/>
                    </w:rPr>
                    <w:t>Wi-Fi Alliance</w:t>
                  </w:r>
                </w:p>
              </w:tc>
            </w:tr>
          </w:tbl>
          <w:p w:rsidR="002B3664" w:rsidRPr="008E67BC" w:rsidRDefault="002B3664" w:rsidP="002B3664">
            <w:pPr>
              <w:rPr>
                <w:rFonts w:asciiTheme="minorHAnsi" w:hAnsiTheme="minorHAnsi" w:cstheme="minorHAnsi"/>
                <w:szCs w:val="22"/>
                <w:lang w:eastAsia="en-GB"/>
              </w:rPr>
            </w:pPr>
          </w:p>
        </w:tc>
      </w:tr>
    </w:tbl>
    <w:p w:rsidR="002B3664" w:rsidRDefault="002B3664">
      <w:pPr>
        <w:rPr>
          <w:b/>
          <w:sz w:val="24"/>
        </w:rPr>
      </w:pPr>
    </w:p>
    <w:p w:rsidR="002B3664" w:rsidRDefault="002B3664">
      <w:pPr>
        <w:rPr>
          <w:b/>
          <w:sz w:val="24"/>
        </w:rPr>
      </w:pPr>
      <w:r>
        <w:rPr>
          <w:b/>
          <w:sz w:val="24"/>
        </w:rP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94" w:rsidRDefault="00117594">
      <w:r>
        <w:separator/>
      </w:r>
    </w:p>
  </w:endnote>
  <w:endnote w:type="continuationSeparator" w:id="0">
    <w:p w:rsidR="00117594" w:rsidRDefault="0011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2C39F9">
        <w:t>Submission</w:t>
      </w:r>
    </w:fldSimple>
    <w:r>
      <w:tab/>
      <w:t xml:space="preserve">page </w:t>
    </w:r>
    <w:r>
      <w:fldChar w:fldCharType="begin"/>
    </w:r>
    <w:r>
      <w:instrText xml:space="preserve">page </w:instrText>
    </w:r>
    <w:r>
      <w:fldChar w:fldCharType="separate"/>
    </w:r>
    <w:r w:rsidR="002B3664">
      <w:rPr>
        <w:noProof/>
      </w:rPr>
      <w:t>3</w:t>
    </w:r>
    <w:r>
      <w:fldChar w:fldCharType="end"/>
    </w:r>
    <w:r>
      <w:tab/>
    </w:r>
    <w:fldSimple w:instr=" COMMENTS  \* MERGEFORMAT ">
      <w:r w:rsidR="008E67BC">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94" w:rsidRDefault="00117594">
      <w:r>
        <w:separator/>
      </w:r>
    </w:p>
  </w:footnote>
  <w:footnote w:type="continuationSeparator" w:id="0">
    <w:p w:rsidR="00117594" w:rsidRDefault="0011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8E67BC">
        <w:t>May 2021</w:t>
      </w:r>
    </w:fldSimple>
    <w:r>
      <w:tab/>
    </w:r>
    <w:r>
      <w:tab/>
    </w:r>
    <w:fldSimple w:instr=" TITLE  \* MERGEFORMAT ">
      <w:r w:rsidR="008E67BC">
        <w:t>doc.: IEEE 802.11-21/0787r0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F9"/>
    <w:rsid w:val="00117594"/>
    <w:rsid w:val="00154374"/>
    <w:rsid w:val="001D723B"/>
    <w:rsid w:val="00227ED1"/>
    <w:rsid w:val="0029020B"/>
    <w:rsid w:val="002B3664"/>
    <w:rsid w:val="002C39F9"/>
    <w:rsid w:val="002D44BE"/>
    <w:rsid w:val="00442037"/>
    <w:rsid w:val="004B064B"/>
    <w:rsid w:val="004C1B46"/>
    <w:rsid w:val="0062440B"/>
    <w:rsid w:val="006C0727"/>
    <w:rsid w:val="006E145F"/>
    <w:rsid w:val="00770572"/>
    <w:rsid w:val="008E67BC"/>
    <w:rsid w:val="009F2FBC"/>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D90C13-4F85-4002-9C47-83779DA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m-3420209374970627293bodycentered">
    <w:name w:val="m_-3420209374970627293bodycentered"/>
    <w:basedOn w:val="Normal"/>
    <w:rsid w:val="008E67BC"/>
    <w:pPr>
      <w:spacing w:before="100" w:beforeAutospacing="1" w:after="100" w:afterAutospacing="1"/>
    </w:pPr>
    <w:rPr>
      <w:sz w:val="24"/>
      <w:szCs w:val="24"/>
      <w:lang w:eastAsia="en-GB"/>
    </w:rPr>
  </w:style>
  <w:style w:type="character" w:customStyle="1" w:styleId="gi">
    <w:name w:val="gi"/>
    <w:basedOn w:val="DefaultParagraphFont"/>
    <w:rsid w:val="002B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4377">
      <w:bodyDiv w:val="1"/>
      <w:marLeft w:val="0"/>
      <w:marRight w:val="0"/>
      <w:marTop w:val="0"/>
      <w:marBottom w:val="0"/>
      <w:divBdr>
        <w:top w:val="none" w:sz="0" w:space="0" w:color="auto"/>
        <w:left w:val="none" w:sz="0" w:space="0" w:color="auto"/>
        <w:bottom w:val="none" w:sz="0" w:space="0" w:color="auto"/>
        <w:right w:val="none" w:sz="0" w:space="0" w:color="auto"/>
      </w:divBdr>
      <w:divsChild>
        <w:div w:id="1520894741">
          <w:marLeft w:val="0"/>
          <w:marRight w:val="0"/>
          <w:marTop w:val="0"/>
          <w:marBottom w:val="0"/>
          <w:divBdr>
            <w:top w:val="none" w:sz="0" w:space="0" w:color="auto"/>
            <w:left w:val="none" w:sz="0" w:space="0" w:color="auto"/>
            <w:bottom w:val="none" w:sz="0" w:space="0" w:color="auto"/>
            <w:right w:val="none" w:sz="0" w:space="0" w:color="auto"/>
          </w:divBdr>
        </w:div>
        <w:div w:id="1335064661">
          <w:marLeft w:val="0"/>
          <w:marRight w:val="0"/>
          <w:marTop w:val="0"/>
          <w:marBottom w:val="0"/>
          <w:divBdr>
            <w:top w:val="none" w:sz="0" w:space="0" w:color="auto"/>
            <w:left w:val="none" w:sz="0" w:space="0" w:color="auto"/>
            <w:bottom w:val="none" w:sz="0" w:space="0" w:color="auto"/>
            <w:right w:val="none" w:sz="0" w:space="0" w:color="auto"/>
          </w:divBdr>
        </w:div>
        <w:div w:id="1859080988">
          <w:marLeft w:val="0"/>
          <w:marRight w:val="0"/>
          <w:marTop w:val="0"/>
          <w:marBottom w:val="0"/>
          <w:divBdr>
            <w:top w:val="none" w:sz="0" w:space="0" w:color="auto"/>
            <w:left w:val="none" w:sz="0" w:space="0" w:color="auto"/>
            <w:bottom w:val="none" w:sz="0" w:space="0" w:color="auto"/>
            <w:right w:val="none" w:sz="0" w:space="0" w:color="auto"/>
          </w:divBdr>
          <w:divsChild>
            <w:div w:id="923492121">
              <w:marLeft w:val="0"/>
              <w:marRight w:val="0"/>
              <w:marTop w:val="0"/>
              <w:marBottom w:val="0"/>
              <w:divBdr>
                <w:top w:val="none" w:sz="0" w:space="0" w:color="auto"/>
                <w:left w:val="none" w:sz="0" w:space="0" w:color="auto"/>
                <w:bottom w:val="none" w:sz="0" w:space="0" w:color="auto"/>
                <w:right w:val="none" w:sz="0" w:space="0" w:color="auto"/>
              </w:divBdr>
              <w:divsChild>
                <w:div w:id="2028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rtiz@wi-f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tanley@iee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43</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HP Enterprise</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802.11-21/0787r0</dc:title>
  <dc:subject>Submission</dc:subject>
  <dc:creator>Dorothy Stanley</dc:creator>
  <cp:keywords>May 2021</cp:keywords>
  <dc:description>Dorothy Stanley, HP Enterprise</dc:description>
  <cp:lastModifiedBy>Stanley, Dorothy</cp:lastModifiedBy>
  <cp:revision>6</cp:revision>
  <cp:lastPrinted>1601-01-01T00:00:00Z</cp:lastPrinted>
  <dcterms:created xsi:type="dcterms:W3CDTF">2021-05-07T13:51:00Z</dcterms:created>
  <dcterms:modified xsi:type="dcterms:W3CDTF">2021-05-07T14:35:00Z</dcterms:modified>
</cp:coreProperties>
</file>