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333A9678" w:rsidR="00CA09B2" w:rsidRDefault="004A6053">
            <w:pPr>
              <w:pStyle w:val="T2"/>
            </w:pPr>
            <w:proofErr w:type="spellStart"/>
            <w:r>
              <w:t>TGbe</w:t>
            </w:r>
            <w:proofErr w:type="spellEnd"/>
            <w:r>
              <w:t xml:space="preserve"> CC-34 </w:t>
            </w:r>
            <w:r w:rsidR="00D6465F">
              <w:t xml:space="preserve">– CID </w:t>
            </w:r>
            <w:bookmarkStart w:id="0" w:name="_Hlk67991077"/>
            <w:r w:rsidR="00D6465F">
              <w:t>2075, 2085, 2239</w:t>
            </w:r>
            <w:bookmarkEnd w:id="0"/>
          </w:p>
        </w:tc>
      </w:tr>
      <w:tr w:rsidR="00CA09B2" w14:paraId="76ED5BCC" w14:textId="77777777" w:rsidTr="007E12F6">
        <w:trPr>
          <w:trHeight w:val="359"/>
          <w:jc w:val="center"/>
        </w:trPr>
        <w:tc>
          <w:tcPr>
            <w:tcW w:w="9576" w:type="dxa"/>
            <w:gridSpan w:val="5"/>
            <w:vAlign w:val="center"/>
          </w:tcPr>
          <w:p w14:paraId="3207F922" w14:textId="28A55D7B" w:rsidR="00CA09B2" w:rsidRDefault="00CA09B2">
            <w:pPr>
              <w:pStyle w:val="T2"/>
              <w:ind w:left="0"/>
              <w:rPr>
                <w:sz w:val="20"/>
              </w:rPr>
            </w:pPr>
            <w:r>
              <w:rPr>
                <w:sz w:val="20"/>
              </w:rPr>
              <w:t>Date:</w:t>
            </w:r>
            <w:r>
              <w:rPr>
                <w:b w:val="0"/>
                <w:sz w:val="20"/>
              </w:rPr>
              <w:t xml:space="preserve">  </w:t>
            </w:r>
            <w:r w:rsidR="004F38A1">
              <w:rPr>
                <w:b w:val="0"/>
                <w:sz w:val="20"/>
              </w:rPr>
              <w:t>2021-0</w:t>
            </w:r>
            <w:r w:rsidR="0033248A">
              <w:rPr>
                <w:b w:val="0"/>
                <w:sz w:val="20"/>
              </w:rPr>
              <w:t>3-</w:t>
            </w:r>
            <w:r w:rsidR="00DF5A80">
              <w:rPr>
                <w:b w:val="0"/>
                <w:sz w:val="20"/>
              </w:rPr>
              <w:t>30</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6D04F53B" w:rsidR="00CA09B2" w:rsidRPr="007E12F6" w:rsidRDefault="004F38A1">
            <w:pPr>
              <w:pStyle w:val="T2"/>
              <w:spacing w:after="0"/>
              <w:ind w:left="0" w:right="0"/>
              <w:rPr>
                <w:b w:val="0"/>
                <w:sz w:val="16"/>
                <w:szCs w:val="16"/>
              </w:rPr>
            </w:pPr>
            <w:r>
              <w:rPr>
                <w:b w:val="0"/>
                <w:sz w:val="16"/>
                <w:szCs w:val="16"/>
              </w:rPr>
              <w:t>montemurro.michael@gmail.com</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7C648AE8" w:rsidR="00A34156" w:rsidRDefault="00A34156" w:rsidP="00FE6AC8">
                            <w:r>
                              <w:t xml:space="preserve">This contribution proposes comment resolutions to comments received in CC34 on </w:t>
                            </w:r>
                            <w:r w:rsidR="00D6465F">
                              <w:t xml:space="preserve">CIDs </w:t>
                            </w:r>
                            <w:r w:rsidR="00D6465F" w:rsidRPr="00D6465F">
                              <w:t xml:space="preserve">2075, 2085, </w:t>
                            </w:r>
                            <w:r w:rsidR="00DB730E">
                              <w:t xml:space="preserve">and </w:t>
                            </w:r>
                            <w:r w:rsidR="00D6465F" w:rsidRPr="00D6465F">
                              <w:t>2239</w:t>
                            </w:r>
                            <w:r w:rsidR="00E2146B">
                              <w:t>.</w:t>
                            </w:r>
                          </w:p>
                          <w:p w14:paraId="53B0FA96" w14:textId="478A24C2" w:rsidR="00040EF7" w:rsidRDefault="00040EF7"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FB964F9" w14:textId="7C648AE8" w:rsidR="00A34156" w:rsidRDefault="00A34156" w:rsidP="00FE6AC8">
                      <w:r>
                        <w:t xml:space="preserve">This contribution proposes comment resolutions to comments received in CC34 on </w:t>
                      </w:r>
                      <w:r w:rsidR="00D6465F">
                        <w:t xml:space="preserve">CIDs </w:t>
                      </w:r>
                      <w:r w:rsidR="00D6465F" w:rsidRPr="00D6465F">
                        <w:t xml:space="preserve">2075, 2085, </w:t>
                      </w:r>
                      <w:r w:rsidR="00DB730E">
                        <w:t xml:space="preserve">and </w:t>
                      </w:r>
                      <w:r w:rsidR="00D6465F" w:rsidRPr="00D6465F">
                        <w:t>2239</w:t>
                      </w:r>
                      <w:r w:rsidR="00E2146B">
                        <w:t>.</w:t>
                      </w:r>
                    </w:p>
                    <w:p w14:paraId="53B0FA96" w14:textId="478A24C2" w:rsidR="00040EF7" w:rsidRDefault="00040EF7" w:rsidP="00FE6AC8"/>
                  </w:txbxContent>
                </v:textbox>
              </v:shape>
            </w:pict>
          </mc:Fallback>
        </mc:AlternateContent>
      </w:r>
    </w:p>
    <w:p w14:paraId="5027914D" w14:textId="77777777" w:rsidR="004D6506" w:rsidRDefault="00CA09B2" w:rsidP="007E12F6">
      <w:pPr>
        <w:pStyle w:val="H4"/>
      </w:pPr>
      <w:r>
        <w:br w:type="page"/>
      </w:r>
    </w:p>
    <w:p w14:paraId="5E51E02D" w14:textId="1D7EC3BA" w:rsidR="00B43BF5" w:rsidRDefault="00B43BF5" w:rsidP="0096350D">
      <w:pPr>
        <w:pStyle w:val="Heading3"/>
        <w:tabs>
          <w:tab w:val="left" w:pos="5760"/>
        </w:tabs>
      </w:pPr>
      <w:r>
        <w:lastRenderedPageBreak/>
        <w:t>Comment</w:t>
      </w:r>
      <w:r w:rsidR="0096350D">
        <w:tab/>
      </w:r>
    </w:p>
    <w:tbl>
      <w:tblPr>
        <w:tblStyle w:val="TableGrid"/>
        <w:tblW w:w="10060" w:type="dxa"/>
        <w:tblLook w:val="04A0" w:firstRow="1" w:lastRow="0" w:firstColumn="1" w:lastColumn="0" w:noHBand="0" w:noVBand="1"/>
      </w:tblPr>
      <w:tblGrid>
        <w:gridCol w:w="680"/>
        <w:gridCol w:w="1038"/>
        <w:gridCol w:w="1039"/>
        <w:gridCol w:w="4468"/>
        <w:gridCol w:w="2835"/>
      </w:tblGrid>
      <w:tr w:rsidR="001B12B2" w14:paraId="38806E32" w14:textId="77777777" w:rsidTr="00637F7D">
        <w:trPr>
          <w:trHeight w:val="374"/>
        </w:trPr>
        <w:tc>
          <w:tcPr>
            <w:tcW w:w="680" w:type="dxa"/>
            <w:hideMark/>
          </w:tcPr>
          <w:p w14:paraId="0611FC89" w14:textId="30CFE266" w:rsidR="001B12B2" w:rsidRDefault="001B12B2" w:rsidP="001B12B2">
            <w:pPr>
              <w:rPr>
                <w:rFonts w:ascii="Arial" w:hAnsi="Arial" w:cs="Arial"/>
                <w:b/>
                <w:bCs/>
                <w:sz w:val="20"/>
                <w:szCs w:val="20"/>
              </w:rPr>
            </w:pPr>
            <w:r>
              <w:rPr>
                <w:rFonts w:ascii="Calibri" w:hAnsi="Calibri" w:cs="Calibri"/>
                <w:b/>
                <w:bCs/>
                <w:sz w:val="22"/>
                <w:szCs w:val="22"/>
              </w:rPr>
              <w:t>CID</w:t>
            </w:r>
          </w:p>
        </w:tc>
        <w:tc>
          <w:tcPr>
            <w:tcW w:w="1038" w:type="dxa"/>
            <w:hideMark/>
          </w:tcPr>
          <w:p w14:paraId="7B11D39B" w14:textId="08E578A4" w:rsidR="001B12B2" w:rsidRDefault="001B12B2" w:rsidP="001B12B2">
            <w:pPr>
              <w:rPr>
                <w:rFonts w:ascii="Arial" w:hAnsi="Arial" w:cs="Arial"/>
                <w:b/>
                <w:bCs/>
                <w:sz w:val="20"/>
                <w:szCs w:val="20"/>
              </w:rPr>
            </w:pPr>
            <w:r>
              <w:rPr>
                <w:rFonts w:ascii="Calibri" w:hAnsi="Calibri" w:cs="Calibri"/>
                <w:b/>
                <w:bCs/>
                <w:sz w:val="22"/>
                <w:szCs w:val="22"/>
              </w:rPr>
              <w:t>Clause</w:t>
            </w:r>
          </w:p>
        </w:tc>
        <w:tc>
          <w:tcPr>
            <w:tcW w:w="1039" w:type="dxa"/>
            <w:hideMark/>
          </w:tcPr>
          <w:p w14:paraId="75EFD838" w14:textId="6C182294" w:rsidR="001B12B2" w:rsidRDefault="001B12B2" w:rsidP="001B12B2">
            <w:pPr>
              <w:rPr>
                <w:rFonts w:ascii="Arial" w:hAnsi="Arial" w:cs="Arial"/>
                <w:b/>
                <w:bCs/>
                <w:sz w:val="20"/>
                <w:szCs w:val="20"/>
              </w:rPr>
            </w:pPr>
            <w:r>
              <w:rPr>
                <w:rFonts w:ascii="Calibri" w:hAnsi="Calibri" w:cs="Calibri"/>
                <w:b/>
                <w:bCs/>
                <w:sz w:val="22"/>
                <w:szCs w:val="22"/>
              </w:rPr>
              <w:t>Page</w:t>
            </w:r>
          </w:p>
        </w:tc>
        <w:tc>
          <w:tcPr>
            <w:tcW w:w="4468" w:type="dxa"/>
            <w:hideMark/>
          </w:tcPr>
          <w:p w14:paraId="64566BC6" w14:textId="3995163B" w:rsidR="001B12B2" w:rsidRDefault="001B12B2" w:rsidP="001B12B2">
            <w:pPr>
              <w:rPr>
                <w:rFonts w:ascii="Arial" w:hAnsi="Arial" w:cs="Arial"/>
                <w:b/>
                <w:bCs/>
                <w:sz w:val="20"/>
                <w:szCs w:val="20"/>
              </w:rPr>
            </w:pPr>
            <w:r>
              <w:rPr>
                <w:rFonts w:ascii="Calibri" w:hAnsi="Calibri" w:cs="Calibri"/>
                <w:b/>
                <w:bCs/>
                <w:sz w:val="22"/>
                <w:szCs w:val="22"/>
              </w:rPr>
              <w:t>Comment</w:t>
            </w:r>
          </w:p>
        </w:tc>
        <w:tc>
          <w:tcPr>
            <w:tcW w:w="2835" w:type="dxa"/>
            <w:hideMark/>
          </w:tcPr>
          <w:p w14:paraId="62718822" w14:textId="582C88E6" w:rsidR="001B12B2" w:rsidRDefault="001B12B2" w:rsidP="001B12B2">
            <w:pPr>
              <w:rPr>
                <w:rFonts w:ascii="Arial" w:hAnsi="Arial" w:cs="Arial"/>
                <w:b/>
                <w:bCs/>
                <w:sz w:val="20"/>
                <w:szCs w:val="20"/>
              </w:rPr>
            </w:pPr>
            <w:r>
              <w:rPr>
                <w:rFonts w:ascii="Calibri" w:hAnsi="Calibri" w:cs="Calibri"/>
                <w:b/>
                <w:bCs/>
                <w:sz w:val="22"/>
                <w:szCs w:val="22"/>
              </w:rPr>
              <w:t>Proposed Change</w:t>
            </w:r>
          </w:p>
        </w:tc>
      </w:tr>
      <w:tr w:rsidR="001B12B2" w14:paraId="75C98142" w14:textId="77777777" w:rsidTr="00637F7D">
        <w:trPr>
          <w:trHeight w:val="840"/>
        </w:trPr>
        <w:tc>
          <w:tcPr>
            <w:tcW w:w="680" w:type="dxa"/>
          </w:tcPr>
          <w:p w14:paraId="321058F2" w14:textId="3F8CC1A3" w:rsidR="001B12B2" w:rsidRDefault="001B12B2" w:rsidP="001B12B2">
            <w:pPr>
              <w:rPr>
                <w:rFonts w:ascii="Arial" w:hAnsi="Arial" w:cs="Arial"/>
                <w:b/>
                <w:bCs/>
                <w:sz w:val="20"/>
                <w:szCs w:val="20"/>
              </w:rPr>
            </w:pPr>
            <w:r>
              <w:rPr>
                <w:rFonts w:ascii="Arial" w:hAnsi="Arial" w:cs="Arial"/>
                <w:sz w:val="20"/>
                <w:szCs w:val="20"/>
              </w:rPr>
              <w:t>2075</w:t>
            </w:r>
          </w:p>
        </w:tc>
        <w:tc>
          <w:tcPr>
            <w:tcW w:w="1038" w:type="dxa"/>
          </w:tcPr>
          <w:p w14:paraId="3830FB28" w14:textId="15ED5B24" w:rsidR="001B12B2" w:rsidRDefault="001B12B2" w:rsidP="001B12B2">
            <w:pPr>
              <w:rPr>
                <w:rFonts w:ascii="Arial" w:hAnsi="Arial" w:cs="Arial"/>
                <w:b/>
                <w:bCs/>
                <w:sz w:val="20"/>
                <w:szCs w:val="20"/>
              </w:rPr>
            </w:pPr>
            <w:r>
              <w:rPr>
                <w:rFonts w:ascii="Arial" w:hAnsi="Arial" w:cs="Arial"/>
                <w:sz w:val="20"/>
                <w:szCs w:val="20"/>
              </w:rPr>
              <w:t>11</w:t>
            </w:r>
          </w:p>
        </w:tc>
        <w:tc>
          <w:tcPr>
            <w:tcW w:w="1039" w:type="dxa"/>
          </w:tcPr>
          <w:p w14:paraId="4A1FECB2" w14:textId="4DCE2E26" w:rsidR="001B12B2" w:rsidRDefault="001B12B2" w:rsidP="001B12B2">
            <w:pPr>
              <w:rPr>
                <w:rFonts w:ascii="Arial" w:hAnsi="Arial" w:cs="Arial"/>
                <w:b/>
                <w:bCs/>
                <w:sz w:val="20"/>
                <w:szCs w:val="20"/>
              </w:rPr>
            </w:pPr>
            <w:r>
              <w:rPr>
                <w:rFonts w:ascii="Arial" w:hAnsi="Arial" w:cs="Arial"/>
                <w:sz w:val="20"/>
                <w:szCs w:val="20"/>
              </w:rPr>
              <w:t>87.01</w:t>
            </w:r>
          </w:p>
        </w:tc>
        <w:tc>
          <w:tcPr>
            <w:tcW w:w="4468" w:type="dxa"/>
          </w:tcPr>
          <w:p w14:paraId="3FBD1045" w14:textId="79CD38E0" w:rsidR="001B12B2" w:rsidRDefault="001B12B2" w:rsidP="001B12B2">
            <w:pPr>
              <w:rPr>
                <w:rFonts w:ascii="Arial" w:hAnsi="Arial" w:cs="Arial"/>
                <w:b/>
                <w:bCs/>
                <w:sz w:val="20"/>
                <w:szCs w:val="20"/>
              </w:rPr>
            </w:pPr>
            <w:r>
              <w:rPr>
                <w:rFonts w:ascii="Arial" w:hAnsi="Arial" w:cs="Arial"/>
                <w:sz w:val="20"/>
                <w:szCs w:val="20"/>
              </w:rPr>
              <w:t>There are many feature/capabilities that are specified for an 802.11 non-AP STA that are essential for that STA to be able to operate in an ESS.  Most if not all of these features/capabilities will need to be modified to include the non-AP MLD and AP MLD to allow these new entities to operate in an ESS. (e.g. most of the sub-clauses in clause 11).  The current draft only attempts to address sub-clauses 11.1, 11.2, 11.3, 11.13, 11.21, and 11.24.  I do not believe the current approach of dealing with MLDs such that they are a combination of multiple STAs causes significant issues with these sub-clauses.  In my opinion it would be much simpler to define an MLD as a STA and then most of these subclauses would be fine as they are now written.  This also applies to clause 12.</w:t>
            </w:r>
          </w:p>
        </w:tc>
        <w:tc>
          <w:tcPr>
            <w:tcW w:w="2835" w:type="dxa"/>
          </w:tcPr>
          <w:p w14:paraId="53260CE5" w14:textId="510BD7BE" w:rsidR="001B12B2" w:rsidRDefault="001B12B2" w:rsidP="001B12B2">
            <w:pPr>
              <w:rPr>
                <w:rFonts w:ascii="Arial" w:hAnsi="Arial" w:cs="Arial"/>
                <w:b/>
                <w:bCs/>
                <w:sz w:val="20"/>
                <w:szCs w:val="20"/>
              </w:rPr>
            </w:pPr>
            <w:r>
              <w:rPr>
                <w:rFonts w:ascii="Arial" w:hAnsi="Arial" w:cs="Arial"/>
                <w:sz w:val="20"/>
                <w:szCs w:val="20"/>
              </w:rPr>
              <w:t>Either redefine an MLD to be a STA or address all sub-clauses in clauses 11 and 12 critical to ESS operation so that MLO can be fully supported.  The commentors preference is for redefining an MLD to be a STA.</w:t>
            </w:r>
          </w:p>
        </w:tc>
      </w:tr>
      <w:tr w:rsidR="001B12B2" w14:paraId="4160D474" w14:textId="77777777" w:rsidTr="00637F7D">
        <w:trPr>
          <w:trHeight w:val="840"/>
        </w:trPr>
        <w:tc>
          <w:tcPr>
            <w:tcW w:w="680" w:type="dxa"/>
          </w:tcPr>
          <w:p w14:paraId="724095DE" w14:textId="68C4B5D8" w:rsidR="001B12B2" w:rsidRDefault="001B12B2" w:rsidP="001B12B2">
            <w:pPr>
              <w:rPr>
                <w:rFonts w:ascii="Arial" w:hAnsi="Arial" w:cs="Arial"/>
                <w:b/>
                <w:bCs/>
                <w:sz w:val="20"/>
                <w:szCs w:val="20"/>
              </w:rPr>
            </w:pPr>
            <w:r>
              <w:rPr>
                <w:rFonts w:ascii="Arial" w:hAnsi="Arial" w:cs="Arial"/>
                <w:sz w:val="20"/>
                <w:szCs w:val="20"/>
              </w:rPr>
              <w:t>2239</w:t>
            </w:r>
          </w:p>
        </w:tc>
        <w:tc>
          <w:tcPr>
            <w:tcW w:w="1038" w:type="dxa"/>
          </w:tcPr>
          <w:p w14:paraId="32C26015" w14:textId="5D80FF00" w:rsidR="001B12B2" w:rsidRDefault="001B12B2" w:rsidP="001B12B2">
            <w:pPr>
              <w:rPr>
                <w:rFonts w:ascii="Arial" w:hAnsi="Arial" w:cs="Arial"/>
                <w:b/>
                <w:bCs/>
                <w:sz w:val="20"/>
                <w:szCs w:val="20"/>
              </w:rPr>
            </w:pPr>
            <w:r>
              <w:rPr>
                <w:rFonts w:ascii="Arial" w:hAnsi="Arial" w:cs="Arial"/>
                <w:sz w:val="20"/>
                <w:szCs w:val="20"/>
              </w:rPr>
              <w:t>7</w:t>
            </w:r>
          </w:p>
        </w:tc>
        <w:tc>
          <w:tcPr>
            <w:tcW w:w="1039" w:type="dxa"/>
          </w:tcPr>
          <w:p w14:paraId="65ECD7F9" w14:textId="38C3938B" w:rsidR="001B12B2" w:rsidRDefault="001B12B2" w:rsidP="001B12B2">
            <w:pPr>
              <w:rPr>
                <w:rFonts w:ascii="Arial" w:hAnsi="Arial" w:cs="Arial"/>
                <w:b/>
                <w:bCs/>
                <w:sz w:val="20"/>
                <w:szCs w:val="20"/>
              </w:rPr>
            </w:pPr>
            <w:r>
              <w:rPr>
                <w:rFonts w:ascii="Arial" w:hAnsi="Arial" w:cs="Arial"/>
                <w:sz w:val="20"/>
                <w:szCs w:val="20"/>
              </w:rPr>
              <w:t>50.01</w:t>
            </w:r>
          </w:p>
        </w:tc>
        <w:tc>
          <w:tcPr>
            <w:tcW w:w="4468" w:type="dxa"/>
          </w:tcPr>
          <w:p w14:paraId="687C04AA" w14:textId="42000E97" w:rsidR="001B12B2" w:rsidRDefault="001B12B2" w:rsidP="001B12B2">
            <w:pPr>
              <w:rPr>
                <w:rFonts w:ascii="Arial" w:hAnsi="Arial" w:cs="Arial"/>
                <w:b/>
                <w:bCs/>
                <w:sz w:val="20"/>
                <w:szCs w:val="20"/>
              </w:rPr>
            </w:pPr>
            <w:r>
              <w:rPr>
                <w:rFonts w:ascii="Arial" w:hAnsi="Arial" w:cs="Arial"/>
                <w:sz w:val="20"/>
                <w:szCs w:val="20"/>
              </w:rPr>
              <w:t xml:space="preserve">If my comment suggesting to simplify the concept of MLD to be a type/operational mode of STA/AP is not </w:t>
            </w:r>
            <w:proofErr w:type="spellStart"/>
            <w:r>
              <w:rPr>
                <w:rFonts w:ascii="Arial" w:hAnsi="Arial" w:cs="Arial"/>
                <w:sz w:val="20"/>
                <w:szCs w:val="20"/>
              </w:rPr>
              <w:t>persued</w:t>
            </w:r>
            <w:proofErr w:type="spellEnd"/>
            <w:r>
              <w:rPr>
                <w:rFonts w:ascii="Arial" w:hAnsi="Arial" w:cs="Arial"/>
                <w:sz w:val="20"/>
                <w:szCs w:val="20"/>
              </w:rPr>
              <w:t>, then clause 7 will need updates to support the concept added in 4.5.3 that the DS is aware of "non-AP MLD to AP MLD" mappings.  Also, clause 5 will need updates to explain how the DSAF function is accomplished in an AP MLD, and this likely ripples into the clause 4 discussion of the services (and entities that provide/use the services).</w:t>
            </w:r>
          </w:p>
        </w:tc>
        <w:tc>
          <w:tcPr>
            <w:tcW w:w="2835" w:type="dxa"/>
          </w:tcPr>
          <w:p w14:paraId="78CBE6C4" w14:textId="173CA18E" w:rsidR="001B12B2" w:rsidRDefault="001B12B2" w:rsidP="001B12B2">
            <w:pPr>
              <w:rPr>
                <w:rFonts w:ascii="Arial" w:hAnsi="Arial" w:cs="Arial"/>
                <w:b/>
                <w:bCs/>
                <w:sz w:val="20"/>
                <w:szCs w:val="20"/>
              </w:rPr>
            </w:pPr>
            <w:r>
              <w:rPr>
                <w:rFonts w:ascii="Arial" w:hAnsi="Arial" w:cs="Arial"/>
                <w:sz w:val="20"/>
                <w:szCs w:val="20"/>
              </w:rPr>
              <w:t xml:space="preserve">Either move in the direction that non-AP/AP MLD are just examples of non-AP STA/AP (respectively) per my other comment, or update clause 7 to add the concept of a non-AP MLD to MLD mapping in the DS, and the SAP support for managing this mapping.  This includes explaining how the DSAF is </w:t>
            </w:r>
            <w:proofErr w:type="spellStart"/>
            <w:r>
              <w:rPr>
                <w:rFonts w:ascii="Arial" w:hAnsi="Arial" w:cs="Arial"/>
                <w:sz w:val="20"/>
                <w:szCs w:val="20"/>
              </w:rPr>
              <w:t>archtecturally</w:t>
            </w:r>
            <w:proofErr w:type="spellEnd"/>
            <w:r>
              <w:rPr>
                <w:rFonts w:ascii="Arial" w:hAnsi="Arial" w:cs="Arial"/>
                <w:sz w:val="20"/>
                <w:szCs w:val="20"/>
              </w:rPr>
              <w:t xml:space="preserve"> connected to the AP MLD structures in clause 7 and 5.1.5.3, and how the new structure maps to/provides the services in 4.5 (and probably other clause 4 subclauses).</w:t>
            </w:r>
          </w:p>
        </w:tc>
      </w:tr>
    </w:tbl>
    <w:p w14:paraId="4E70B989" w14:textId="77777777" w:rsidR="00B43BF5" w:rsidRDefault="00B43BF5" w:rsidP="00B43BF5">
      <w:pPr>
        <w:pStyle w:val="Heading3"/>
      </w:pPr>
      <w:r>
        <w:t>Discussion:</w:t>
      </w:r>
    </w:p>
    <w:p w14:paraId="6C25A2D3" w14:textId="28448E3F" w:rsidR="007E7633" w:rsidRDefault="00047179" w:rsidP="00B43BF5">
      <w:pPr>
        <w:rPr>
          <w:lang w:val="en-GB"/>
        </w:rPr>
      </w:pPr>
      <w:r>
        <w:rPr>
          <w:lang w:val="en-GB"/>
        </w:rPr>
        <w:t xml:space="preserve">The two comments </w:t>
      </w:r>
      <w:r w:rsidR="00995CAD">
        <w:rPr>
          <w:lang w:val="en-GB"/>
        </w:rPr>
        <w:t xml:space="preserve">seem to describe deficiencies in the </w:t>
      </w:r>
      <w:r w:rsidR="00D52F91">
        <w:rPr>
          <w:lang w:val="en-GB"/>
        </w:rPr>
        <w:t xml:space="preserve">specification of MLO regarding the definition and </w:t>
      </w:r>
      <w:r w:rsidR="000B568C">
        <w:rPr>
          <w:lang w:val="en-GB"/>
        </w:rPr>
        <w:t>behaviour</w:t>
      </w:r>
      <w:r w:rsidR="00D52F91">
        <w:rPr>
          <w:lang w:val="en-GB"/>
        </w:rPr>
        <w:t xml:space="preserve"> of MLDs. CID 2075 </w:t>
      </w:r>
      <w:r w:rsidR="00FD15E9">
        <w:rPr>
          <w:lang w:val="en-GB"/>
        </w:rPr>
        <w:t xml:space="preserve">states that Clause 11 </w:t>
      </w:r>
      <w:r w:rsidR="00727208">
        <w:rPr>
          <w:lang w:val="en-GB"/>
        </w:rPr>
        <w:t>does not sufficiently describe an MLD and how it operates in an</w:t>
      </w:r>
      <w:r w:rsidR="007C4142">
        <w:rPr>
          <w:lang w:val="en-GB"/>
        </w:rPr>
        <w:t xml:space="preserve"> ESS. </w:t>
      </w:r>
      <w:r w:rsidR="00732D16">
        <w:rPr>
          <w:lang w:val="en-GB"/>
        </w:rPr>
        <w:t xml:space="preserve">CID 2239 </w:t>
      </w:r>
      <w:r w:rsidR="005F140F">
        <w:rPr>
          <w:lang w:val="en-GB"/>
        </w:rPr>
        <w:t>suggests that if non-AP MLD and AP MLD, and their mapping</w:t>
      </w:r>
      <w:r w:rsidR="0038302A">
        <w:rPr>
          <w:lang w:val="en-GB"/>
        </w:rPr>
        <w:t xml:space="preserve"> </w:t>
      </w:r>
      <w:r w:rsidR="005F140F">
        <w:rPr>
          <w:lang w:val="en-GB"/>
        </w:rPr>
        <w:t xml:space="preserve">is not described </w:t>
      </w:r>
      <w:r w:rsidR="000B568C">
        <w:rPr>
          <w:lang w:val="en-GB"/>
        </w:rPr>
        <w:t>as AP-STA behaviour, th</w:t>
      </w:r>
      <w:r w:rsidR="0038302A">
        <w:rPr>
          <w:lang w:val="en-GB"/>
        </w:rPr>
        <w:t xml:space="preserve">en clause </w:t>
      </w:r>
      <w:r w:rsidR="005958F7">
        <w:rPr>
          <w:lang w:val="en-GB"/>
        </w:rPr>
        <w:t xml:space="preserve">4.5.3, 5, and 7 will need to be updated </w:t>
      </w:r>
      <w:r w:rsidR="008804EF">
        <w:rPr>
          <w:lang w:val="en-GB"/>
        </w:rPr>
        <w:t xml:space="preserve">to explain how the </w:t>
      </w:r>
      <w:r w:rsidR="007E7633">
        <w:rPr>
          <w:lang w:val="en-GB"/>
        </w:rPr>
        <w:t xml:space="preserve">MLDs interface to the DS. Both comments suggest that non-AP MLD and AP MLD should be defined </w:t>
      </w:r>
      <w:r w:rsidR="003A1799">
        <w:rPr>
          <w:lang w:val="en-GB"/>
        </w:rPr>
        <w:t>as a STA.</w:t>
      </w:r>
      <w:r w:rsidR="006C7C6E">
        <w:rPr>
          <w:lang w:val="en-GB"/>
        </w:rPr>
        <w:t xml:space="preserve"> However at this point, </w:t>
      </w:r>
      <w:proofErr w:type="spellStart"/>
      <w:r w:rsidR="006C7C6E">
        <w:rPr>
          <w:lang w:val="en-GB"/>
        </w:rPr>
        <w:t>TGbe</w:t>
      </w:r>
      <w:proofErr w:type="spellEnd"/>
      <w:r w:rsidR="006C7C6E">
        <w:rPr>
          <w:lang w:val="en-GB"/>
        </w:rPr>
        <w:t xml:space="preserve"> has tried to define requirements for MLD</w:t>
      </w:r>
      <w:r w:rsidR="007942F8">
        <w:rPr>
          <w:lang w:val="en-GB"/>
        </w:rPr>
        <w:t xml:space="preserve"> to be related, but</w:t>
      </w:r>
      <w:r w:rsidR="006C7C6E">
        <w:rPr>
          <w:lang w:val="en-GB"/>
        </w:rPr>
        <w:t xml:space="preserve"> distinct from STA behaviour.</w:t>
      </w:r>
    </w:p>
    <w:p w14:paraId="6AEB913E" w14:textId="6A2FF028" w:rsidR="00E2146B" w:rsidRDefault="00E2146B" w:rsidP="00B43BF5">
      <w:pPr>
        <w:rPr>
          <w:lang w:val="en-GB"/>
        </w:rPr>
      </w:pPr>
    </w:p>
    <w:p w14:paraId="4C1D1974" w14:textId="038818BB" w:rsidR="00E2146B" w:rsidRDefault="002C5B13" w:rsidP="00B43BF5">
      <w:pPr>
        <w:rPr>
          <w:lang w:val="en-GB"/>
        </w:rPr>
      </w:pPr>
      <w:r>
        <w:rPr>
          <w:lang w:val="en-GB"/>
        </w:rPr>
        <w:t xml:space="preserve">With respect to clause 4.5.3, </w:t>
      </w:r>
      <w:proofErr w:type="spellStart"/>
      <w:r w:rsidR="00206977">
        <w:rPr>
          <w:lang w:val="en-GB"/>
        </w:rPr>
        <w:t>TGbe</w:t>
      </w:r>
      <w:proofErr w:type="spellEnd"/>
      <w:r w:rsidR="00206977">
        <w:rPr>
          <w:lang w:val="en-GB"/>
        </w:rPr>
        <w:t xml:space="preserve"> D0.3 updates the clause to describe </w:t>
      </w:r>
      <w:r w:rsidR="000D06E3">
        <w:rPr>
          <w:lang w:val="en-GB"/>
        </w:rPr>
        <w:t>MLO behavio</w:t>
      </w:r>
      <w:r w:rsidR="00C51C0B">
        <w:rPr>
          <w:lang w:val="en-GB"/>
        </w:rPr>
        <w:t>u</w:t>
      </w:r>
      <w:r w:rsidR="000D06E3">
        <w:rPr>
          <w:lang w:val="en-GB"/>
        </w:rPr>
        <w:t xml:space="preserve">r relates to </w:t>
      </w:r>
      <w:r w:rsidR="00C51C0B">
        <w:rPr>
          <w:lang w:val="en-GB"/>
        </w:rPr>
        <w:t xml:space="preserve">IEEE 802.11 services. There are not specific </w:t>
      </w:r>
      <w:r w:rsidR="0095685F">
        <w:rPr>
          <w:lang w:val="en-GB"/>
        </w:rPr>
        <w:t>changes to this text requested by the commenter.</w:t>
      </w:r>
    </w:p>
    <w:p w14:paraId="17297C94" w14:textId="2D9CE78C" w:rsidR="0095685F" w:rsidRDefault="0095685F" w:rsidP="00B43BF5">
      <w:pPr>
        <w:rPr>
          <w:lang w:val="en-GB"/>
        </w:rPr>
      </w:pPr>
    </w:p>
    <w:p w14:paraId="0BAF356C" w14:textId="77777777" w:rsidR="00AB132E" w:rsidRDefault="0095685F" w:rsidP="001E38A2">
      <w:pPr>
        <w:rPr>
          <w:lang w:val="en-GB"/>
        </w:rPr>
      </w:pPr>
      <w:r>
        <w:rPr>
          <w:lang w:val="en-GB"/>
        </w:rPr>
        <w:t xml:space="preserve">With respect to clause </w:t>
      </w:r>
      <w:r w:rsidR="00840B66">
        <w:rPr>
          <w:lang w:val="en-GB"/>
        </w:rPr>
        <w:t>5.1.5.3</w:t>
      </w:r>
      <w:r w:rsidR="0013316E">
        <w:rPr>
          <w:lang w:val="en-GB"/>
        </w:rPr>
        <w:t>, an AP MLD and non-AP MLD behave much the same way as an AP and STA, respectively</w:t>
      </w:r>
      <w:r w:rsidR="0041128F">
        <w:rPr>
          <w:lang w:val="en-GB"/>
        </w:rPr>
        <w:t xml:space="preserve"> so, changes could be made to simply extend this clause to </w:t>
      </w:r>
      <w:r w:rsidR="001E38A2">
        <w:rPr>
          <w:lang w:val="en-GB"/>
        </w:rPr>
        <w:t xml:space="preserve">apply to an AP MLD and non-AP MLD: </w:t>
      </w:r>
    </w:p>
    <w:p w14:paraId="776BBF05" w14:textId="40515824" w:rsidR="0095685F" w:rsidRDefault="001E38A2" w:rsidP="00AB132E">
      <w:pPr>
        <w:pStyle w:val="Quote"/>
        <w:rPr>
          <w:lang w:val="en-GB"/>
        </w:rPr>
      </w:pPr>
      <w:r>
        <w:rPr>
          <w:lang w:val="en-GB"/>
        </w:rPr>
        <w:lastRenderedPageBreak/>
        <w:t>“</w:t>
      </w:r>
      <w:r w:rsidRPr="001E38A2">
        <w:rPr>
          <w:lang w:val="en-GB"/>
        </w:rPr>
        <w:t>In a non-GLK AP, the MAC data plane architecture includes distribution system access in its role-specific</w:t>
      </w:r>
      <w:r>
        <w:rPr>
          <w:lang w:val="en-GB"/>
        </w:rPr>
        <w:t xml:space="preserve"> </w:t>
      </w:r>
      <w:proofErr w:type="spellStart"/>
      <w:r w:rsidRPr="001E38A2">
        <w:rPr>
          <w:lang w:val="en-GB"/>
        </w:rPr>
        <w:t>behavior</w:t>
      </w:r>
      <w:proofErr w:type="spellEnd"/>
      <w:r w:rsidRPr="001E38A2">
        <w:rPr>
          <w:lang w:val="en-GB"/>
        </w:rPr>
        <w:t xml:space="preserve"> block, as shown in Figure 5-4 (Role-specific </w:t>
      </w:r>
      <w:proofErr w:type="spellStart"/>
      <w:r w:rsidRPr="001E38A2">
        <w:rPr>
          <w:lang w:val="en-GB"/>
        </w:rPr>
        <w:t>behavior</w:t>
      </w:r>
      <w:proofErr w:type="spellEnd"/>
      <w:r w:rsidRPr="001E38A2">
        <w:rPr>
          <w:lang w:val="en-GB"/>
        </w:rPr>
        <w:t xml:space="preserve"> block for a non-GLK AP). This block</w:t>
      </w:r>
      <w:r>
        <w:rPr>
          <w:lang w:val="en-GB"/>
        </w:rPr>
        <w:t xml:space="preserve"> </w:t>
      </w:r>
      <w:r w:rsidRPr="001E38A2">
        <w:rPr>
          <w:lang w:val="en-GB"/>
        </w:rPr>
        <w:t>provides access to the DS for associated non-AP STAs as described in 4.5.2.1.</w:t>
      </w:r>
      <w:r w:rsidR="00AB132E">
        <w:rPr>
          <w:lang w:val="en-GB"/>
        </w:rPr>
        <w:t>”</w:t>
      </w:r>
    </w:p>
    <w:p w14:paraId="76589B09" w14:textId="4A81CD58" w:rsidR="006C7C6E" w:rsidRDefault="006C7C6E" w:rsidP="00B43BF5">
      <w:pPr>
        <w:rPr>
          <w:lang w:val="en-GB"/>
        </w:rPr>
      </w:pPr>
    </w:p>
    <w:p w14:paraId="70AF91DE" w14:textId="74571C5A" w:rsidR="00F24D4D" w:rsidRDefault="004B3A8D" w:rsidP="00B43BF5">
      <w:pPr>
        <w:rPr>
          <w:lang w:val="en-GB"/>
        </w:rPr>
      </w:pPr>
      <w:r>
        <w:rPr>
          <w:lang w:val="en-GB"/>
        </w:rPr>
        <w:t>With respect to clause 7</w:t>
      </w:r>
      <w:r w:rsidR="00045B16">
        <w:rPr>
          <w:lang w:val="en-GB"/>
        </w:rPr>
        <w:t xml:space="preserve"> and clause 5.1.5.3</w:t>
      </w:r>
      <w:r w:rsidR="00876B68">
        <w:rPr>
          <w:lang w:val="en-GB"/>
        </w:rPr>
        <w:t xml:space="preserve">, </w:t>
      </w:r>
      <w:r w:rsidR="008E609C">
        <w:rPr>
          <w:lang w:val="en-GB"/>
        </w:rPr>
        <w:t>a</w:t>
      </w:r>
      <w:r w:rsidR="00876B68">
        <w:rPr>
          <w:lang w:val="en-GB"/>
        </w:rPr>
        <w:t xml:space="preserve"> non-AP MLD maps to an </w:t>
      </w:r>
      <w:r w:rsidR="00045B16">
        <w:rPr>
          <w:lang w:val="en-GB"/>
        </w:rPr>
        <w:t xml:space="preserve">STA and a AP MLD maps to an AP for the purpose of these </w:t>
      </w:r>
      <w:r w:rsidR="008E609C">
        <w:rPr>
          <w:lang w:val="en-GB"/>
        </w:rPr>
        <w:t>requirements</w:t>
      </w:r>
      <w:r w:rsidR="00045B16">
        <w:rPr>
          <w:lang w:val="en-GB"/>
        </w:rPr>
        <w:t xml:space="preserve">. </w:t>
      </w:r>
    </w:p>
    <w:p w14:paraId="0F174968" w14:textId="640D6897" w:rsidR="001D3C7D" w:rsidRDefault="001D3C7D" w:rsidP="00B43BF5">
      <w:pPr>
        <w:rPr>
          <w:lang w:val="en-GB"/>
        </w:rPr>
      </w:pPr>
    </w:p>
    <w:p w14:paraId="4BD965C5" w14:textId="77777777" w:rsidR="00695E91" w:rsidRDefault="00695E91" w:rsidP="00695E91">
      <w:pPr>
        <w:rPr>
          <w:lang w:val="en-GB"/>
        </w:rPr>
      </w:pPr>
      <w:r>
        <w:rPr>
          <w:lang w:val="en-GB"/>
        </w:rPr>
        <w:t xml:space="preserve">The following document, </w:t>
      </w:r>
      <w:hyperlink r:id="rId7" w:history="1">
        <w:r w:rsidRPr="003A3DFB">
          <w:rPr>
            <w:rStyle w:val="Hyperlink"/>
            <w:lang w:val="en-GB"/>
          </w:rPr>
          <w:t>https://mentor.ieee.org/802.11/dcn/21/11-21-0316-00-0arc-mlo-architecture-reference-model.pptx</w:t>
        </w:r>
      </w:hyperlink>
      <w:r>
        <w:rPr>
          <w:lang w:val="en-GB"/>
        </w:rPr>
        <w:t xml:space="preserve"> provides a reference model for MLO. </w:t>
      </w:r>
    </w:p>
    <w:p w14:paraId="71725FFD" w14:textId="0B756C1E" w:rsidR="00695E91" w:rsidRDefault="00695E91" w:rsidP="00B43BF5">
      <w:pPr>
        <w:rPr>
          <w:lang w:val="en-GB"/>
        </w:rPr>
      </w:pPr>
    </w:p>
    <w:p w14:paraId="32C17D10" w14:textId="7D9602E1" w:rsidR="00233A67" w:rsidRDefault="00233A67" w:rsidP="00B43BF5">
      <w:pPr>
        <w:rPr>
          <w:lang w:val="en-GB"/>
        </w:rPr>
      </w:pPr>
      <w:r>
        <w:rPr>
          <w:lang w:val="en-GB"/>
        </w:rPr>
        <w:t xml:space="preserve">At this point, it’s difficult to determine what the issues are and </w:t>
      </w:r>
      <w:r w:rsidR="00567781">
        <w:rPr>
          <w:lang w:val="en-GB"/>
        </w:rPr>
        <w:t>what changes need to be made to the draft to address the issues.</w:t>
      </w:r>
    </w:p>
    <w:p w14:paraId="049CF9BA" w14:textId="29B7EC0E" w:rsidR="00BE4E85" w:rsidRDefault="00BE4E85" w:rsidP="00BE4E85">
      <w:pPr>
        <w:pStyle w:val="Heading3"/>
      </w:pPr>
      <w:r>
        <w:t>Proposed Resolution:</w:t>
      </w:r>
      <w:r w:rsidR="00EB3887">
        <w:t xml:space="preserve"> </w:t>
      </w:r>
    </w:p>
    <w:p w14:paraId="653A31FF" w14:textId="127A9C52" w:rsidR="00BE4E85" w:rsidRPr="00BE4E85" w:rsidRDefault="00567781" w:rsidP="00BE4E85">
      <w:pPr>
        <w:rPr>
          <w:lang w:val="en-GB"/>
        </w:rPr>
      </w:pPr>
      <w:r>
        <w:rPr>
          <w:lang w:val="en-GB"/>
        </w:rPr>
        <w:t xml:space="preserve">Rejected. The comment makes general assertions </w:t>
      </w:r>
      <w:r w:rsidR="00F8136B">
        <w:rPr>
          <w:lang w:val="en-GB"/>
        </w:rPr>
        <w:t xml:space="preserve">that changes are required to clauses 4.5, 5.1.5.3, and 7 but does not explain in any detail exactly what changes need to be made. </w:t>
      </w:r>
      <w:r w:rsidR="004154F0">
        <w:rPr>
          <w:lang w:val="en-GB"/>
        </w:rPr>
        <w:t xml:space="preserve">A reference architecture for MLO has been provided in </w:t>
      </w:r>
      <w:hyperlink r:id="rId8" w:history="1">
        <w:r w:rsidR="004154F0" w:rsidRPr="003A3DFB">
          <w:rPr>
            <w:rStyle w:val="Hyperlink"/>
            <w:lang w:val="en-GB"/>
          </w:rPr>
          <w:t>https://mentor.ieee.org/802.11/dcn/21/11-21-0316-00-0arc-mlo-architecture-reference-model.pptx</w:t>
        </w:r>
      </w:hyperlink>
      <w:r w:rsidR="000F210D">
        <w:rPr>
          <w:lang w:val="en-GB"/>
        </w:rPr>
        <w:t xml:space="preserve"> but </w:t>
      </w:r>
      <w:proofErr w:type="spellStart"/>
      <w:r w:rsidR="000F210D">
        <w:rPr>
          <w:lang w:val="en-GB"/>
        </w:rPr>
        <w:t>its</w:t>
      </w:r>
      <w:proofErr w:type="spellEnd"/>
      <w:r w:rsidR="000F210D">
        <w:rPr>
          <w:lang w:val="en-GB"/>
        </w:rPr>
        <w:t xml:space="preserve"> not clear what </w:t>
      </w:r>
      <w:r w:rsidR="00532B34">
        <w:rPr>
          <w:lang w:val="en-GB"/>
        </w:rPr>
        <w:t xml:space="preserve">changes need to be made to the draft to improve the description </w:t>
      </w:r>
      <w:r w:rsidR="00922F29">
        <w:rPr>
          <w:lang w:val="en-GB"/>
        </w:rPr>
        <w:t xml:space="preserve">and requirements </w:t>
      </w:r>
      <w:r w:rsidR="00532B34">
        <w:rPr>
          <w:lang w:val="en-GB"/>
        </w:rPr>
        <w:t>for MLO</w:t>
      </w:r>
      <w:r w:rsidR="00922F29">
        <w:rPr>
          <w:lang w:val="en-GB"/>
        </w:rPr>
        <w:t>.</w:t>
      </w:r>
      <w:r>
        <w:rPr>
          <w:lang w:val="en-GB"/>
        </w:rPr>
        <w:t xml:space="preserve"> </w:t>
      </w:r>
      <w:r w:rsidR="00DB02F4" w:rsidRPr="00DB02F4">
        <w:rPr>
          <w:lang w:val="en-GB"/>
        </w:rPr>
        <w:t>The comment fails to identify changes in sufficient detail so that the specific wording of the changes that will satisfy the commenter can be determined</w:t>
      </w:r>
      <w:r w:rsidR="00590913">
        <w:rPr>
          <w:lang w:val="en-GB"/>
        </w:rPr>
        <w:t xml:space="preserve">. </w:t>
      </w:r>
    </w:p>
    <w:p w14:paraId="7710B8AD" w14:textId="4C448F3D" w:rsidR="00AF2ADD" w:rsidRDefault="00AF2ADD">
      <w:r>
        <w:br w:type="page"/>
      </w:r>
    </w:p>
    <w:p w14:paraId="65AF83F9" w14:textId="77777777" w:rsidR="00AF2ADD" w:rsidRDefault="00AF2ADD" w:rsidP="00AF2ADD">
      <w:pPr>
        <w:pStyle w:val="Heading3"/>
        <w:tabs>
          <w:tab w:val="left" w:pos="5760"/>
        </w:tabs>
      </w:pPr>
      <w:r>
        <w:lastRenderedPageBreak/>
        <w:t>Comment</w:t>
      </w:r>
      <w:r>
        <w:tab/>
      </w:r>
    </w:p>
    <w:tbl>
      <w:tblPr>
        <w:tblStyle w:val="TableGrid"/>
        <w:tblW w:w="10060" w:type="dxa"/>
        <w:tblLook w:val="04A0" w:firstRow="1" w:lastRow="0" w:firstColumn="1" w:lastColumn="0" w:noHBand="0" w:noVBand="1"/>
      </w:tblPr>
      <w:tblGrid>
        <w:gridCol w:w="680"/>
        <w:gridCol w:w="1038"/>
        <w:gridCol w:w="1039"/>
        <w:gridCol w:w="4468"/>
        <w:gridCol w:w="2835"/>
      </w:tblGrid>
      <w:tr w:rsidR="00AF2ADD" w14:paraId="25C98378" w14:textId="77777777" w:rsidTr="00777E5E">
        <w:trPr>
          <w:trHeight w:val="374"/>
        </w:trPr>
        <w:tc>
          <w:tcPr>
            <w:tcW w:w="680" w:type="dxa"/>
            <w:hideMark/>
          </w:tcPr>
          <w:p w14:paraId="1966D06F" w14:textId="77777777" w:rsidR="00AF2ADD" w:rsidRDefault="00AF2ADD" w:rsidP="00777E5E">
            <w:pPr>
              <w:rPr>
                <w:rFonts w:ascii="Arial" w:hAnsi="Arial" w:cs="Arial"/>
                <w:b/>
                <w:bCs/>
                <w:sz w:val="20"/>
                <w:szCs w:val="20"/>
              </w:rPr>
            </w:pPr>
            <w:r>
              <w:rPr>
                <w:rFonts w:ascii="Calibri" w:hAnsi="Calibri" w:cs="Calibri"/>
                <w:b/>
                <w:bCs/>
                <w:sz w:val="22"/>
                <w:szCs w:val="22"/>
              </w:rPr>
              <w:t>CID</w:t>
            </w:r>
          </w:p>
        </w:tc>
        <w:tc>
          <w:tcPr>
            <w:tcW w:w="1038" w:type="dxa"/>
            <w:hideMark/>
          </w:tcPr>
          <w:p w14:paraId="1856F829" w14:textId="77777777" w:rsidR="00AF2ADD" w:rsidRDefault="00AF2ADD" w:rsidP="00777E5E">
            <w:pPr>
              <w:rPr>
                <w:rFonts w:ascii="Arial" w:hAnsi="Arial" w:cs="Arial"/>
                <w:b/>
                <w:bCs/>
                <w:sz w:val="20"/>
                <w:szCs w:val="20"/>
              </w:rPr>
            </w:pPr>
            <w:r>
              <w:rPr>
                <w:rFonts w:ascii="Calibri" w:hAnsi="Calibri" w:cs="Calibri"/>
                <w:b/>
                <w:bCs/>
                <w:sz w:val="22"/>
                <w:szCs w:val="22"/>
              </w:rPr>
              <w:t>Clause</w:t>
            </w:r>
          </w:p>
        </w:tc>
        <w:tc>
          <w:tcPr>
            <w:tcW w:w="1039" w:type="dxa"/>
            <w:hideMark/>
          </w:tcPr>
          <w:p w14:paraId="5B7AFB75" w14:textId="77777777" w:rsidR="00AF2ADD" w:rsidRDefault="00AF2ADD" w:rsidP="00777E5E">
            <w:pPr>
              <w:rPr>
                <w:rFonts w:ascii="Arial" w:hAnsi="Arial" w:cs="Arial"/>
                <w:b/>
                <w:bCs/>
                <w:sz w:val="20"/>
                <w:szCs w:val="20"/>
              </w:rPr>
            </w:pPr>
            <w:r>
              <w:rPr>
                <w:rFonts w:ascii="Calibri" w:hAnsi="Calibri" w:cs="Calibri"/>
                <w:b/>
                <w:bCs/>
                <w:sz w:val="22"/>
                <w:szCs w:val="22"/>
              </w:rPr>
              <w:t>Page</w:t>
            </w:r>
          </w:p>
        </w:tc>
        <w:tc>
          <w:tcPr>
            <w:tcW w:w="4468" w:type="dxa"/>
            <w:hideMark/>
          </w:tcPr>
          <w:p w14:paraId="180DAB0C" w14:textId="77777777" w:rsidR="00AF2ADD" w:rsidRDefault="00AF2ADD" w:rsidP="00777E5E">
            <w:pPr>
              <w:rPr>
                <w:rFonts w:ascii="Arial" w:hAnsi="Arial" w:cs="Arial"/>
                <w:b/>
                <w:bCs/>
                <w:sz w:val="20"/>
                <w:szCs w:val="20"/>
              </w:rPr>
            </w:pPr>
            <w:r>
              <w:rPr>
                <w:rFonts w:ascii="Calibri" w:hAnsi="Calibri" w:cs="Calibri"/>
                <w:b/>
                <w:bCs/>
                <w:sz w:val="22"/>
                <w:szCs w:val="22"/>
              </w:rPr>
              <w:t>Comment</w:t>
            </w:r>
          </w:p>
        </w:tc>
        <w:tc>
          <w:tcPr>
            <w:tcW w:w="2835" w:type="dxa"/>
            <w:hideMark/>
          </w:tcPr>
          <w:p w14:paraId="5F67A248" w14:textId="77777777" w:rsidR="00AF2ADD" w:rsidRDefault="00AF2ADD" w:rsidP="00777E5E">
            <w:pPr>
              <w:rPr>
                <w:rFonts w:ascii="Arial" w:hAnsi="Arial" w:cs="Arial"/>
                <w:b/>
                <w:bCs/>
                <w:sz w:val="20"/>
                <w:szCs w:val="20"/>
              </w:rPr>
            </w:pPr>
            <w:r>
              <w:rPr>
                <w:rFonts w:ascii="Calibri" w:hAnsi="Calibri" w:cs="Calibri"/>
                <w:b/>
                <w:bCs/>
                <w:sz w:val="22"/>
                <w:szCs w:val="22"/>
              </w:rPr>
              <w:t>Proposed Change</w:t>
            </w:r>
          </w:p>
        </w:tc>
      </w:tr>
      <w:tr w:rsidR="00AF2ADD" w14:paraId="7B19C990" w14:textId="77777777" w:rsidTr="00777E5E">
        <w:trPr>
          <w:trHeight w:val="840"/>
        </w:trPr>
        <w:tc>
          <w:tcPr>
            <w:tcW w:w="680" w:type="dxa"/>
          </w:tcPr>
          <w:p w14:paraId="5F5183B5" w14:textId="77777777" w:rsidR="00AF2ADD" w:rsidRDefault="00AF2ADD" w:rsidP="00777E5E">
            <w:pPr>
              <w:rPr>
                <w:rFonts w:ascii="Arial" w:hAnsi="Arial" w:cs="Arial"/>
                <w:b/>
                <w:bCs/>
                <w:sz w:val="20"/>
                <w:szCs w:val="20"/>
              </w:rPr>
            </w:pPr>
            <w:r>
              <w:rPr>
                <w:rFonts w:ascii="Arial" w:hAnsi="Arial" w:cs="Arial"/>
                <w:sz w:val="20"/>
                <w:szCs w:val="20"/>
              </w:rPr>
              <w:t>2085</w:t>
            </w:r>
          </w:p>
        </w:tc>
        <w:tc>
          <w:tcPr>
            <w:tcW w:w="1038" w:type="dxa"/>
          </w:tcPr>
          <w:p w14:paraId="5536B109" w14:textId="77777777" w:rsidR="00AF2ADD" w:rsidRDefault="00AF2ADD" w:rsidP="00777E5E">
            <w:pPr>
              <w:rPr>
                <w:rFonts w:ascii="Arial" w:hAnsi="Arial" w:cs="Arial"/>
                <w:b/>
                <w:bCs/>
                <w:sz w:val="20"/>
                <w:szCs w:val="20"/>
              </w:rPr>
            </w:pPr>
            <w:r>
              <w:rPr>
                <w:rFonts w:ascii="Arial" w:hAnsi="Arial" w:cs="Arial"/>
                <w:sz w:val="20"/>
                <w:szCs w:val="20"/>
              </w:rPr>
              <w:t> </w:t>
            </w:r>
          </w:p>
        </w:tc>
        <w:tc>
          <w:tcPr>
            <w:tcW w:w="1039" w:type="dxa"/>
          </w:tcPr>
          <w:p w14:paraId="2E3290E5" w14:textId="77777777" w:rsidR="00AF2ADD" w:rsidRDefault="00AF2ADD" w:rsidP="00777E5E">
            <w:pPr>
              <w:rPr>
                <w:rFonts w:ascii="Arial" w:hAnsi="Arial" w:cs="Arial"/>
                <w:b/>
                <w:bCs/>
                <w:sz w:val="20"/>
                <w:szCs w:val="20"/>
              </w:rPr>
            </w:pPr>
            <w:r>
              <w:rPr>
                <w:rFonts w:ascii="Arial" w:hAnsi="Arial" w:cs="Arial"/>
                <w:sz w:val="20"/>
                <w:szCs w:val="20"/>
              </w:rPr>
              <w:t>0.00</w:t>
            </w:r>
          </w:p>
        </w:tc>
        <w:tc>
          <w:tcPr>
            <w:tcW w:w="4468" w:type="dxa"/>
          </w:tcPr>
          <w:p w14:paraId="64ED66DF" w14:textId="77777777" w:rsidR="00AF2ADD" w:rsidRDefault="00AF2ADD" w:rsidP="00777E5E">
            <w:pPr>
              <w:rPr>
                <w:rFonts w:ascii="Arial" w:hAnsi="Arial" w:cs="Arial"/>
                <w:b/>
                <w:bCs/>
                <w:sz w:val="20"/>
                <w:szCs w:val="20"/>
              </w:rPr>
            </w:pPr>
            <w:r>
              <w:rPr>
                <w:rFonts w:ascii="Arial" w:hAnsi="Arial" w:cs="Arial"/>
                <w:sz w:val="20"/>
                <w:szCs w:val="20"/>
              </w:rPr>
              <w:t>This draft has many network, architecture, and security issues due to the introduction of MLO and the way it is being specified.  802.11 should try to align as best it can with 802 network architecture and concept.  This current draft does not seem to even attempt to do so and in the process may break the base standard's ability to provide logical links in an 802 network.</w:t>
            </w:r>
          </w:p>
        </w:tc>
        <w:tc>
          <w:tcPr>
            <w:tcW w:w="2835" w:type="dxa"/>
          </w:tcPr>
          <w:p w14:paraId="0290765F" w14:textId="77777777" w:rsidR="00AF2ADD" w:rsidRDefault="00AF2ADD" w:rsidP="00777E5E">
            <w:pPr>
              <w:rPr>
                <w:rFonts w:ascii="Arial" w:hAnsi="Arial" w:cs="Arial"/>
                <w:b/>
                <w:bCs/>
                <w:sz w:val="20"/>
                <w:szCs w:val="20"/>
              </w:rPr>
            </w:pPr>
            <w:r>
              <w:rPr>
                <w:rFonts w:ascii="Arial" w:hAnsi="Arial" w:cs="Arial"/>
                <w:sz w:val="20"/>
                <w:szCs w:val="20"/>
              </w:rPr>
              <w:t> </w:t>
            </w:r>
          </w:p>
        </w:tc>
      </w:tr>
    </w:tbl>
    <w:p w14:paraId="732487F9" w14:textId="77777777" w:rsidR="00AF2ADD" w:rsidRDefault="00AF2ADD" w:rsidP="00AF2ADD">
      <w:pPr>
        <w:pStyle w:val="Heading3"/>
      </w:pPr>
      <w:r>
        <w:t>Discussion:</w:t>
      </w:r>
    </w:p>
    <w:p w14:paraId="5B8141E2" w14:textId="5F7383F1" w:rsidR="00AF2ADD" w:rsidRDefault="0044354B" w:rsidP="00AF2ADD">
      <w:pPr>
        <w:rPr>
          <w:lang w:val="en-GB"/>
        </w:rPr>
      </w:pPr>
      <w:r>
        <w:rPr>
          <w:lang w:val="en-GB"/>
        </w:rPr>
        <w:t xml:space="preserve">The comment asserts that there are many network, architecture, and security issues with the </w:t>
      </w:r>
      <w:r w:rsidR="000E5A1C">
        <w:rPr>
          <w:lang w:val="en-GB"/>
        </w:rPr>
        <w:t xml:space="preserve">draft. However the comment fails to point to any specific </w:t>
      </w:r>
      <w:r w:rsidR="00143364">
        <w:rPr>
          <w:lang w:val="en-GB"/>
        </w:rPr>
        <w:t xml:space="preserve">issues with the current </w:t>
      </w:r>
      <w:r w:rsidR="00EB611F">
        <w:rPr>
          <w:lang w:val="en-GB"/>
        </w:rPr>
        <w:t xml:space="preserve">specification </w:t>
      </w:r>
      <w:r w:rsidR="00143364">
        <w:rPr>
          <w:lang w:val="en-GB"/>
        </w:rPr>
        <w:t xml:space="preserve"> of </w:t>
      </w:r>
      <w:r w:rsidR="007A7650">
        <w:rPr>
          <w:lang w:val="en-GB"/>
        </w:rPr>
        <w:t xml:space="preserve">requirements for </w:t>
      </w:r>
      <w:r w:rsidR="00143364">
        <w:rPr>
          <w:lang w:val="en-GB"/>
        </w:rPr>
        <w:t>MLO</w:t>
      </w:r>
      <w:r w:rsidR="000E5A1C">
        <w:rPr>
          <w:lang w:val="en-GB"/>
        </w:rPr>
        <w:t xml:space="preserve"> </w:t>
      </w:r>
      <w:proofErr w:type="spellStart"/>
      <w:r w:rsidR="007A7650">
        <w:rPr>
          <w:lang w:val="en-GB"/>
        </w:rPr>
        <w:t>behavior</w:t>
      </w:r>
      <w:proofErr w:type="spellEnd"/>
      <w:r w:rsidR="007A7650">
        <w:rPr>
          <w:lang w:val="en-GB"/>
        </w:rPr>
        <w:t xml:space="preserve"> </w:t>
      </w:r>
      <w:r w:rsidR="000E5A1C">
        <w:rPr>
          <w:lang w:val="en-GB"/>
        </w:rPr>
        <w:t xml:space="preserve">that </w:t>
      </w:r>
      <w:r w:rsidR="00143364">
        <w:rPr>
          <w:lang w:val="en-GB"/>
        </w:rPr>
        <w:t xml:space="preserve">need to be resolved. </w:t>
      </w:r>
    </w:p>
    <w:p w14:paraId="6D999ECC" w14:textId="396DE7AE" w:rsidR="00581457" w:rsidRDefault="00581457" w:rsidP="00AF2ADD">
      <w:pPr>
        <w:rPr>
          <w:lang w:val="en-GB"/>
        </w:rPr>
      </w:pPr>
    </w:p>
    <w:p w14:paraId="485DC385" w14:textId="49693B71" w:rsidR="00581457" w:rsidRDefault="00581457" w:rsidP="00AF2ADD">
      <w:pPr>
        <w:rPr>
          <w:lang w:val="en-GB"/>
        </w:rPr>
      </w:pPr>
      <w:r>
        <w:rPr>
          <w:lang w:val="en-GB"/>
        </w:rPr>
        <w:t xml:space="preserve">The following document, </w:t>
      </w:r>
      <w:hyperlink r:id="rId9" w:history="1">
        <w:r w:rsidRPr="003A3DFB">
          <w:rPr>
            <w:rStyle w:val="Hyperlink"/>
            <w:lang w:val="en-GB"/>
          </w:rPr>
          <w:t>https://mentor.ieee.org/802.11/dcn/21/11-21-0316-00-0arc-mlo-architecture-reference-model.pptx</w:t>
        </w:r>
      </w:hyperlink>
      <w:r>
        <w:rPr>
          <w:lang w:val="en-GB"/>
        </w:rPr>
        <w:t xml:space="preserve"> provides a reference model for </w:t>
      </w:r>
      <w:r w:rsidR="003F58D5">
        <w:rPr>
          <w:lang w:val="en-GB"/>
        </w:rPr>
        <w:t xml:space="preserve">MLO. </w:t>
      </w:r>
    </w:p>
    <w:p w14:paraId="08C960A2" w14:textId="77777777" w:rsidR="00AF2ADD" w:rsidRDefault="00AF2ADD" w:rsidP="00AF2ADD">
      <w:pPr>
        <w:rPr>
          <w:lang w:val="en-GB"/>
        </w:rPr>
      </w:pPr>
    </w:p>
    <w:p w14:paraId="308CDF0D" w14:textId="0FE79DC5" w:rsidR="00AF2ADD" w:rsidRDefault="00AF2ADD" w:rsidP="00AF2ADD">
      <w:pPr>
        <w:pStyle w:val="Heading3"/>
      </w:pPr>
      <w:r>
        <w:t xml:space="preserve">Proposed Resolution: </w:t>
      </w:r>
    </w:p>
    <w:p w14:paraId="2755B20B" w14:textId="2902B769" w:rsidR="00AF2ADD" w:rsidRPr="00BE4E85" w:rsidRDefault="00B00170" w:rsidP="00AF2ADD">
      <w:pPr>
        <w:rPr>
          <w:lang w:val="en-GB"/>
        </w:rPr>
      </w:pPr>
      <w:r>
        <w:rPr>
          <w:lang w:val="en-GB"/>
        </w:rPr>
        <w:t xml:space="preserve">Rejected. </w:t>
      </w:r>
      <w:r w:rsidR="006A0CC7">
        <w:rPr>
          <w:lang w:val="en-GB"/>
        </w:rPr>
        <w:t xml:space="preserve">The comment does not provide any detail on networking, architecture, or security issues </w:t>
      </w:r>
      <w:r w:rsidR="001B2434">
        <w:rPr>
          <w:lang w:val="en-GB"/>
        </w:rPr>
        <w:t xml:space="preserve">for MLO that can be </w:t>
      </w:r>
      <w:r w:rsidR="005D5DEE">
        <w:rPr>
          <w:lang w:val="en-GB"/>
        </w:rPr>
        <w:t xml:space="preserve">addressed by changes to the draft. </w:t>
      </w:r>
      <w:r w:rsidR="001D7DEF">
        <w:rPr>
          <w:lang w:val="en-GB"/>
        </w:rPr>
        <w:t xml:space="preserve">A document describing a reference architecture for MLO </w:t>
      </w:r>
      <w:r>
        <w:rPr>
          <w:lang w:val="en-GB"/>
        </w:rPr>
        <w:t xml:space="preserve">was provided in </w:t>
      </w:r>
      <w:hyperlink r:id="rId10" w:history="1">
        <w:r w:rsidRPr="003A3DFB">
          <w:rPr>
            <w:rStyle w:val="Hyperlink"/>
            <w:lang w:val="en-GB"/>
          </w:rPr>
          <w:t>https://mentor.ieee.org/802.11/dcn/21/11-21-0316-00-0arc-mlo-architecture-reference-model.pptx</w:t>
        </w:r>
      </w:hyperlink>
      <w:r>
        <w:rPr>
          <w:lang w:val="en-GB"/>
        </w:rPr>
        <w:t xml:space="preserve">. </w:t>
      </w:r>
      <w:r w:rsidR="00047179">
        <w:rPr>
          <w:lang w:val="en-GB"/>
        </w:rPr>
        <w:t>As a result, t</w:t>
      </w:r>
      <w:r w:rsidR="006A0CC7" w:rsidRPr="006A0CC7">
        <w:rPr>
          <w:lang w:val="en-GB"/>
        </w:rPr>
        <w:t>he comment fails to identify changes in sufficient detail so that the specific wording of the changes that will satisfy the commenter can be determined.</w:t>
      </w:r>
    </w:p>
    <w:p w14:paraId="1D9C0BF1" w14:textId="77777777" w:rsidR="00AF2ADD" w:rsidRDefault="00AF2ADD" w:rsidP="00AF2ADD"/>
    <w:p w14:paraId="18EBA6DF" w14:textId="77777777" w:rsidR="00AF2ADD" w:rsidRDefault="00AF2ADD" w:rsidP="00AF2ADD"/>
    <w:p w14:paraId="653F5985" w14:textId="77777777" w:rsidR="00B43BF5" w:rsidRDefault="00B43BF5" w:rsidP="00BE4E85"/>
    <w:sectPr w:rsidR="00B43BF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93089" w14:textId="77777777" w:rsidR="009613A1" w:rsidRDefault="009613A1">
      <w:r>
        <w:separator/>
      </w:r>
    </w:p>
  </w:endnote>
  <w:endnote w:type="continuationSeparator" w:id="0">
    <w:p w14:paraId="3A062CCB" w14:textId="77777777" w:rsidR="009613A1" w:rsidRDefault="0096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67F2" w14:textId="44A47CE6" w:rsidR="00A34156" w:rsidRDefault="00A16A05">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EF64E" w14:textId="77777777" w:rsidR="009613A1" w:rsidRDefault="009613A1">
      <w:r>
        <w:separator/>
      </w:r>
    </w:p>
  </w:footnote>
  <w:footnote w:type="continuationSeparator" w:id="0">
    <w:p w14:paraId="0EA05570" w14:textId="77777777" w:rsidR="009613A1" w:rsidRDefault="0096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5D0D6" w14:textId="20BA685C" w:rsidR="00A34156" w:rsidRDefault="00A16A05">
    <w:pPr>
      <w:pStyle w:val="Header"/>
      <w:tabs>
        <w:tab w:val="clear" w:pos="6480"/>
        <w:tab w:val="center" w:pos="4680"/>
        <w:tab w:val="right" w:pos="9360"/>
      </w:tabs>
    </w:pPr>
    <w:fldSimple w:instr=" KEYWORDS  \* MERGEFORMAT ">
      <w:r w:rsidR="000242E4">
        <w:t>March 2021</w:t>
      </w:r>
    </w:fldSimple>
    <w:r w:rsidR="00A34156">
      <w:tab/>
    </w:r>
    <w:r w:rsidR="00A34156">
      <w:tab/>
    </w:r>
    <w:fldSimple w:instr=" TITLE  \* MERGEFORMAT ">
      <w:r w:rsidR="006C6101">
        <w:t>doc.: IEEE 802.11-21/0562r0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5"/>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8"/>
  </w:num>
  <w:num w:numId="26">
    <w:abstractNumId w:val="3"/>
  </w:num>
  <w:num w:numId="27">
    <w:abstractNumId w:val="7"/>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9"/>
  </w:num>
  <w:num w:numId="30">
    <w:abstractNumId w:val="6"/>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6107"/>
    <w:rsid w:val="00017EF9"/>
    <w:rsid w:val="00020AB3"/>
    <w:rsid w:val="00020FEB"/>
    <w:rsid w:val="00021C35"/>
    <w:rsid w:val="00022238"/>
    <w:rsid w:val="000227CF"/>
    <w:rsid w:val="000228DF"/>
    <w:rsid w:val="000242E4"/>
    <w:rsid w:val="00025A44"/>
    <w:rsid w:val="00026CA2"/>
    <w:rsid w:val="00030DAD"/>
    <w:rsid w:val="00032902"/>
    <w:rsid w:val="00035944"/>
    <w:rsid w:val="00036707"/>
    <w:rsid w:val="00036CBA"/>
    <w:rsid w:val="000373B5"/>
    <w:rsid w:val="00040E31"/>
    <w:rsid w:val="00040EF7"/>
    <w:rsid w:val="00041DA8"/>
    <w:rsid w:val="00041FCA"/>
    <w:rsid w:val="00042120"/>
    <w:rsid w:val="0004283C"/>
    <w:rsid w:val="00045B16"/>
    <w:rsid w:val="00047179"/>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6893"/>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74D4"/>
    <w:rsid w:val="000B1BFA"/>
    <w:rsid w:val="000B2070"/>
    <w:rsid w:val="000B3E97"/>
    <w:rsid w:val="000B4273"/>
    <w:rsid w:val="000B54AE"/>
    <w:rsid w:val="000B568C"/>
    <w:rsid w:val="000B703A"/>
    <w:rsid w:val="000B73E0"/>
    <w:rsid w:val="000C09EA"/>
    <w:rsid w:val="000C1397"/>
    <w:rsid w:val="000C17C4"/>
    <w:rsid w:val="000C189F"/>
    <w:rsid w:val="000C3194"/>
    <w:rsid w:val="000C3EFA"/>
    <w:rsid w:val="000C3F53"/>
    <w:rsid w:val="000C4FD3"/>
    <w:rsid w:val="000C5283"/>
    <w:rsid w:val="000C708E"/>
    <w:rsid w:val="000D06E3"/>
    <w:rsid w:val="000D11A0"/>
    <w:rsid w:val="000D11C6"/>
    <w:rsid w:val="000D1939"/>
    <w:rsid w:val="000D1E20"/>
    <w:rsid w:val="000D25F2"/>
    <w:rsid w:val="000D457F"/>
    <w:rsid w:val="000D6ABE"/>
    <w:rsid w:val="000D7B9D"/>
    <w:rsid w:val="000E11A6"/>
    <w:rsid w:val="000E38F5"/>
    <w:rsid w:val="000E3E73"/>
    <w:rsid w:val="000E5A1C"/>
    <w:rsid w:val="000E7F85"/>
    <w:rsid w:val="000F01D7"/>
    <w:rsid w:val="000F1064"/>
    <w:rsid w:val="000F210D"/>
    <w:rsid w:val="000F2CE9"/>
    <w:rsid w:val="000F32EA"/>
    <w:rsid w:val="000F3391"/>
    <w:rsid w:val="000F38EA"/>
    <w:rsid w:val="000F3DD6"/>
    <w:rsid w:val="000F4291"/>
    <w:rsid w:val="00101897"/>
    <w:rsid w:val="00101A41"/>
    <w:rsid w:val="00102224"/>
    <w:rsid w:val="0010436E"/>
    <w:rsid w:val="00105846"/>
    <w:rsid w:val="001059F4"/>
    <w:rsid w:val="00106AB2"/>
    <w:rsid w:val="00106E64"/>
    <w:rsid w:val="001107F2"/>
    <w:rsid w:val="00110B69"/>
    <w:rsid w:val="00113CC7"/>
    <w:rsid w:val="001148E9"/>
    <w:rsid w:val="00117A9E"/>
    <w:rsid w:val="0012017F"/>
    <w:rsid w:val="001229A5"/>
    <w:rsid w:val="00124E1B"/>
    <w:rsid w:val="00130A0A"/>
    <w:rsid w:val="0013316E"/>
    <w:rsid w:val="001336A2"/>
    <w:rsid w:val="00135E9F"/>
    <w:rsid w:val="00136811"/>
    <w:rsid w:val="001407FB"/>
    <w:rsid w:val="00141B9A"/>
    <w:rsid w:val="00143364"/>
    <w:rsid w:val="0015119B"/>
    <w:rsid w:val="001523B6"/>
    <w:rsid w:val="00153EFF"/>
    <w:rsid w:val="001546EE"/>
    <w:rsid w:val="00154D51"/>
    <w:rsid w:val="001555A8"/>
    <w:rsid w:val="0015736B"/>
    <w:rsid w:val="00157CA5"/>
    <w:rsid w:val="00160883"/>
    <w:rsid w:val="00163A3F"/>
    <w:rsid w:val="00163B60"/>
    <w:rsid w:val="00163DC9"/>
    <w:rsid w:val="00164E09"/>
    <w:rsid w:val="00164E6F"/>
    <w:rsid w:val="0016704E"/>
    <w:rsid w:val="00167C22"/>
    <w:rsid w:val="0017004E"/>
    <w:rsid w:val="001728C6"/>
    <w:rsid w:val="00174B19"/>
    <w:rsid w:val="00175960"/>
    <w:rsid w:val="00176D5D"/>
    <w:rsid w:val="001776FF"/>
    <w:rsid w:val="0018317D"/>
    <w:rsid w:val="0018375B"/>
    <w:rsid w:val="0018434D"/>
    <w:rsid w:val="00184CE4"/>
    <w:rsid w:val="0018535B"/>
    <w:rsid w:val="00191B17"/>
    <w:rsid w:val="001926B5"/>
    <w:rsid w:val="00193CC5"/>
    <w:rsid w:val="00197533"/>
    <w:rsid w:val="001A5BDA"/>
    <w:rsid w:val="001A6B87"/>
    <w:rsid w:val="001B0316"/>
    <w:rsid w:val="001B12B2"/>
    <w:rsid w:val="001B195B"/>
    <w:rsid w:val="001B1FEE"/>
    <w:rsid w:val="001B2434"/>
    <w:rsid w:val="001B2736"/>
    <w:rsid w:val="001B7195"/>
    <w:rsid w:val="001C08B2"/>
    <w:rsid w:val="001C0C3B"/>
    <w:rsid w:val="001C1B64"/>
    <w:rsid w:val="001C1D5F"/>
    <w:rsid w:val="001C1DC0"/>
    <w:rsid w:val="001C446D"/>
    <w:rsid w:val="001C47D4"/>
    <w:rsid w:val="001C62AC"/>
    <w:rsid w:val="001C7AB6"/>
    <w:rsid w:val="001D3C7D"/>
    <w:rsid w:val="001D4D56"/>
    <w:rsid w:val="001D5509"/>
    <w:rsid w:val="001D723B"/>
    <w:rsid w:val="001D738C"/>
    <w:rsid w:val="001D7DEF"/>
    <w:rsid w:val="001E0535"/>
    <w:rsid w:val="001E0883"/>
    <w:rsid w:val="001E38A2"/>
    <w:rsid w:val="001E5686"/>
    <w:rsid w:val="001F1AFD"/>
    <w:rsid w:val="001F7219"/>
    <w:rsid w:val="00200C2F"/>
    <w:rsid w:val="00201E33"/>
    <w:rsid w:val="002039CE"/>
    <w:rsid w:val="00203F4D"/>
    <w:rsid w:val="00205EA1"/>
    <w:rsid w:val="00206977"/>
    <w:rsid w:val="002122B1"/>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33A67"/>
    <w:rsid w:val="002412FB"/>
    <w:rsid w:val="00241D09"/>
    <w:rsid w:val="002423EC"/>
    <w:rsid w:val="00242862"/>
    <w:rsid w:val="002447C0"/>
    <w:rsid w:val="00246E70"/>
    <w:rsid w:val="00247D22"/>
    <w:rsid w:val="00252823"/>
    <w:rsid w:val="00252827"/>
    <w:rsid w:val="00252CD7"/>
    <w:rsid w:val="00252DC2"/>
    <w:rsid w:val="002607A3"/>
    <w:rsid w:val="002627B1"/>
    <w:rsid w:val="00262863"/>
    <w:rsid w:val="002667AF"/>
    <w:rsid w:val="00271587"/>
    <w:rsid w:val="002728F0"/>
    <w:rsid w:val="00272C3E"/>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70DC"/>
    <w:rsid w:val="00297326"/>
    <w:rsid w:val="00297A8B"/>
    <w:rsid w:val="00297B90"/>
    <w:rsid w:val="002A3C25"/>
    <w:rsid w:val="002A63BE"/>
    <w:rsid w:val="002A6826"/>
    <w:rsid w:val="002A6D6C"/>
    <w:rsid w:val="002B34E0"/>
    <w:rsid w:val="002B7146"/>
    <w:rsid w:val="002B7609"/>
    <w:rsid w:val="002B7A5F"/>
    <w:rsid w:val="002C14C3"/>
    <w:rsid w:val="002C19CF"/>
    <w:rsid w:val="002C2AC7"/>
    <w:rsid w:val="002C3918"/>
    <w:rsid w:val="002C3ABC"/>
    <w:rsid w:val="002C435E"/>
    <w:rsid w:val="002C4A2F"/>
    <w:rsid w:val="002C50AD"/>
    <w:rsid w:val="002C5B13"/>
    <w:rsid w:val="002D27C6"/>
    <w:rsid w:val="002D44BE"/>
    <w:rsid w:val="002D4DCA"/>
    <w:rsid w:val="002D54D5"/>
    <w:rsid w:val="002D6103"/>
    <w:rsid w:val="002D6D65"/>
    <w:rsid w:val="002D6E60"/>
    <w:rsid w:val="002E2557"/>
    <w:rsid w:val="002E2AD8"/>
    <w:rsid w:val="002E3C67"/>
    <w:rsid w:val="002E7EBB"/>
    <w:rsid w:val="002F0851"/>
    <w:rsid w:val="002F2200"/>
    <w:rsid w:val="002F23D0"/>
    <w:rsid w:val="002F3BB7"/>
    <w:rsid w:val="002F4410"/>
    <w:rsid w:val="002F5212"/>
    <w:rsid w:val="002F6CD9"/>
    <w:rsid w:val="002F6DF2"/>
    <w:rsid w:val="003047FA"/>
    <w:rsid w:val="003054FC"/>
    <w:rsid w:val="003055BA"/>
    <w:rsid w:val="0030736C"/>
    <w:rsid w:val="00312DF0"/>
    <w:rsid w:val="00313FDB"/>
    <w:rsid w:val="00314F22"/>
    <w:rsid w:val="003206B5"/>
    <w:rsid w:val="00322E93"/>
    <w:rsid w:val="0032674E"/>
    <w:rsid w:val="00330F4D"/>
    <w:rsid w:val="00331BE6"/>
    <w:rsid w:val="0033248A"/>
    <w:rsid w:val="003326A4"/>
    <w:rsid w:val="00334BBA"/>
    <w:rsid w:val="00334C5F"/>
    <w:rsid w:val="00334D6D"/>
    <w:rsid w:val="0033624D"/>
    <w:rsid w:val="00336568"/>
    <w:rsid w:val="00337C3C"/>
    <w:rsid w:val="0034061F"/>
    <w:rsid w:val="003437B3"/>
    <w:rsid w:val="0034386C"/>
    <w:rsid w:val="00343C25"/>
    <w:rsid w:val="00343CB8"/>
    <w:rsid w:val="00347C18"/>
    <w:rsid w:val="00350001"/>
    <w:rsid w:val="00354D92"/>
    <w:rsid w:val="00355E06"/>
    <w:rsid w:val="0035698B"/>
    <w:rsid w:val="00356F4D"/>
    <w:rsid w:val="00363739"/>
    <w:rsid w:val="00370181"/>
    <w:rsid w:val="00370348"/>
    <w:rsid w:val="00370544"/>
    <w:rsid w:val="00371060"/>
    <w:rsid w:val="00371579"/>
    <w:rsid w:val="003726CD"/>
    <w:rsid w:val="00374060"/>
    <w:rsid w:val="003757F8"/>
    <w:rsid w:val="0037782E"/>
    <w:rsid w:val="00380887"/>
    <w:rsid w:val="00381A87"/>
    <w:rsid w:val="00381B4E"/>
    <w:rsid w:val="003826AC"/>
    <w:rsid w:val="00382EDF"/>
    <w:rsid w:val="0038302A"/>
    <w:rsid w:val="00385C70"/>
    <w:rsid w:val="00391ED7"/>
    <w:rsid w:val="00391F5A"/>
    <w:rsid w:val="00392306"/>
    <w:rsid w:val="00394635"/>
    <w:rsid w:val="00394D7F"/>
    <w:rsid w:val="003959F9"/>
    <w:rsid w:val="003A0866"/>
    <w:rsid w:val="003A13A3"/>
    <w:rsid w:val="003A1799"/>
    <w:rsid w:val="003A2DD2"/>
    <w:rsid w:val="003A3692"/>
    <w:rsid w:val="003A46EB"/>
    <w:rsid w:val="003A5136"/>
    <w:rsid w:val="003A521F"/>
    <w:rsid w:val="003A7880"/>
    <w:rsid w:val="003A7CB2"/>
    <w:rsid w:val="003B0148"/>
    <w:rsid w:val="003B0D33"/>
    <w:rsid w:val="003B11F1"/>
    <w:rsid w:val="003B22A1"/>
    <w:rsid w:val="003B2F28"/>
    <w:rsid w:val="003B4325"/>
    <w:rsid w:val="003C3689"/>
    <w:rsid w:val="003C3732"/>
    <w:rsid w:val="003C3987"/>
    <w:rsid w:val="003D1FC6"/>
    <w:rsid w:val="003D291D"/>
    <w:rsid w:val="003D671E"/>
    <w:rsid w:val="003E06A8"/>
    <w:rsid w:val="003E1961"/>
    <w:rsid w:val="003E1B56"/>
    <w:rsid w:val="003E62BE"/>
    <w:rsid w:val="003E77FE"/>
    <w:rsid w:val="003F1BA1"/>
    <w:rsid w:val="003F2DCC"/>
    <w:rsid w:val="003F482F"/>
    <w:rsid w:val="003F58D5"/>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28F"/>
    <w:rsid w:val="00411674"/>
    <w:rsid w:val="004134CA"/>
    <w:rsid w:val="00414350"/>
    <w:rsid w:val="004154F0"/>
    <w:rsid w:val="00420CFB"/>
    <w:rsid w:val="00421D74"/>
    <w:rsid w:val="00422901"/>
    <w:rsid w:val="00423C5A"/>
    <w:rsid w:val="00424B09"/>
    <w:rsid w:val="00427684"/>
    <w:rsid w:val="00427738"/>
    <w:rsid w:val="004319C7"/>
    <w:rsid w:val="0043211D"/>
    <w:rsid w:val="00432C29"/>
    <w:rsid w:val="0043313C"/>
    <w:rsid w:val="004337D5"/>
    <w:rsid w:val="00433BAB"/>
    <w:rsid w:val="00436290"/>
    <w:rsid w:val="00442037"/>
    <w:rsid w:val="0044354B"/>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40AA"/>
    <w:rsid w:val="00475178"/>
    <w:rsid w:val="00475C6E"/>
    <w:rsid w:val="00476544"/>
    <w:rsid w:val="004768A2"/>
    <w:rsid w:val="00480B5A"/>
    <w:rsid w:val="00481F66"/>
    <w:rsid w:val="00485C07"/>
    <w:rsid w:val="00485FD5"/>
    <w:rsid w:val="00487B34"/>
    <w:rsid w:val="00487E41"/>
    <w:rsid w:val="00490AAC"/>
    <w:rsid w:val="00493C58"/>
    <w:rsid w:val="00494E42"/>
    <w:rsid w:val="004969E6"/>
    <w:rsid w:val="004A0EF6"/>
    <w:rsid w:val="004A1F0A"/>
    <w:rsid w:val="004A2DD0"/>
    <w:rsid w:val="004A35B1"/>
    <w:rsid w:val="004A363E"/>
    <w:rsid w:val="004A6053"/>
    <w:rsid w:val="004B064B"/>
    <w:rsid w:val="004B0BD8"/>
    <w:rsid w:val="004B1B1F"/>
    <w:rsid w:val="004B21D2"/>
    <w:rsid w:val="004B2531"/>
    <w:rsid w:val="004B2AC5"/>
    <w:rsid w:val="004B3A8D"/>
    <w:rsid w:val="004B7893"/>
    <w:rsid w:val="004C010D"/>
    <w:rsid w:val="004C104D"/>
    <w:rsid w:val="004C40F5"/>
    <w:rsid w:val="004C4AC3"/>
    <w:rsid w:val="004C5EE7"/>
    <w:rsid w:val="004D1F92"/>
    <w:rsid w:val="004D2E62"/>
    <w:rsid w:val="004D44E2"/>
    <w:rsid w:val="004D5B2F"/>
    <w:rsid w:val="004D6506"/>
    <w:rsid w:val="004D7BDC"/>
    <w:rsid w:val="004E0412"/>
    <w:rsid w:val="004E2640"/>
    <w:rsid w:val="004E35E0"/>
    <w:rsid w:val="004E49B0"/>
    <w:rsid w:val="004E4F0C"/>
    <w:rsid w:val="004E5DB2"/>
    <w:rsid w:val="004E719D"/>
    <w:rsid w:val="004F38A1"/>
    <w:rsid w:val="004F3DF8"/>
    <w:rsid w:val="004F633C"/>
    <w:rsid w:val="004F7D86"/>
    <w:rsid w:val="0050036B"/>
    <w:rsid w:val="0050113A"/>
    <w:rsid w:val="0050152F"/>
    <w:rsid w:val="00501DB8"/>
    <w:rsid w:val="0050539E"/>
    <w:rsid w:val="00506FE6"/>
    <w:rsid w:val="00507166"/>
    <w:rsid w:val="00507688"/>
    <w:rsid w:val="00512731"/>
    <w:rsid w:val="00514630"/>
    <w:rsid w:val="00514E51"/>
    <w:rsid w:val="005159B8"/>
    <w:rsid w:val="00515CEB"/>
    <w:rsid w:val="005208B3"/>
    <w:rsid w:val="0052329E"/>
    <w:rsid w:val="005250BF"/>
    <w:rsid w:val="0052606F"/>
    <w:rsid w:val="00526379"/>
    <w:rsid w:val="00532413"/>
    <w:rsid w:val="0053275B"/>
    <w:rsid w:val="00532B34"/>
    <w:rsid w:val="0053382A"/>
    <w:rsid w:val="00533A12"/>
    <w:rsid w:val="00537F5B"/>
    <w:rsid w:val="005408B3"/>
    <w:rsid w:val="00540B70"/>
    <w:rsid w:val="00542057"/>
    <w:rsid w:val="0054309E"/>
    <w:rsid w:val="00544D59"/>
    <w:rsid w:val="00547444"/>
    <w:rsid w:val="00552DDE"/>
    <w:rsid w:val="00555CD8"/>
    <w:rsid w:val="005607BA"/>
    <w:rsid w:val="005615DD"/>
    <w:rsid w:val="00561921"/>
    <w:rsid w:val="00562CE2"/>
    <w:rsid w:val="0056625F"/>
    <w:rsid w:val="00567781"/>
    <w:rsid w:val="00572584"/>
    <w:rsid w:val="00572E80"/>
    <w:rsid w:val="00574B99"/>
    <w:rsid w:val="00575022"/>
    <w:rsid w:val="0057682B"/>
    <w:rsid w:val="00576EC7"/>
    <w:rsid w:val="00577879"/>
    <w:rsid w:val="00580123"/>
    <w:rsid w:val="00580673"/>
    <w:rsid w:val="00580D28"/>
    <w:rsid w:val="00581457"/>
    <w:rsid w:val="00581835"/>
    <w:rsid w:val="00581F76"/>
    <w:rsid w:val="00582684"/>
    <w:rsid w:val="00582717"/>
    <w:rsid w:val="005847C3"/>
    <w:rsid w:val="00585BDF"/>
    <w:rsid w:val="00586C60"/>
    <w:rsid w:val="00590913"/>
    <w:rsid w:val="0059315C"/>
    <w:rsid w:val="0059476D"/>
    <w:rsid w:val="00595869"/>
    <w:rsid w:val="005958F7"/>
    <w:rsid w:val="00596F92"/>
    <w:rsid w:val="005A046B"/>
    <w:rsid w:val="005A1DB7"/>
    <w:rsid w:val="005A545E"/>
    <w:rsid w:val="005A73FF"/>
    <w:rsid w:val="005A781D"/>
    <w:rsid w:val="005A782B"/>
    <w:rsid w:val="005B0717"/>
    <w:rsid w:val="005B10FD"/>
    <w:rsid w:val="005B21CE"/>
    <w:rsid w:val="005B2E06"/>
    <w:rsid w:val="005B3BD5"/>
    <w:rsid w:val="005B4103"/>
    <w:rsid w:val="005B49B8"/>
    <w:rsid w:val="005B5645"/>
    <w:rsid w:val="005C0CCF"/>
    <w:rsid w:val="005C3F10"/>
    <w:rsid w:val="005C5C7F"/>
    <w:rsid w:val="005C7A0B"/>
    <w:rsid w:val="005D17FA"/>
    <w:rsid w:val="005D262D"/>
    <w:rsid w:val="005D3346"/>
    <w:rsid w:val="005D36D6"/>
    <w:rsid w:val="005D5DEE"/>
    <w:rsid w:val="005E0882"/>
    <w:rsid w:val="005E2727"/>
    <w:rsid w:val="005E2887"/>
    <w:rsid w:val="005E2FD0"/>
    <w:rsid w:val="005E3EF4"/>
    <w:rsid w:val="005E4667"/>
    <w:rsid w:val="005E77A7"/>
    <w:rsid w:val="005F140F"/>
    <w:rsid w:val="005F3A7A"/>
    <w:rsid w:val="005F5B58"/>
    <w:rsid w:val="005F6DD2"/>
    <w:rsid w:val="00601473"/>
    <w:rsid w:val="006036D9"/>
    <w:rsid w:val="00612A45"/>
    <w:rsid w:val="00612E1B"/>
    <w:rsid w:val="006134A0"/>
    <w:rsid w:val="006164B8"/>
    <w:rsid w:val="006179A1"/>
    <w:rsid w:val="006219A9"/>
    <w:rsid w:val="00623110"/>
    <w:rsid w:val="0062440B"/>
    <w:rsid w:val="00624CC3"/>
    <w:rsid w:val="00635AE1"/>
    <w:rsid w:val="00636405"/>
    <w:rsid w:val="00636BAF"/>
    <w:rsid w:val="00637269"/>
    <w:rsid w:val="00637F7D"/>
    <w:rsid w:val="006423D7"/>
    <w:rsid w:val="00642AA3"/>
    <w:rsid w:val="006431E2"/>
    <w:rsid w:val="00643283"/>
    <w:rsid w:val="006435CF"/>
    <w:rsid w:val="006445FA"/>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D1C"/>
    <w:rsid w:val="00673664"/>
    <w:rsid w:val="00673D0E"/>
    <w:rsid w:val="00675B09"/>
    <w:rsid w:val="006767CD"/>
    <w:rsid w:val="006772CE"/>
    <w:rsid w:val="00680E2F"/>
    <w:rsid w:val="00682179"/>
    <w:rsid w:val="00682312"/>
    <w:rsid w:val="006825E2"/>
    <w:rsid w:val="006843CF"/>
    <w:rsid w:val="00684CBA"/>
    <w:rsid w:val="00685171"/>
    <w:rsid w:val="006854C9"/>
    <w:rsid w:val="006873B8"/>
    <w:rsid w:val="00695E91"/>
    <w:rsid w:val="006977A5"/>
    <w:rsid w:val="006A0CC7"/>
    <w:rsid w:val="006A19E6"/>
    <w:rsid w:val="006A367E"/>
    <w:rsid w:val="006A3D3F"/>
    <w:rsid w:val="006A5C3B"/>
    <w:rsid w:val="006A78EE"/>
    <w:rsid w:val="006B0EB6"/>
    <w:rsid w:val="006B30D9"/>
    <w:rsid w:val="006B4121"/>
    <w:rsid w:val="006B4666"/>
    <w:rsid w:val="006C0727"/>
    <w:rsid w:val="006C3AF6"/>
    <w:rsid w:val="006C486B"/>
    <w:rsid w:val="006C6101"/>
    <w:rsid w:val="006C7C6E"/>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E7104"/>
    <w:rsid w:val="006F2EC1"/>
    <w:rsid w:val="006F3B7D"/>
    <w:rsid w:val="006F3EAD"/>
    <w:rsid w:val="006F53C6"/>
    <w:rsid w:val="00702507"/>
    <w:rsid w:val="00702FC4"/>
    <w:rsid w:val="00704817"/>
    <w:rsid w:val="00705C94"/>
    <w:rsid w:val="007061E2"/>
    <w:rsid w:val="00706E58"/>
    <w:rsid w:val="007147BE"/>
    <w:rsid w:val="00715303"/>
    <w:rsid w:val="00716548"/>
    <w:rsid w:val="00716F69"/>
    <w:rsid w:val="007178A7"/>
    <w:rsid w:val="007214DA"/>
    <w:rsid w:val="007216E5"/>
    <w:rsid w:val="007223C4"/>
    <w:rsid w:val="00722692"/>
    <w:rsid w:val="00722B9E"/>
    <w:rsid w:val="00723A71"/>
    <w:rsid w:val="00724618"/>
    <w:rsid w:val="0072545E"/>
    <w:rsid w:val="00727208"/>
    <w:rsid w:val="007313CF"/>
    <w:rsid w:val="00732073"/>
    <w:rsid w:val="0073221E"/>
    <w:rsid w:val="0073262D"/>
    <w:rsid w:val="00732D16"/>
    <w:rsid w:val="00732FF8"/>
    <w:rsid w:val="00737B2C"/>
    <w:rsid w:val="007431F0"/>
    <w:rsid w:val="00756723"/>
    <w:rsid w:val="00762966"/>
    <w:rsid w:val="0076567A"/>
    <w:rsid w:val="007665C6"/>
    <w:rsid w:val="00767AEB"/>
    <w:rsid w:val="00770572"/>
    <w:rsid w:val="007747DC"/>
    <w:rsid w:val="007757FA"/>
    <w:rsid w:val="00775EFA"/>
    <w:rsid w:val="00781C8E"/>
    <w:rsid w:val="007835CF"/>
    <w:rsid w:val="00783FF6"/>
    <w:rsid w:val="007900B0"/>
    <w:rsid w:val="00792045"/>
    <w:rsid w:val="007935BF"/>
    <w:rsid w:val="007942F8"/>
    <w:rsid w:val="007967E4"/>
    <w:rsid w:val="007A282A"/>
    <w:rsid w:val="007A3078"/>
    <w:rsid w:val="007A4330"/>
    <w:rsid w:val="007A4E2B"/>
    <w:rsid w:val="007A5120"/>
    <w:rsid w:val="007A5ECD"/>
    <w:rsid w:val="007A7650"/>
    <w:rsid w:val="007A7E92"/>
    <w:rsid w:val="007B0835"/>
    <w:rsid w:val="007B2948"/>
    <w:rsid w:val="007B2C9F"/>
    <w:rsid w:val="007B45B5"/>
    <w:rsid w:val="007C0FFE"/>
    <w:rsid w:val="007C4142"/>
    <w:rsid w:val="007C46A6"/>
    <w:rsid w:val="007C4DA3"/>
    <w:rsid w:val="007C6D57"/>
    <w:rsid w:val="007D123F"/>
    <w:rsid w:val="007D36EA"/>
    <w:rsid w:val="007D371B"/>
    <w:rsid w:val="007D3ACA"/>
    <w:rsid w:val="007D46E9"/>
    <w:rsid w:val="007D65C1"/>
    <w:rsid w:val="007D6AC2"/>
    <w:rsid w:val="007E0B97"/>
    <w:rsid w:val="007E12F6"/>
    <w:rsid w:val="007E13C3"/>
    <w:rsid w:val="007E1BB7"/>
    <w:rsid w:val="007E4ABA"/>
    <w:rsid w:val="007E7633"/>
    <w:rsid w:val="007E7E30"/>
    <w:rsid w:val="007F2BB8"/>
    <w:rsid w:val="007F35F3"/>
    <w:rsid w:val="007F465B"/>
    <w:rsid w:val="007F4FB2"/>
    <w:rsid w:val="007F7016"/>
    <w:rsid w:val="008020C5"/>
    <w:rsid w:val="00803033"/>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3FC8"/>
    <w:rsid w:val="008355C8"/>
    <w:rsid w:val="00835BD3"/>
    <w:rsid w:val="00835FC2"/>
    <w:rsid w:val="00840803"/>
    <w:rsid w:val="00840B66"/>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55C7"/>
    <w:rsid w:val="008673EA"/>
    <w:rsid w:val="0086747D"/>
    <w:rsid w:val="00867CBE"/>
    <w:rsid w:val="00870288"/>
    <w:rsid w:val="008710E0"/>
    <w:rsid w:val="00872321"/>
    <w:rsid w:val="00872AEC"/>
    <w:rsid w:val="0087434D"/>
    <w:rsid w:val="00875C42"/>
    <w:rsid w:val="00876B68"/>
    <w:rsid w:val="008804EF"/>
    <w:rsid w:val="00880A78"/>
    <w:rsid w:val="00884F31"/>
    <w:rsid w:val="00886928"/>
    <w:rsid w:val="008877DA"/>
    <w:rsid w:val="0089654B"/>
    <w:rsid w:val="00896E5E"/>
    <w:rsid w:val="00897637"/>
    <w:rsid w:val="0089764B"/>
    <w:rsid w:val="008A7B95"/>
    <w:rsid w:val="008B23AA"/>
    <w:rsid w:val="008B2E75"/>
    <w:rsid w:val="008C079B"/>
    <w:rsid w:val="008C09F2"/>
    <w:rsid w:val="008C160D"/>
    <w:rsid w:val="008C1B61"/>
    <w:rsid w:val="008C225F"/>
    <w:rsid w:val="008C533B"/>
    <w:rsid w:val="008D3B2C"/>
    <w:rsid w:val="008D44FD"/>
    <w:rsid w:val="008D6F1F"/>
    <w:rsid w:val="008E3D29"/>
    <w:rsid w:val="008E4EBD"/>
    <w:rsid w:val="008E54FB"/>
    <w:rsid w:val="008E609C"/>
    <w:rsid w:val="008E67DA"/>
    <w:rsid w:val="008E6E69"/>
    <w:rsid w:val="008E77E6"/>
    <w:rsid w:val="008E7F3A"/>
    <w:rsid w:val="008F069E"/>
    <w:rsid w:val="008F11D9"/>
    <w:rsid w:val="008F241A"/>
    <w:rsid w:val="008F2B96"/>
    <w:rsid w:val="008F3011"/>
    <w:rsid w:val="008F405C"/>
    <w:rsid w:val="008F5037"/>
    <w:rsid w:val="008F7F02"/>
    <w:rsid w:val="00901B48"/>
    <w:rsid w:val="00902CD5"/>
    <w:rsid w:val="00902D40"/>
    <w:rsid w:val="00902DBF"/>
    <w:rsid w:val="0090308F"/>
    <w:rsid w:val="0090324C"/>
    <w:rsid w:val="00906A64"/>
    <w:rsid w:val="00910F68"/>
    <w:rsid w:val="00912D48"/>
    <w:rsid w:val="00912D79"/>
    <w:rsid w:val="00913F78"/>
    <w:rsid w:val="0091496D"/>
    <w:rsid w:val="009211DD"/>
    <w:rsid w:val="00921C83"/>
    <w:rsid w:val="00922F29"/>
    <w:rsid w:val="00923357"/>
    <w:rsid w:val="0092365D"/>
    <w:rsid w:val="00923DFB"/>
    <w:rsid w:val="009253F3"/>
    <w:rsid w:val="009265B2"/>
    <w:rsid w:val="00926C5A"/>
    <w:rsid w:val="00927962"/>
    <w:rsid w:val="00930B8C"/>
    <w:rsid w:val="00931DB3"/>
    <w:rsid w:val="00932E11"/>
    <w:rsid w:val="00932E5D"/>
    <w:rsid w:val="009415FC"/>
    <w:rsid w:val="00941B46"/>
    <w:rsid w:val="00942CA5"/>
    <w:rsid w:val="0094513A"/>
    <w:rsid w:val="00945340"/>
    <w:rsid w:val="00946E23"/>
    <w:rsid w:val="009528E8"/>
    <w:rsid w:val="00952ADC"/>
    <w:rsid w:val="0095685F"/>
    <w:rsid w:val="00957566"/>
    <w:rsid w:val="009613A1"/>
    <w:rsid w:val="00962201"/>
    <w:rsid w:val="00962ADD"/>
    <w:rsid w:val="00962D02"/>
    <w:rsid w:val="00962F0C"/>
    <w:rsid w:val="0096350D"/>
    <w:rsid w:val="00964922"/>
    <w:rsid w:val="00965367"/>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95CAD"/>
    <w:rsid w:val="009A0849"/>
    <w:rsid w:val="009A09CA"/>
    <w:rsid w:val="009A2434"/>
    <w:rsid w:val="009A489C"/>
    <w:rsid w:val="009A489E"/>
    <w:rsid w:val="009A6F84"/>
    <w:rsid w:val="009A77DC"/>
    <w:rsid w:val="009B083B"/>
    <w:rsid w:val="009B1763"/>
    <w:rsid w:val="009B3FA9"/>
    <w:rsid w:val="009B72E4"/>
    <w:rsid w:val="009B7C32"/>
    <w:rsid w:val="009C24D4"/>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6DA9"/>
    <w:rsid w:val="00A144C2"/>
    <w:rsid w:val="00A16735"/>
    <w:rsid w:val="00A16A0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60480"/>
    <w:rsid w:val="00A6137D"/>
    <w:rsid w:val="00A65C49"/>
    <w:rsid w:val="00A70D32"/>
    <w:rsid w:val="00A71BDE"/>
    <w:rsid w:val="00A80D4D"/>
    <w:rsid w:val="00A838CE"/>
    <w:rsid w:val="00A85355"/>
    <w:rsid w:val="00A87BE7"/>
    <w:rsid w:val="00A91F06"/>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132E"/>
    <w:rsid w:val="00AB28DE"/>
    <w:rsid w:val="00AB2B84"/>
    <w:rsid w:val="00AB7100"/>
    <w:rsid w:val="00AC129D"/>
    <w:rsid w:val="00AC5755"/>
    <w:rsid w:val="00AC5A81"/>
    <w:rsid w:val="00AC5D7A"/>
    <w:rsid w:val="00AD0299"/>
    <w:rsid w:val="00AD2005"/>
    <w:rsid w:val="00AD30CD"/>
    <w:rsid w:val="00AD3951"/>
    <w:rsid w:val="00AD4A47"/>
    <w:rsid w:val="00AD7D91"/>
    <w:rsid w:val="00AE1A10"/>
    <w:rsid w:val="00AE43E6"/>
    <w:rsid w:val="00AE4459"/>
    <w:rsid w:val="00AE4B9D"/>
    <w:rsid w:val="00AE4EE4"/>
    <w:rsid w:val="00AE7B83"/>
    <w:rsid w:val="00AE7E0A"/>
    <w:rsid w:val="00AF12E6"/>
    <w:rsid w:val="00AF2303"/>
    <w:rsid w:val="00AF2891"/>
    <w:rsid w:val="00AF2ADD"/>
    <w:rsid w:val="00AF2ADF"/>
    <w:rsid w:val="00AF5B5F"/>
    <w:rsid w:val="00AF65EA"/>
    <w:rsid w:val="00AF7175"/>
    <w:rsid w:val="00AF7E59"/>
    <w:rsid w:val="00B00170"/>
    <w:rsid w:val="00B0071E"/>
    <w:rsid w:val="00B01834"/>
    <w:rsid w:val="00B04639"/>
    <w:rsid w:val="00B04F69"/>
    <w:rsid w:val="00B074E7"/>
    <w:rsid w:val="00B11A48"/>
    <w:rsid w:val="00B132FA"/>
    <w:rsid w:val="00B13D84"/>
    <w:rsid w:val="00B14EED"/>
    <w:rsid w:val="00B16470"/>
    <w:rsid w:val="00B16E5F"/>
    <w:rsid w:val="00B214CE"/>
    <w:rsid w:val="00B21D1C"/>
    <w:rsid w:val="00B2202F"/>
    <w:rsid w:val="00B23DE6"/>
    <w:rsid w:val="00B24EC9"/>
    <w:rsid w:val="00B27BEC"/>
    <w:rsid w:val="00B27CD6"/>
    <w:rsid w:val="00B30949"/>
    <w:rsid w:val="00B31FCD"/>
    <w:rsid w:val="00B3424D"/>
    <w:rsid w:val="00B352EA"/>
    <w:rsid w:val="00B36C24"/>
    <w:rsid w:val="00B37DD7"/>
    <w:rsid w:val="00B417D6"/>
    <w:rsid w:val="00B43BF5"/>
    <w:rsid w:val="00B44068"/>
    <w:rsid w:val="00B4478F"/>
    <w:rsid w:val="00B458BB"/>
    <w:rsid w:val="00B478B4"/>
    <w:rsid w:val="00B501DA"/>
    <w:rsid w:val="00B52611"/>
    <w:rsid w:val="00B534E4"/>
    <w:rsid w:val="00B56725"/>
    <w:rsid w:val="00B605A1"/>
    <w:rsid w:val="00B61CFC"/>
    <w:rsid w:val="00B63B6C"/>
    <w:rsid w:val="00B64DE4"/>
    <w:rsid w:val="00B729B9"/>
    <w:rsid w:val="00B72B75"/>
    <w:rsid w:val="00B7326F"/>
    <w:rsid w:val="00B82E41"/>
    <w:rsid w:val="00B8468C"/>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B029B"/>
    <w:rsid w:val="00BB2E97"/>
    <w:rsid w:val="00BB4F2D"/>
    <w:rsid w:val="00BB5AAE"/>
    <w:rsid w:val="00BB6E71"/>
    <w:rsid w:val="00BB7911"/>
    <w:rsid w:val="00BB7E16"/>
    <w:rsid w:val="00BC1391"/>
    <w:rsid w:val="00BC2CD2"/>
    <w:rsid w:val="00BC404F"/>
    <w:rsid w:val="00BC45C8"/>
    <w:rsid w:val="00BC51EC"/>
    <w:rsid w:val="00BC5CE3"/>
    <w:rsid w:val="00BD3094"/>
    <w:rsid w:val="00BD30E6"/>
    <w:rsid w:val="00BD43E1"/>
    <w:rsid w:val="00BD446B"/>
    <w:rsid w:val="00BD4A42"/>
    <w:rsid w:val="00BD7EC9"/>
    <w:rsid w:val="00BE1329"/>
    <w:rsid w:val="00BE17EA"/>
    <w:rsid w:val="00BE2C79"/>
    <w:rsid w:val="00BE39BE"/>
    <w:rsid w:val="00BE3B8A"/>
    <w:rsid w:val="00BE4E85"/>
    <w:rsid w:val="00BE5E45"/>
    <w:rsid w:val="00BE68C2"/>
    <w:rsid w:val="00BE7D7C"/>
    <w:rsid w:val="00BF0549"/>
    <w:rsid w:val="00BF12A3"/>
    <w:rsid w:val="00BF3404"/>
    <w:rsid w:val="00BF36BB"/>
    <w:rsid w:val="00BF3E4A"/>
    <w:rsid w:val="00BF4C16"/>
    <w:rsid w:val="00BF4F11"/>
    <w:rsid w:val="00C0110D"/>
    <w:rsid w:val="00C016C7"/>
    <w:rsid w:val="00C021FD"/>
    <w:rsid w:val="00C03E09"/>
    <w:rsid w:val="00C05B6B"/>
    <w:rsid w:val="00C10610"/>
    <w:rsid w:val="00C10836"/>
    <w:rsid w:val="00C11DF6"/>
    <w:rsid w:val="00C202E2"/>
    <w:rsid w:val="00C20322"/>
    <w:rsid w:val="00C2111C"/>
    <w:rsid w:val="00C239CA"/>
    <w:rsid w:val="00C248A2"/>
    <w:rsid w:val="00C24AAC"/>
    <w:rsid w:val="00C25188"/>
    <w:rsid w:val="00C259EB"/>
    <w:rsid w:val="00C25C6D"/>
    <w:rsid w:val="00C26425"/>
    <w:rsid w:val="00C26969"/>
    <w:rsid w:val="00C26E2B"/>
    <w:rsid w:val="00C27113"/>
    <w:rsid w:val="00C30229"/>
    <w:rsid w:val="00C31804"/>
    <w:rsid w:val="00C373F7"/>
    <w:rsid w:val="00C40BC7"/>
    <w:rsid w:val="00C433C8"/>
    <w:rsid w:val="00C4357C"/>
    <w:rsid w:val="00C43A81"/>
    <w:rsid w:val="00C45548"/>
    <w:rsid w:val="00C46229"/>
    <w:rsid w:val="00C46B45"/>
    <w:rsid w:val="00C46BC3"/>
    <w:rsid w:val="00C473BF"/>
    <w:rsid w:val="00C50B42"/>
    <w:rsid w:val="00C51610"/>
    <w:rsid w:val="00C51C0B"/>
    <w:rsid w:val="00C600F0"/>
    <w:rsid w:val="00C60585"/>
    <w:rsid w:val="00C62E9C"/>
    <w:rsid w:val="00C63602"/>
    <w:rsid w:val="00C67F4F"/>
    <w:rsid w:val="00C70209"/>
    <w:rsid w:val="00C721A6"/>
    <w:rsid w:val="00C7245C"/>
    <w:rsid w:val="00C77DA2"/>
    <w:rsid w:val="00C811D5"/>
    <w:rsid w:val="00C81AC2"/>
    <w:rsid w:val="00C83F63"/>
    <w:rsid w:val="00C852B3"/>
    <w:rsid w:val="00C853FD"/>
    <w:rsid w:val="00C873F0"/>
    <w:rsid w:val="00C87740"/>
    <w:rsid w:val="00C90A63"/>
    <w:rsid w:val="00C92528"/>
    <w:rsid w:val="00C93E19"/>
    <w:rsid w:val="00C97ADE"/>
    <w:rsid w:val="00CA09B2"/>
    <w:rsid w:val="00CA1463"/>
    <w:rsid w:val="00CA1666"/>
    <w:rsid w:val="00CA3E57"/>
    <w:rsid w:val="00CA4698"/>
    <w:rsid w:val="00CA5D95"/>
    <w:rsid w:val="00CA74E9"/>
    <w:rsid w:val="00CA7FA0"/>
    <w:rsid w:val="00CB3DB7"/>
    <w:rsid w:val="00CB5220"/>
    <w:rsid w:val="00CB59FB"/>
    <w:rsid w:val="00CB5A8D"/>
    <w:rsid w:val="00CB5DC9"/>
    <w:rsid w:val="00CB7490"/>
    <w:rsid w:val="00CB75F8"/>
    <w:rsid w:val="00CC0B44"/>
    <w:rsid w:val="00CC348E"/>
    <w:rsid w:val="00CC3594"/>
    <w:rsid w:val="00CC5561"/>
    <w:rsid w:val="00CC6A46"/>
    <w:rsid w:val="00CC79B2"/>
    <w:rsid w:val="00CD23D7"/>
    <w:rsid w:val="00CD2CFC"/>
    <w:rsid w:val="00CD410B"/>
    <w:rsid w:val="00CD4760"/>
    <w:rsid w:val="00CE1280"/>
    <w:rsid w:val="00CE56AC"/>
    <w:rsid w:val="00CE7454"/>
    <w:rsid w:val="00CE7ECB"/>
    <w:rsid w:val="00CF0034"/>
    <w:rsid w:val="00CF0F9D"/>
    <w:rsid w:val="00CF2802"/>
    <w:rsid w:val="00CF3E6C"/>
    <w:rsid w:val="00CF4C75"/>
    <w:rsid w:val="00CF6326"/>
    <w:rsid w:val="00CF65E1"/>
    <w:rsid w:val="00CF6C42"/>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2F91"/>
    <w:rsid w:val="00D53459"/>
    <w:rsid w:val="00D537BD"/>
    <w:rsid w:val="00D553B5"/>
    <w:rsid w:val="00D62888"/>
    <w:rsid w:val="00D63551"/>
    <w:rsid w:val="00D6465F"/>
    <w:rsid w:val="00D64A85"/>
    <w:rsid w:val="00D66DB4"/>
    <w:rsid w:val="00D670F7"/>
    <w:rsid w:val="00D70A68"/>
    <w:rsid w:val="00D71CF5"/>
    <w:rsid w:val="00D72BDF"/>
    <w:rsid w:val="00D73983"/>
    <w:rsid w:val="00D806E0"/>
    <w:rsid w:val="00D81104"/>
    <w:rsid w:val="00D817A3"/>
    <w:rsid w:val="00D820C1"/>
    <w:rsid w:val="00D86595"/>
    <w:rsid w:val="00D870DE"/>
    <w:rsid w:val="00D90E4E"/>
    <w:rsid w:val="00D91225"/>
    <w:rsid w:val="00D93D8E"/>
    <w:rsid w:val="00D9514F"/>
    <w:rsid w:val="00D951E8"/>
    <w:rsid w:val="00D95DDC"/>
    <w:rsid w:val="00D95F1E"/>
    <w:rsid w:val="00D96DF6"/>
    <w:rsid w:val="00D971E9"/>
    <w:rsid w:val="00D97DCD"/>
    <w:rsid w:val="00DA153C"/>
    <w:rsid w:val="00DA1A66"/>
    <w:rsid w:val="00DA5915"/>
    <w:rsid w:val="00DA66B7"/>
    <w:rsid w:val="00DB0136"/>
    <w:rsid w:val="00DB02F4"/>
    <w:rsid w:val="00DB1198"/>
    <w:rsid w:val="00DB2D11"/>
    <w:rsid w:val="00DB31FA"/>
    <w:rsid w:val="00DB4536"/>
    <w:rsid w:val="00DB5F4F"/>
    <w:rsid w:val="00DB730E"/>
    <w:rsid w:val="00DB78C8"/>
    <w:rsid w:val="00DB7D09"/>
    <w:rsid w:val="00DC1B9D"/>
    <w:rsid w:val="00DC5A7B"/>
    <w:rsid w:val="00DC5BB3"/>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4049"/>
    <w:rsid w:val="00DF40F4"/>
    <w:rsid w:val="00DF4517"/>
    <w:rsid w:val="00DF5A80"/>
    <w:rsid w:val="00DF6A60"/>
    <w:rsid w:val="00E039E2"/>
    <w:rsid w:val="00E03CC2"/>
    <w:rsid w:val="00E067D2"/>
    <w:rsid w:val="00E06A38"/>
    <w:rsid w:val="00E07549"/>
    <w:rsid w:val="00E07D54"/>
    <w:rsid w:val="00E10853"/>
    <w:rsid w:val="00E11A28"/>
    <w:rsid w:val="00E12212"/>
    <w:rsid w:val="00E20664"/>
    <w:rsid w:val="00E20C1F"/>
    <w:rsid w:val="00E2146B"/>
    <w:rsid w:val="00E22DDD"/>
    <w:rsid w:val="00E234CD"/>
    <w:rsid w:val="00E27085"/>
    <w:rsid w:val="00E2789F"/>
    <w:rsid w:val="00E30D5D"/>
    <w:rsid w:val="00E31661"/>
    <w:rsid w:val="00E31F22"/>
    <w:rsid w:val="00E3518B"/>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44F6"/>
    <w:rsid w:val="00E84E06"/>
    <w:rsid w:val="00E85EB6"/>
    <w:rsid w:val="00E85FEE"/>
    <w:rsid w:val="00E92457"/>
    <w:rsid w:val="00E927E7"/>
    <w:rsid w:val="00E93056"/>
    <w:rsid w:val="00E93D64"/>
    <w:rsid w:val="00E9453A"/>
    <w:rsid w:val="00E9681B"/>
    <w:rsid w:val="00EA3B2B"/>
    <w:rsid w:val="00EA71FB"/>
    <w:rsid w:val="00EB03F5"/>
    <w:rsid w:val="00EB2013"/>
    <w:rsid w:val="00EB2961"/>
    <w:rsid w:val="00EB3887"/>
    <w:rsid w:val="00EB3929"/>
    <w:rsid w:val="00EB4E31"/>
    <w:rsid w:val="00EB611F"/>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1091"/>
    <w:rsid w:val="00F11F8D"/>
    <w:rsid w:val="00F156EE"/>
    <w:rsid w:val="00F160CC"/>
    <w:rsid w:val="00F22B78"/>
    <w:rsid w:val="00F23704"/>
    <w:rsid w:val="00F23890"/>
    <w:rsid w:val="00F24D4D"/>
    <w:rsid w:val="00F2768D"/>
    <w:rsid w:val="00F27AFE"/>
    <w:rsid w:val="00F326E0"/>
    <w:rsid w:val="00F3310C"/>
    <w:rsid w:val="00F33B59"/>
    <w:rsid w:val="00F344DA"/>
    <w:rsid w:val="00F355C3"/>
    <w:rsid w:val="00F40DA7"/>
    <w:rsid w:val="00F4263C"/>
    <w:rsid w:val="00F42BF8"/>
    <w:rsid w:val="00F45704"/>
    <w:rsid w:val="00F45E69"/>
    <w:rsid w:val="00F52756"/>
    <w:rsid w:val="00F54809"/>
    <w:rsid w:val="00F61576"/>
    <w:rsid w:val="00F63A7F"/>
    <w:rsid w:val="00F65A16"/>
    <w:rsid w:val="00F65F01"/>
    <w:rsid w:val="00F66C18"/>
    <w:rsid w:val="00F71756"/>
    <w:rsid w:val="00F72299"/>
    <w:rsid w:val="00F73C39"/>
    <w:rsid w:val="00F74A22"/>
    <w:rsid w:val="00F756FC"/>
    <w:rsid w:val="00F77122"/>
    <w:rsid w:val="00F77B52"/>
    <w:rsid w:val="00F77C5B"/>
    <w:rsid w:val="00F8136B"/>
    <w:rsid w:val="00F821CB"/>
    <w:rsid w:val="00F86DDE"/>
    <w:rsid w:val="00F91399"/>
    <w:rsid w:val="00F91BB8"/>
    <w:rsid w:val="00F93701"/>
    <w:rsid w:val="00F969F8"/>
    <w:rsid w:val="00FA03B7"/>
    <w:rsid w:val="00FA2C5A"/>
    <w:rsid w:val="00FA3D79"/>
    <w:rsid w:val="00FA4381"/>
    <w:rsid w:val="00FA482A"/>
    <w:rsid w:val="00FA48B4"/>
    <w:rsid w:val="00FA673D"/>
    <w:rsid w:val="00FB1320"/>
    <w:rsid w:val="00FB1CF5"/>
    <w:rsid w:val="00FB2021"/>
    <w:rsid w:val="00FB3026"/>
    <w:rsid w:val="00FB35D2"/>
    <w:rsid w:val="00FB3CFF"/>
    <w:rsid w:val="00FB3D2A"/>
    <w:rsid w:val="00FB59F1"/>
    <w:rsid w:val="00FB6E92"/>
    <w:rsid w:val="00FC0D60"/>
    <w:rsid w:val="00FC34AA"/>
    <w:rsid w:val="00FC5604"/>
    <w:rsid w:val="00FC6B59"/>
    <w:rsid w:val="00FC6EE7"/>
    <w:rsid w:val="00FD1565"/>
    <w:rsid w:val="00FD15E9"/>
    <w:rsid w:val="00FD1994"/>
    <w:rsid w:val="00FD4017"/>
    <w:rsid w:val="00FD7F19"/>
    <w:rsid w:val="00FE28EB"/>
    <w:rsid w:val="00FE34C5"/>
    <w:rsid w:val="00FE3BFD"/>
    <w:rsid w:val="00FE41FD"/>
    <w:rsid w:val="00FE6AC8"/>
    <w:rsid w:val="00FE7B55"/>
    <w:rsid w:val="00FF0AE7"/>
    <w:rsid w:val="00FF44A1"/>
    <w:rsid w:val="00FF5E8C"/>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Quote">
    <w:name w:val="Quote"/>
    <w:basedOn w:val="Normal"/>
    <w:next w:val="Normal"/>
    <w:link w:val="QuoteChar"/>
    <w:uiPriority w:val="29"/>
    <w:qFormat/>
    <w:rsid w:val="00AB13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132E"/>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316-00-0arc-mlo-architecture-reference-model.ppt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1/11-21-0316-00-0arc-mlo-architecture-reference-model.ppt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21/11-21-0316-00-0arc-mlo-architecture-reference-model.pptx" TargetMode="External"/><Relationship Id="rId4" Type="http://schemas.openxmlformats.org/officeDocument/2006/relationships/webSettings" Target="webSettings.xml"/><Relationship Id="rId9" Type="http://schemas.openxmlformats.org/officeDocument/2006/relationships/hyperlink" Target="https://mentor.ieee.org/802.11/dcn/21/11-21-0316-00-0arc-mlo-architecture-reference-model.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802.11-21/0483r3</vt:lpstr>
    </vt:vector>
  </TitlesOfParts>
  <Manager/>
  <Company>BlackBerry</Company>
  <LinksUpToDate>false</LinksUpToDate>
  <CharactersWithSpaces>6351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802.11-21/0562r0</dc:title>
  <dc:subject>Submission</dc:subject>
  <dc:creator>Michael Montemurro</dc:creator>
  <cp:keywords>March 2021</cp:keywords>
  <dc:description/>
  <cp:lastModifiedBy>Michael Montemurro</cp:lastModifiedBy>
  <cp:revision>74</cp:revision>
  <cp:lastPrinted>1900-01-01T08:00:00Z</cp:lastPrinted>
  <dcterms:created xsi:type="dcterms:W3CDTF">2021-03-30T14:00:00Z</dcterms:created>
  <dcterms:modified xsi:type="dcterms:W3CDTF">2021-03-30T18:35:00Z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