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31CFFB77" w:rsidR="00CA09B2" w:rsidRDefault="00947BBC" w:rsidP="001B7E3A">
            <w:pPr>
              <w:pStyle w:val="T2"/>
            </w:pPr>
            <w:r>
              <w:t>PDT-</w:t>
            </w:r>
            <w:r w:rsidR="007F6B33">
              <w:t>PHY-</w:t>
            </w:r>
            <w:r w:rsidR="001B7E3A">
              <w:t>Clause 3.2 definitions</w:t>
            </w:r>
            <w:r w:rsidR="00BC197E">
              <w:t xml:space="preserve"> updates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4B1EFA65" w:rsidR="00CA09B2" w:rsidRDefault="00CA09B2" w:rsidP="001B7E3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1B7E3A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1B7E3A">
              <w:rPr>
                <w:b w:val="0"/>
                <w:sz w:val="20"/>
              </w:rPr>
              <w:t>03</w:t>
            </w:r>
            <w:r w:rsidR="002D45B5">
              <w:rPr>
                <w:b w:val="0"/>
                <w:sz w:val="20"/>
              </w:rPr>
              <w:t>-</w:t>
            </w:r>
            <w:r w:rsidR="001B7E3A">
              <w:rPr>
                <w:b w:val="0"/>
                <w:sz w:val="20"/>
              </w:rPr>
              <w:t>24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2" w:type="dxa"/>
            <w:vAlign w:val="center"/>
          </w:tcPr>
          <w:p w14:paraId="4C9A021A" w14:textId="5FFBAEE7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 w:rsidR="00EF0CEA">
              <w:rPr>
                <w:rFonts w:eastAsia="맑은 고딕"/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</w:tr>
      <w:tr w:rsidR="005F6AFE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64DF4223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562" w:type="dxa"/>
            <w:vAlign w:val="center"/>
          </w:tcPr>
          <w:p w14:paraId="65B8F5A3" w14:textId="63F93206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814" w:type="dxa"/>
            <w:vAlign w:val="center"/>
          </w:tcPr>
          <w:p w14:paraId="03B46C40" w14:textId="77777777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6A00ECF0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5F6AFE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408EAE72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562" w:type="dxa"/>
            <w:vAlign w:val="center"/>
          </w:tcPr>
          <w:p w14:paraId="50A40DA5" w14:textId="3CC71D89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814" w:type="dxa"/>
            <w:vAlign w:val="center"/>
          </w:tcPr>
          <w:p w14:paraId="40AC661B" w14:textId="1748A4A8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3DC4ED9B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5F6AFE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46DC2F2C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562" w:type="dxa"/>
            <w:vAlign w:val="center"/>
          </w:tcPr>
          <w:p w14:paraId="54364089" w14:textId="080A78FD" w:rsidR="005F6AFE" w:rsidRDefault="005F6AFE" w:rsidP="005F6A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2814" w:type="dxa"/>
            <w:vAlign w:val="center"/>
          </w:tcPr>
          <w:p w14:paraId="4056BBFC" w14:textId="77777777" w:rsidR="005F6AFE" w:rsidRPr="00910FE7" w:rsidRDefault="005F6AFE" w:rsidP="005F6AFE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5F6AFE" w:rsidRPr="00BE00EF" w:rsidRDefault="005F6AFE" w:rsidP="005F6AF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14D038C3" w:rsidR="005F6AFE" w:rsidRPr="00D26733" w:rsidRDefault="005F6AFE" w:rsidP="005F6AF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3F09521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</w:t>
                            </w:r>
                            <w:r w:rsidR="001C4F38">
                              <w:t xml:space="preserve">update </w:t>
                            </w:r>
                            <w:r w:rsidR="00947BBC">
                              <w:t>for</w:t>
                            </w:r>
                            <w:r w:rsidR="00E05E6A">
                              <w:t xml:space="preserve"> clause 3.2</w:t>
                            </w:r>
                            <w:r w:rsidR="00EF0CEA">
                              <w:t xml:space="preserve"> in IEEE 802.11be D</w:t>
                            </w:r>
                            <w:r w:rsidR="005F6AFE">
                              <w:t>1</w:t>
                            </w:r>
                            <w:r w:rsidR="00EF0CEA">
                              <w:t>.</w:t>
                            </w:r>
                            <w:r w:rsidR="005F6AFE">
                              <w:t>0</w:t>
                            </w:r>
                            <w:r w:rsidR="001C4F38">
                              <w:t>.</w:t>
                            </w:r>
                          </w:p>
                          <w:p w14:paraId="37F976A8" w14:textId="77777777" w:rsidR="00142C2B" w:rsidRDefault="00142C2B" w:rsidP="00A243D7"/>
                          <w:p w14:paraId="2915438B" w14:textId="77777777" w:rsidR="002E1D45" w:rsidRDefault="002E1D45" w:rsidP="00A243D7">
                            <w:pPr>
                              <w:rPr>
                                <w:rFonts w:eastAsia="맑은 고딕"/>
                                <w:lang w:eastAsia="ko-KR"/>
                              </w:rPr>
                            </w:pPr>
                          </w:p>
                          <w:p w14:paraId="7B0921DF" w14:textId="2EA5352A" w:rsidR="00E05E6A" w:rsidRPr="00E05E6A" w:rsidRDefault="00E05E6A" w:rsidP="00A243D7">
                            <w:pPr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>iscussion</w:t>
                            </w:r>
                          </w:p>
                          <w:p w14:paraId="5571B1BA" w14:textId="06C74498" w:rsidR="00EF0CEA" w:rsidRDefault="002E1D45" w:rsidP="00A243D7">
                            <w:pPr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A 20MHz-only EHT-STA only ha</w:t>
                            </w:r>
                            <w:r w:rsidR="005F6AFE">
                              <w:rPr>
                                <w:rFonts w:eastAsia="맑은 고딕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defined in 2.4GHz and 5GHz band. </w:t>
                            </w:r>
                            <w:r w:rsidR="00A4731F">
                              <w:rPr>
                                <w:rFonts w:eastAsia="맑은 고딕"/>
                                <w:lang w:eastAsia="ko-KR"/>
                              </w:rPr>
                              <w:t>And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,</w:t>
                            </w:r>
                            <w:r w:rsidR="00A4731F">
                              <w:rPr>
                                <w:rFonts w:eastAsia="맑은 고딕"/>
                                <w:lang w:eastAsia="ko-KR"/>
                              </w:rPr>
                              <w:t xml:space="preserve"> through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  <w:r w:rsidR="00A4731F">
                              <w:rPr>
                                <w:rFonts w:eastAsia="맑은 고딕"/>
                                <w:lang w:eastAsia="ko-KR"/>
                              </w:rPr>
                              <w:t xml:space="preserve">the discussion for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the HE and EHT dependencies</w:t>
                            </w:r>
                            <w:r w:rsidR="00A4731F">
                              <w:rPr>
                                <w:rFonts w:eastAsia="맑은 고딕"/>
                                <w:lang w:eastAsia="ko-KR"/>
                              </w:rPr>
                              <w:t>, we ha</w:t>
                            </w:r>
                            <w:r w:rsidR="005F6AFE">
                              <w:rPr>
                                <w:rFonts w:eastAsia="맑은 고딕"/>
                                <w:lang w:eastAsia="ko-KR"/>
                              </w:rPr>
                              <w:t>ve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agreed</w:t>
                            </w:r>
                            <w:r w:rsidR="00A4731F">
                              <w:rPr>
                                <w:rFonts w:eastAsia="맑은 고딕"/>
                                <w:lang w:eastAsia="ko-KR"/>
                              </w:rPr>
                              <w:t xml:space="preserve"> that the EHT capabilities information field does not include the indication of channel width. </w:t>
                            </w:r>
                          </w:p>
                          <w:p w14:paraId="0ECC5813" w14:textId="65D80F95" w:rsidR="00A4731F" w:rsidRDefault="00A4731F" w:rsidP="00A243D7">
                            <w:pPr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So, </w:t>
                            </w:r>
                            <w:r w:rsidR="001B7E3A">
                              <w:rPr>
                                <w:rFonts w:eastAsia="맑은 고딕"/>
                                <w:lang w:eastAsia="ko-KR"/>
                              </w:rPr>
                              <w:t xml:space="preserve">a 20MHz-only EHT-STA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can get the information of supported channel width by using the HE capability information field. </w:t>
                            </w:r>
                          </w:p>
                          <w:p w14:paraId="126EECAB" w14:textId="505B8B32" w:rsidR="00A4731F" w:rsidRPr="00E05E6A" w:rsidRDefault="00A4731F" w:rsidP="00A243D7">
                            <w:pPr>
                              <w:rPr>
                                <w:rFonts w:eastAsia="맑은 고딕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798CEA3" w14:textId="77777777" w:rsidR="00EF0CEA" w:rsidRPr="00A4731F" w:rsidRDefault="00EF0CEA" w:rsidP="00A243D7"/>
                          <w:p w14:paraId="6B290FFB" w14:textId="51F8CE0D" w:rsidR="00142C2B" w:rsidRDefault="00142C2B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3F09521" w:rsidR="00142C2B" w:rsidRDefault="00142C2B" w:rsidP="00A243D7">
                      <w:r>
                        <w:t xml:space="preserve">This document contains </w:t>
                      </w:r>
                      <w:r w:rsidR="00947BBC">
                        <w:t xml:space="preserve">proposed draft text </w:t>
                      </w:r>
                      <w:r w:rsidR="001C4F38">
                        <w:t xml:space="preserve">update </w:t>
                      </w:r>
                      <w:r w:rsidR="00947BBC">
                        <w:t>for</w:t>
                      </w:r>
                      <w:r w:rsidR="00E05E6A">
                        <w:t xml:space="preserve"> clause 3.2</w:t>
                      </w:r>
                      <w:r w:rsidR="00EF0CEA">
                        <w:t xml:space="preserve"> in IEEE 802.11be D</w:t>
                      </w:r>
                      <w:r w:rsidR="005F6AFE">
                        <w:t>1</w:t>
                      </w:r>
                      <w:r w:rsidR="00EF0CEA">
                        <w:t>.</w:t>
                      </w:r>
                      <w:r w:rsidR="005F6AFE">
                        <w:t>0</w:t>
                      </w:r>
                      <w:r w:rsidR="001C4F38">
                        <w:t>.</w:t>
                      </w:r>
                    </w:p>
                    <w:p w14:paraId="37F976A8" w14:textId="77777777" w:rsidR="00142C2B" w:rsidRDefault="00142C2B" w:rsidP="00A243D7"/>
                    <w:p w14:paraId="2915438B" w14:textId="77777777" w:rsidR="002E1D45" w:rsidRDefault="002E1D45" w:rsidP="00A243D7">
                      <w:pPr>
                        <w:rPr>
                          <w:rFonts w:eastAsia="맑은 고딕"/>
                          <w:lang w:eastAsia="ko-KR"/>
                        </w:rPr>
                      </w:pPr>
                    </w:p>
                    <w:p w14:paraId="7B0921DF" w14:textId="2EA5352A" w:rsidR="00E05E6A" w:rsidRPr="00E05E6A" w:rsidRDefault="00E05E6A" w:rsidP="00A243D7">
                      <w:pPr>
                        <w:rPr>
                          <w:rFonts w:eastAsia="맑은 고딕"/>
                          <w:lang w:eastAsia="ko-KR"/>
                        </w:rPr>
                      </w:pPr>
                      <w:r>
                        <w:rPr>
                          <w:rFonts w:eastAsia="맑은 고딕"/>
                          <w:lang w:eastAsia="ko-KR"/>
                        </w:rPr>
                        <w:t>D</w:t>
                      </w:r>
                      <w:r>
                        <w:rPr>
                          <w:rFonts w:eastAsia="맑은 고딕" w:hint="eastAsia"/>
                          <w:lang w:eastAsia="ko-KR"/>
                        </w:rPr>
                        <w:t>iscussion</w:t>
                      </w:r>
                    </w:p>
                    <w:p w14:paraId="5571B1BA" w14:textId="06C74498" w:rsidR="00EF0CEA" w:rsidRDefault="002E1D45" w:rsidP="00A243D7">
                      <w:pPr>
                        <w:rPr>
                          <w:rFonts w:eastAsia="맑은 고딕"/>
                          <w:lang w:eastAsia="ko-KR"/>
                        </w:rPr>
                      </w:pPr>
                      <w:r>
                        <w:rPr>
                          <w:rFonts w:eastAsia="맑은 고딕"/>
                          <w:lang w:eastAsia="ko-KR"/>
                        </w:rPr>
                        <w:t>A 20MHz-only EHT-STA only ha</w:t>
                      </w:r>
                      <w:r w:rsidR="005F6AFE">
                        <w:rPr>
                          <w:rFonts w:eastAsia="맑은 고딕"/>
                          <w:lang w:eastAsia="ko-KR"/>
                        </w:rPr>
                        <w:t>s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defined in 2.4GHz and 5GHz band. </w:t>
                      </w:r>
                      <w:r w:rsidR="00A4731F">
                        <w:rPr>
                          <w:rFonts w:eastAsia="맑은 고딕"/>
                          <w:lang w:eastAsia="ko-KR"/>
                        </w:rPr>
                        <w:t>And</w:t>
                      </w:r>
                      <w:r>
                        <w:rPr>
                          <w:rFonts w:eastAsia="맑은 고딕"/>
                          <w:lang w:eastAsia="ko-KR"/>
                        </w:rPr>
                        <w:t>,</w:t>
                      </w:r>
                      <w:r w:rsidR="00A4731F">
                        <w:rPr>
                          <w:rFonts w:eastAsia="맑은 고딕"/>
                          <w:lang w:eastAsia="ko-KR"/>
                        </w:rPr>
                        <w:t xml:space="preserve"> through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  <w:r w:rsidR="00A4731F">
                        <w:rPr>
                          <w:rFonts w:eastAsia="맑은 고딕"/>
                          <w:lang w:eastAsia="ko-KR"/>
                        </w:rPr>
                        <w:t xml:space="preserve">the discussion for </w:t>
                      </w:r>
                      <w:r>
                        <w:rPr>
                          <w:rFonts w:eastAsia="맑은 고딕"/>
                          <w:lang w:eastAsia="ko-KR"/>
                        </w:rPr>
                        <w:t>the HE and EHT dependencies</w:t>
                      </w:r>
                      <w:r w:rsidR="00A4731F">
                        <w:rPr>
                          <w:rFonts w:eastAsia="맑은 고딕"/>
                          <w:lang w:eastAsia="ko-KR"/>
                        </w:rPr>
                        <w:t>, we ha</w:t>
                      </w:r>
                      <w:r w:rsidR="005F6AFE">
                        <w:rPr>
                          <w:rFonts w:eastAsia="맑은 고딕"/>
                          <w:lang w:eastAsia="ko-KR"/>
                        </w:rPr>
                        <w:t>ve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agreed</w:t>
                      </w:r>
                      <w:r w:rsidR="00A4731F">
                        <w:rPr>
                          <w:rFonts w:eastAsia="맑은 고딕"/>
                          <w:lang w:eastAsia="ko-KR"/>
                        </w:rPr>
                        <w:t xml:space="preserve"> that the EHT capabilities information field does not include the indication of channel width. </w:t>
                      </w:r>
                    </w:p>
                    <w:p w14:paraId="0ECC5813" w14:textId="65D80F95" w:rsidR="00A4731F" w:rsidRDefault="00A4731F" w:rsidP="00A243D7">
                      <w:pPr>
                        <w:rPr>
                          <w:rFonts w:eastAsia="맑은 고딕"/>
                          <w:lang w:eastAsia="ko-KR"/>
                        </w:rPr>
                      </w:pPr>
                      <w:r>
                        <w:rPr>
                          <w:rFonts w:eastAsia="맑은 고딕"/>
                          <w:lang w:eastAsia="ko-KR"/>
                        </w:rPr>
                        <w:t xml:space="preserve">So, </w:t>
                      </w:r>
                      <w:r w:rsidR="001B7E3A">
                        <w:rPr>
                          <w:rFonts w:eastAsia="맑은 고딕"/>
                          <w:lang w:eastAsia="ko-KR"/>
                        </w:rPr>
                        <w:t xml:space="preserve">a 20MHz-only EHT-STA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can get the information of supported channel width by using the HE capability information field. </w:t>
                      </w:r>
                    </w:p>
                    <w:p w14:paraId="126EECAB" w14:textId="505B8B32" w:rsidR="00A4731F" w:rsidRPr="00E05E6A" w:rsidRDefault="00A4731F" w:rsidP="00A243D7">
                      <w:pPr>
                        <w:rPr>
                          <w:rFonts w:eastAsia="맑은 고딕"/>
                          <w:lang w:eastAsia="ko-KR"/>
                        </w:rPr>
                      </w:pPr>
                      <w:r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</w:p>
                    <w:p w14:paraId="4798CEA3" w14:textId="77777777" w:rsidR="00EF0CEA" w:rsidRPr="00A4731F" w:rsidRDefault="00EF0CEA" w:rsidP="00A243D7"/>
                    <w:p w14:paraId="6B290FFB" w14:textId="51F8CE0D" w:rsidR="00142C2B" w:rsidRDefault="00142C2B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57FD1085" w14:textId="77777777" w:rsidR="00D67193" w:rsidRDefault="00D67193" w:rsidP="00D17490">
      <w:pPr>
        <w:pStyle w:val="T"/>
        <w:rPr>
          <w:rFonts w:eastAsia="SimSun"/>
        </w:rPr>
      </w:pPr>
    </w:p>
    <w:p w14:paraId="2D49F26C" w14:textId="39FAEE45" w:rsidR="00D67193" w:rsidRDefault="00E05E6A" w:rsidP="00D17490">
      <w:pPr>
        <w:pStyle w:val="T"/>
        <w:rPr>
          <w:b/>
          <w:i/>
          <w:iCs/>
        </w:rPr>
      </w:pPr>
      <w:proofErr w:type="spellStart"/>
      <w:r w:rsidRPr="00602236">
        <w:rPr>
          <w:b/>
          <w:i/>
          <w:iCs/>
          <w:highlight w:val="yellow"/>
        </w:rPr>
        <w:t>TGbe</w:t>
      </w:r>
      <w:proofErr w:type="spellEnd"/>
      <w:r w:rsidRPr="00602236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please modified the definition of 20MHz only non-AP EHT STA in P35L43</w:t>
      </w:r>
      <w:r w:rsidR="001B7E3A">
        <w:rPr>
          <w:b/>
          <w:i/>
          <w:iCs/>
          <w:highlight w:val="yellow"/>
        </w:rPr>
        <w:t xml:space="preserve"> of 11be D0.4</w:t>
      </w:r>
      <w:r>
        <w:rPr>
          <w:b/>
          <w:i/>
          <w:iCs/>
          <w:highlight w:val="yellow"/>
        </w:rPr>
        <w:t xml:space="preserve"> as follows</w:t>
      </w:r>
    </w:p>
    <w:p w14:paraId="2B319945" w14:textId="5033C9EC" w:rsidR="00E05E6A" w:rsidRDefault="00E05E6A" w:rsidP="00D17490">
      <w:pPr>
        <w:pStyle w:val="T"/>
        <w:rPr>
          <w:rFonts w:eastAsia="SimSun"/>
        </w:rPr>
      </w:pPr>
      <w:r w:rsidRPr="00E05E6A">
        <w:rPr>
          <w:rFonts w:eastAsia="SimSun"/>
        </w:rPr>
        <w:t xml:space="preserve">20 MHz-only non-access-point (non-AP) extremely high throughput station (EHT STA): A non-AP EHT STA that indicates in the Supported Channel Width Set subfield in the </w:t>
      </w:r>
      <w:r w:rsidRPr="00E05E6A">
        <w:rPr>
          <w:rFonts w:eastAsia="SimSun"/>
          <w:strike/>
          <w:color w:val="FF0000"/>
        </w:rPr>
        <w:t>EHT</w:t>
      </w:r>
      <w:r w:rsidRPr="00E05E6A">
        <w:rPr>
          <w:rFonts w:eastAsia="SimSun"/>
          <w:color w:val="FF0000"/>
        </w:rPr>
        <w:t>HE</w:t>
      </w:r>
      <w:r w:rsidRPr="00E05E6A">
        <w:rPr>
          <w:rFonts w:eastAsia="SimSun"/>
        </w:rPr>
        <w:t xml:space="preserve"> PHY Capabilities Information field in the </w:t>
      </w:r>
      <w:r w:rsidRPr="00E05E6A">
        <w:rPr>
          <w:rFonts w:eastAsia="SimSun"/>
          <w:strike/>
          <w:color w:val="FF0000"/>
        </w:rPr>
        <w:t>EHT</w:t>
      </w:r>
      <w:r w:rsidRPr="00E05E6A">
        <w:rPr>
          <w:rFonts w:eastAsia="SimSun"/>
          <w:color w:val="FF0000"/>
        </w:rPr>
        <w:t>HE</w:t>
      </w:r>
      <w:r w:rsidRPr="00E05E6A">
        <w:rPr>
          <w:rFonts w:eastAsia="SimSun"/>
        </w:rPr>
        <w:t xml:space="preserve"> Capabilities element that it supports only 20 MHz channel width for the frequency band in which it is operating.</w:t>
      </w:r>
    </w:p>
    <w:p w14:paraId="335090CE" w14:textId="77777777" w:rsidR="008D08E2" w:rsidRPr="00D17490" w:rsidRDefault="008D08E2" w:rsidP="00D17490">
      <w:pPr>
        <w:pStyle w:val="T"/>
        <w:rPr>
          <w:rFonts w:eastAsia="SimSun"/>
        </w:rPr>
      </w:pPr>
    </w:p>
    <w:sectPr w:rsidR="008D08E2" w:rsidRPr="00D17490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39F7" w14:textId="77777777" w:rsidR="008563B7" w:rsidRDefault="008563B7">
      <w:r>
        <w:separator/>
      </w:r>
    </w:p>
  </w:endnote>
  <w:endnote w:type="continuationSeparator" w:id="0">
    <w:p w14:paraId="7CEF1AEA" w14:textId="77777777" w:rsidR="008563B7" w:rsidRDefault="008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2ECF3CC5" w:rsidR="00142C2B" w:rsidRDefault="008563B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2C2B">
      <w:t>Submission</w:t>
    </w:r>
    <w:r>
      <w:fldChar w:fldCharType="end"/>
    </w:r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054899">
      <w:rPr>
        <w:noProof/>
      </w:rPr>
      <w:t>1</w:t>
    </w:r>
    <w:r w:rsidR="00142C2B">
      <w:rPr>
        <w:noProof/>
      </w:rPr>
      <w:fldChar w:fldCharType="end"/>
    </w:r>
    <w:r w:rsidR="00142C2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A2F99">
      <w:t>Dongguk Lim</w:t>
    </w:r>
    <w:r w:rsidR="00142C2B">
      <w:t xml:space="preserve">, </w:t>
    </w:r>
    <w:r w:rsidR="006A2F99">
      <w:t>LGE</w:t>
    </w:r>
    <w:r w:rsidR="00142C2B">
      <w:tab/>
    </w:r>
    <w:r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4A114" w14:textId="77777777" w:rsidR="008563B7" w:rsidRDefault="008563B7">
      <w:r>
        <w:separator/>
      </w:r>
    </w:p>
  </w:footnote>
  <w:footnote w:type="continuationSeparator" w:id="0">
    <w:p w14:paraId="0DEBDF4F" w14:textId="77777777" w:rsidR="008563B7" w:rsidRDefault="0085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6093D9F2" w:rsidR="00142C2B" w:rsidRDefault="001B7E3A">
    <w:pPr>
      <w:pStyle w:val="a4"/>
      <w:tabs>
        <w:tab w:val="clear" w:pos="6480"/>
        <w:tab w:val="center" w:pos="4680"/>
        <w:tab w:val="right" w:pos="9360"/>
      </w:tabs>
    </w:pPr>
    <w:r>
      <w:t>Mar</w:t>
    </w:r>
    <w:r w:rsidR="00054899">
      <w:t>ch</w:t>
    </w:r>
    <w:r w:rsidR="00142C2B">
      <w:t xml:space="preserve"> 20</w:t>
    </w:r>
    <w:r w:rsidR="00947BBC">
      <w:t>2</w:t>
    </w:r>
    <w:r>
      <w:t>1</w:t>
    </w:r>
    <w:r w:rsidR="00142C2B">
      <w:tab/>
    </w:r>
    <w:r w:rsidR="00142C2B">
      <w:tab/>
    </w:r>
    <w:r w:rsidR="008563B7">
      <w:fldChar w:fldCharType="begin"/>
    </w:r>
    <w:r w:rsidR="008563B7">
      <w:instrText xml:space="preserve"> TITLE  \* MERGEFORMAT </w:instrText>
    </w:r>
    <w:r w:rsidR="008563B7">
      <w:fldChar w:fldCharType="separate"/>
    </w:r>
    <w:r w:rsidR="00142C2B">
      <w:t>doc.: IEEE 802.11-</w:t>
    </w:r>
    <w:r>
      <w:t>21</w:t>
    </w:r>
    <w:r w:rsidR="00142C2B">
      <w:t>/</w:t>
    </w:r>
    <w:r w:rsidR="00054899">
      <w:t>0528</w:t>
    </w:r>
    <w:r w:rsidR="00142C2B">
      <w:t>r</w:t>
    </w:r>
    <w:r w:rsidR="008563B7">
      <w:fldChar w:fldCharType="end"/>
    </w:r>
    <w:r w:rsidR="001C4F3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35B0327A"/>
    <w:lvl w:ilvl="0">
      <w:start w:val="36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2955"/>
    <w:rsid w:val="00025CC4"/>
    <w:rsid w:val="00051FA0"/>
    <w:rsid w:val="00054899"/>
    <w:rsid w:val="0006060F"/>
    <w:rsid w:val="000611CA"/>
    <w:rsid w:val="00064E3D"/>
    <w:rsid w:val="0007726F"/>
    <w:rsid w:val="00077D25"/>
    <w:rsid w:val="000817C1"/>
    <w:rsid w:val="00082EC3"/>
    <w:rsid w:val="00083CC7"/>
    <w:rsid w:val="00091639"/>
    <w:rsid w:val="000A23F3"/>
    <w:rsid w:val="000A31AD"/>
    <w:rsid w:val="000A5972"/>
    <w:rsid w:val="000C2DB0"/>
    <w:rsid w:val="000C5CFC"/>
    <w:rsid w:val="000C6EC4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673AF"/>
    <w:rsid w:val="00167F24"/>
    <w:rsid w:val="001762F3"/>
    <w:rsid w:val="00180A4C"/>
    <w:rsid w:val="00192F8C"/>
    <w:rsid w:val="00194DD2"/>
    <w:rsid w:val="001964FB"/>
    <w:rsid w:val="001A3997"/>
    <w:rsid w:val="001B7E3A"/>
    <w:rsid w:val="001C0E5E"/>
    <w:rsid w:val="001C47B4"/>
    <w:rsid w:val="001C4F38"/>
    <w:rsid w:val="001D2606"/>
    <w:rsid w:val="001E412A"/>
    <w:rsid w:val="002024E2"/>
    <w:rsid w:val="002234C5"/>
    <w:rsid w:val="002325C9"/>
    <w:rsid w:val="002438FB"/>
    <w:rsid w:val="002620AE"/>
    <w:rsid w:val="002735C1"/>
    <w:rsid w:val="002922A0"/>
    <w:rsid w:val="00295693"/>
    <w:rsid w:val="002A4655"/>
    <w:rsid w:val="002B577F"/>
    <w:rsid w:val="002B6348"/>
    <w:rsid w:val="002B6B6D"/>
    <w:rsid w:val="002D45B5"/>
    <w:rsid w:val="002D5D1C"/>
    <w:rsid w:val="002E0D5D"/>
    <w:rsid w:val="002E1C5B"/>
    <w:rsid w:val="002E1D45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1E0"/>
    <w:rsid w:val="003607A3"/>
    <w:rsid w:val="00362423"/>
    <w:rsid w:val="0036389B"/>
    <w:rsid w:val="003651F6"/>
    <w:rsid w:val="00382AF4"/>
    <w:rsid w:val="00382DFC"/>
    <w:rsid w:val="00390776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6865"/>
    <w:rsid w:val="0049752C"/>
    <w:rsid w:val="004A63FD"/>
    <w:rsid w:val="004B307D"/>
    <w:rsid w:val="004C3113"/>
    <w:rsid w:val="004D3018"/>
    <w:rsid w:val="004D39C3"/>
    <w:rsid w:val="004D4C24"/>
    <w:rsid w:val="004E7450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759F1"/>
    <w:rsid w:val="00575ECE"/>
    <w:rsid w:val="005773E6"/>
    <w:rsid w:val="00591A71"/>
    <w:rsid w:val="005946DC"/>
    <w:rsid w:val="005A7FE0"/>
    <w:rsid w:val="005B4009"/>
    <w:rsid w:val="005C28B4"/>
    <w:rsid w:val="005C59CC"/>
    <w:rsid w:val="005E4345"/>
    <w:rsid w:val="005F30AC"/>
    <w:rsid w:val="005F6AFE"/>
    <w:rsid w:val="00605A13"/>
    <w:rsid w:val="00610673"/>
    <w:rsid w:val="0061586D"/>
    <w:rsid w:val="006208AD"/>
    <w:rsid w:val="0062280C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2230"/>
    <w:rsid w:val="006B791D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C0203"/>
    <w:rsid w:val="007C54BB"/>
    <w:rsid w:val="007C5D47"/>
    <w:rsid w:val="007C7DD1"/>
    <w:rsid w:val="007D6D0F"/>
    <w:rsid w:val="007E221D"/>
    <w:rsid w:val="007E4638"/>
    <w:rsid w:val="007E54C7"/>
    <w:rsid w:val="007F3371"/>
    <w:rsid w:val="007F37E3"/>
    <w:rsid w:val="007F405B"/>
    <w:rsid w:val="007F6B33"/>
    <w:rsid w:val="00810966"/>
    <w:rsid w:val="008128A3"/>
    <w:rsid w:val="00824410"/>
    <w:rsid w:val="00824793"/>
    <w:rsid w:val="008248CB"/>
    <w:rsid w:val="0082610A"/>
    <w:rsid w:val="00834BD3"/>
    <w:rsid w:val="00844F6F"/>
    <w:rsid w:val="008563B7"/>
    <w:rsid w:val="008741F6"/>
    <w:rsid w:val="008A463F"/>
    <w:rsid w:val="008B6B4C"/>
    <w:rsid w:val="008C5558"/>
    <w:rsid w:val="008C6C89"/>
    <w:rsid w:val="008D08E2"/>
    <w:rsid w:val="008D58CD"/>
    <w:rsid w:val="008D6A17"/>
    <w:rsid w:val="008E15A6"/>
    <w:rsid w:val="008E2B30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067F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4671"/>
    <w:rsid w:val="00A36794"/>
    <w:rsid w:val="00A36D9F"/>
    <w:rsid w:val="00A44052"/>
    <w:rsid w:val="00A46506"/>
    <w:rsid w:val="00A4731F"/>
    <w:rsid w:val="00A50378"/>
    <w:rsid w:val="00A60E22"/>
    <w:rsid w:val="00A7785B"/>
    <w:rsid w:val="00A82FC4"/>
    <w:rsid w:val="00A8392C"/>
    <w:rsid w:val="00A94F13"/>
    <w:rsid w:val="00A9524D"/>
    <w:rsid w:val="00AA427C"/>
    <w:rsid w:val="00AA50BF"/>
    <w:rsid w:val="00AB7A1A"/>
    <w:rsid w:val="00AC3A69"/>
    <w:rsid w:val="00AC417C"/>
    <w:rsid w:val="00AE0463"/>
    <w:rsid w:val="00AE2915"/>
    <w:rsid w:val="00AE70FC"/>
    <w:rsid w:val="00AF2A07"/>
    <w:rsid w:val="00B06077"/>
    <w:rsid w:val="00B108D2"/>
    <w:rsid w:val="00B1767D"/>
    <w:rsid w:val="00B22DB2"/>
    <w:rsid w:val="00B2427E"/>
    <w:rsid w:val="00B32CF0"/>
    <w:rsid w:val="00B33DAC"/>
    <w:rsid w:val="00B35E1A"/>
    <w:rsid w:val="00B36719"/>
    <w:rsid w:val="00B45E06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96DB8"/>
    <w:rsid w:val="00B97DEF"/>
    <w:rsid w:val="00BA21DC"/>
    <w:rsid w:val="00BA693C"/>
    <w:rsid w:val="00BC197E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1C25"/>
    <w:rsid w:val="00CA6E7E"/>
    <w:rsid w:val="00CA7276"/>
    <w:rsid w:val="00CB7B20"/>
    <w:rsid w:val="00CD709D"/>
    <w:rsid w:val="00CF363C"/>
    <w:rsid w:val="00D03A91"/>
    <w:rsid w:val="00D04DBE"/>
    <w:rsid w:val="00D0651D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67193"/>
    <w:rsid w:val="00D76E2B"/>
    <w:rsid w:val="00D77EEC"/>
    <w:rsid w:val="00D82AB4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DF6157"/>
    <w:rsid w:val="00E05C24"/>
    <w:rsid w:val="00E05E6A"/>
    <w:rsid w:val="00E17FC3"/>
    <w:rsid w:val="00E36D13"/>
    <w:rsid w:val="00E4323C"/>
    <w:rsid w:val="00E566D2"/>
    <w:rsid w:val="00E6229C"/>
    <w:rsid w:val="00E62EA2"/>
    <w:rsid w:val="00E87A6A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0CEA"/>
    <w:rsid w:val="00EF1CFC"/>
    <w:rsid w:val="00EF2097"/>
    <w:rsid w:val="00EF6842"/>
    <w:rsid w:val="00F0145C"/>
    <w:rsid w:val="00F057BD"/>
    <w:rsid w:val="00F107BB"/>
    <w:rsid w:val="00F215C4"/>
    <w:rsid w:val="00F26211"/>
    <w:rsid w:val="00F31649"/>
    <w:rsid w:val="00F324E9"/>
    <w:rsid w:val="00F4022E"/>
    <w:rsid w:val="00F55859"/>
    <w:rsid w:val="00F6798E"/>
    <w:rsid w:val="00F71AF7"/>
    <w:rsid w:val="00F879C1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E5953"/>
    <w:rsid w:val="00FE5C7A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paragraph" w:styleId="af6">
    <w:name w:val="Subtitle"/>
    <w:basedOn w:val="a"/>
    <w:next w:val="a"/>
    <w:link w:val="Char6"/>
    <w:qFormat/>
    <w:rsid w:val="006B79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부제 Char"/>
    <w:basedOn w:val="a0"/>
    <w:link w:val="af6"/>
    <w:rsid w:val="006B791D"/>
    <w:rPr>
      <w:rFonts w:asciiTheme="majorHAnsi" w:eastAsiaTheme="majorEastAsia" w:hAnsiTheme="majorHAnsi" w:cstheme="maj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12E9-0630-4AFE-B20F-AA09D2C7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Dongguk Lim</cp:lastModifiedBy>
  <cp:revision>5</cp:revision>
  <cp:lastPrinted>1901-01-01T10:30:00Z</cp:lastPrinted>
  <dcterms:created xsi:type="dcterms:W3CDTF">2021-03-24T00:35:00Z</dcterms:created>
  <dcterms:modified xsi:type="dcterms:W3CDTF">2021-03-24T02:08:00Z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