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74"/>
        <w:gridCol w:w="3205"/>
        <w:gridCol w:w="1521"/>
        <w:gridCol w:w="1841"/>
      </w:tblGrid>
      <w:tr w:rsidR="00CA09B2" w:rsidTr="00854F3A">
        <w:trPr>
          <w:trHeight w:val="485"/>
          <w:jc w:val="center"/>
        </w:trPr>
        <w:tc>
          <w:tcPr>
            <w:tcW w:w="9576" w:type="dxa"/>
            <w:gridSpan w:val="5"/>
            <w:tcMar>
              <w:left w:w="29" w:type="dxa"/>
              <w:right w:w="29" w:type="dxa"/>
            </w:tcMar>
            <w:vAlign w:val="bottom"/>
          </w:tcPr>
          <w:p w:rsidR="00CA09B2" w:rsidRDefault="00AF574B" w:rsidP="00381A4B">
            <w:pPr>
              <w:pStyle w:val="T2"/>
            </w:pPr>
            <w:r>
              <w:t>CR on</w:t>
            </w:r>
            <w:r w:rsidR="00381A4B">
              <w:t xml:space="preserve"> CID 1279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7644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54F3A">
              <w:rPr>
                <w:b w:val="0"/>
                <w:sz w:val="24"/>
                <w:szCs w:val="24"/>
              </w:rPr>
              <w:t>21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121B85">
              <w:rPr>
                <w:b w:val="0"/>
                <w:sz w:val="24"/>
                <w:szCs w:val="24"/>
              </w:rPr>
              <w:t>03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54F3A">
              <w:rPr>
                <w:b w:val="0"/>
                <w:sz w:val="24"/>
                <w:szCs w:val="24"/>
              </w:rPr>
              <w:t>1</w:t>
            </w:r>
            <w:r w:rsidR="00336749">
              <w:rPr>
                <w:b w:val="0"/>
                <w:sz w:val="24"/>
                <w:szCs w:val="24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AF574B">
        <w:trPr>
          <w:jc w:val="center"/>
        </w:trPr>
        <w:tc>
          <w:tcPr>
            <w:tcW w:w="143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574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52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84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AF574B">
        <w:trPr>
          <w:jc w:val="center"/>
        </w:trPr>
        <w:tc>
          <w:tcPr>
            <w:tcW w:w="1435" w:type="dxa"/>
            <w:vAlign w:val="center"/>
          </w:tcPr>
          <w:p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574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6B2123" w:rsidRPr="00A525F0" w:rsidTr="00AF574B">
        <w:trPr>
          <w:jc w:val="center"/>
        </w:trPr>
        <w:tc>
          <w:tcPr>
            <w:tcW w:w="1435" w:type="dxa"/>
            <w:vAlign w:val="center"/>
          </w:tcPr>
          <w:p w:rsidR="006B2123" w:rsidRDefault="00AF574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Ross Jian Yu</w:t>
            </w:r>
          </w:p>
        </w:tc>
        <w:tc>
          <w:tcPr>
            <w:tcW w:w="1574" w:type="dxa"/>
            <w:vAlign w:val="center"/>
          </w:tcPr>
          <w:p w:rsidR="006B2123" w:rsidRPr="00143796" w:rsidRDefault="00AF574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6B2123" w:rsidRPr="00143796" w:rsidRDefault="006B2123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6B2123" w:rsidRPr="00143796" w:rsidRDefault="006B21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6B2123" w:rsidRPr="009A4664" w:rsidRDefault="00AF574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ross.yujian@huawei.com</w:t>
            </w:r>
          </w:p>
        </w:tc>
      </w:tr>
      <w:tr w:rsidR="00336749" w:rsidRPr="00A525F0" w:rsidTr="00AF574B">
        <w:trPr>
          <w:jc w:val="center"/>
        </w:trPr>
        <w:tc>
          <w:tcPr>
            <w:tcW w:w="1435" w:type="dxa"/>
            <w:vAlign w:val="center"/>
          </w:tcPr>
          <w:p w:rsidR="00336749" w:rsidRDefault="0033674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574" w:type="dxa"/>
            <w:vAlign w:val="center"/>
          </w:tcPr>
          <w:p w:rsidR="00336749" w:rsidRPr="00143796" w:rsidRDefault="0033674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336749" w:rsidRPr="00143796" w:rsidRDefault="00336749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336749" w:rsidRPr="00143796" w:rsidRDefault="0033674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336749" w:rsidRDefault="0033674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edward.ks.au@huawei.com</w:t>
            </w:r>
          </w:p>
        </w:tc>
      </w:tr>
      <w:tr w:rsidR="00336749" w:rsidRPr="00A525F0" w:rsidTr="00AF574B">
        <w:trPr>
          <w:jc w:val="center"/>
        </w:trPr>
        <w:tc>
          <w:tcPr>
            <w:tcW w:w="1435" w:type="dxa"/>
            <w:vAlign w:val="center"/>
          </w:tcPr>
          <w:p w:rsidR="00336749" w:rsidRDefault="0033674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Shimi Shilo</w:t>
            </w:r>
          </w:p>
        </w:tc>
        <w:tc>
          <w:tcPr>
            <w:tcW w:w="1574" w:type="dxa"/>
            <w:vAlign w:val="center"/>
          </w:tcPr>
          <w:p w:rsidR="00336749" w:rsidRPr="00143796" w:rsidRDefault="0033674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336749" w:rsidRPr="00143796" w:rsidRDefault="00336749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336749" w:rsidRPr="00143796" w:rsidRDefault="0033674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336749" w:rsidRDefault="0033674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shimi.shilo@huawei.com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F90915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 xml:space="preserve">resolution for </w:t>
      </w:r>
      <w:r w:rsidR="00F90915">
        <w:rPr>
          <w:sz w:val="24"/>
          <w:szCs w:val="24"/>
        </w:rPr>
        <w:t>CID</w:t>
      </w:r>
      <w:r w:rsidR="009A4664" w:rsidRPr="009A4664">
        <w:rPr>
          <w:sz w:val="24"/>
          <w:szCs w:val="24"/>
        </w:rPr>
        <w:t xml:space="preserve"> </w:t>
      </w:r>
      <w:r w:rsidR="00381A4B">
        <w:rPr>
          <w:sz w:val="24"/>
          <w:szCs w:val="24"/>
        </w:rPr>
        <w:t>1279</w:t>
      </w:r>
      <w:r w:rsidR="008307FC">
        <w:rPr>
          <w:sz w:val="24"/>
          <w:szCs w:val="24"/>
        </w:rPr>
        <w:t xml:space="preserve"> on the terminology of</w:t>
      </w:r>
      <w:r w:rsidR="00F90915">
        <w:rPr>
          <w:sz w:val="24"/>
          <w:szCs w:val="24"/>
        </w:rPr>
        <w:t xml:space="preserve"> 80 MHz segment in P802.11be D0.3</w:t>
      </w:r>
      <w:r w:rsidR="00381A4B">
        <w:rPr>
          <w:sz w:val="24"/>
          <w:szCs w:val="24"/>
        </w:rPr>
        <w:t>.</w:t>
      </w:r>
    </w:p>
    <w:p w:rsidR="008218AB" w:rsidRPr="009A4664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  <w:r w:rsidR="008307FC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116584">
        <w:rPr>
          <w:rFonts w:ascii="Times New Roman" w:hAnsi="Times New Roman"/>
          <w:b w:val="0"/>
          <w:i w:val="0"/>
          <w:sz w:val="24"/>
          <w:szCs w:val="24"/>
        </w:rPr>
        <w:t xml:space="preserve">To get the group’s view on the alternative options. </w:t>
      </w:r>
    </w:p>
    <w:p w:rsidR="00336749" w:rsidRPr="00336749" w:rsidRDefault="00336749" w:rsidP="00336749">
      <w:r>
        <w:t>R1 – some editorial changes.</w:t>
      </w:r>
    </w:p>
    <w:p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3541E5" w:rsidRPr="003541E5" w:rsidRDefault="003541E5" w:rsidP="003541E5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  <w:bookmarkStart w:id="0" w:name="_GoBack"/>
      <w:bookmarkEnd w:id="0"/>
    </w:p>
    <w:p w:rsidR="005A04EC" w:rsidRDefault="005A04EC" w:rsidP="007F2FDA">
      <w:pPr>
        <w:rPr>
          <w:sz w:val="24"/>
          <w:szCs w:val="24"/>
        </w:rPr>
      </w:pPr>
    </w:p>
    <w:p w:rsidR="00705C53" w:rsidRDefault="00705C53" w:rsidP="00121B85">
      <w:pPr>
        <w:rPr>
          <w:lang w:val="en-US"/>
        </w:rPr>
      </w:pPr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172"/>
        <w:gridCol w:w="899"/>
        <w:gridCol w:w="719"/>
        <w:gridCol w:w="2798"/>
        <w:gridCol w:w="2698"/>
      </w:tblGrid>
      <w:tr w:rsidR="00F90915" w:rsidRPr="00636906" w:rsidTr="00B729CA">
        <w:trPr>
          <w:trHeight w:val="34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705C53" w:rsidRDefault="00F90915" w:rsidP="00CF250A">
            <w:pPr>
              <w:jc w:val="center"/>
              <w:rPr>
                <w:szCs w:val="22"/>
                <w:lang w:val="en-US"/>
              </w:rPr>
            </w:pPr>
            <w:r w:rsidRPr="00705C53">
              <w:rPr>
                <w:szCs w:val="22"/>
                <w:lang w:val="en-US"/>
              </w:rPr>
              <w:t>CID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</w:tr>
      <w:tr w:rsidR="00F90915" w:rsidRPr="008542E5" w:rsidTr="00B729CA">
        <w:trPr>
          <w:trHeight w:val="1223"/>
          <w:jc w:val="center"/>
        </w:trPr>
        <w:tc>
          <w:tcPr>
            <w:tcW w:w="531" w:type="pct"/>
            <w:shd w:val="clear" w:color="auto" w:fill="auto"/>
          </w:tcPr>
          <w:p w:rsidR="00F90915" w:rsidRPr="00705C53" w:rsidRDefault="00F90915" w:rsidP="00CF250A">
            <w:pPr>
              <w:jc w:val="center"/>
              <w:rPr>
                <w:b/>
                <w:szCs w:val="22"/>
                <w:lang w:val="en-US"/>
              </w:rPr>
            </w:pPr>
            <w:r w:rsidRPr="00705C53">
              <w:rPr>
                <w:rFonts w:ascii="Arial" w:hAnsi="Arial" w:cs="Arial"/>
                <w:b/>
                <w:szCs w:val="22"/>
                <w:lang w:val="en-US" w:eastAsia="zh-CN"/>
              </w:rPr>
              <w:t>1279</w:t>
            </w:r>
          </w:p>
          <w:p w:rsidR="00F90915" w:rsidRPr="00705C53" w:rsidRDefault="00F90915" w:rsidP="00CF250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632" w:type="pct"/>
            <w:shd w:val="clear" w:color="auto" w:fill="auto"/>
          </w:tcPr>
          <w:p w:rsidR="00F90915" w:rsidRPr="001E491B" w:rsidRDefault="00F90915" w:rsidP="00CF250A">
            <w:pPr>
              <w:jc w:val="center"/>
              <w:rPr>
                <w:sz w:val="24"/>
                <w:szCs w:val="24"/>
                <w:lang w:val="en-US"/>
              </w:rPr>
            </w:pPr>
            <w:r w:rsidRPr="008542E5">
              <w:rPr>
                <w:rFonts w:ascii="Arial" w:hAnsi="Arial" w:cs="Arial"/>
                <w:sz w:val="20"/>
                <w:lang w:val="en-US" w:eastAsia="zh-CN"/>
              </w:rPr>
              <w:t>36.3.2.1</w:t>
            </w:r>
          </w:p>
        </w:tc>
        <w:tc>
          <w:tcPr>
            <w:tcW w:w="485" w:type="pct"/>
            <w:shd w:val="clear" w:color="auto" w:fill="auto"/>
          </w:tcPr>
          <w:p w:rsidR="00F90915" w:rsidRPr="008542E5" w:rsidRDefault="00F90915" w:rsidP="00CF250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542E5">
              <w:rPr>
                <w:rFonts w:ascii="Arial" w:hAnsi="Arial" w:cs="Arial"/>
                <w:sz w:val="20"/>
                <w:lang w:val="en-US" w:eastAsia="zh-CN"/>
              </w:rPr>
              <w:t>175</w:t>
            </w:r>
          </w:p>
        </w:tc>
        <w:tc>
          <w:tcPr>
            <w:tcW w:w="388" w:type="pct"/>
            <w:shd w:val="clear" w:color="auto" w:fill="auto"/>
          </w:tcPr>
          <w:p w:rsidR="00F90915" w:rsidRPr="008542E5" w:rsidRDefault="00F90915" w:rsidP="00CF250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542E5">
              <w:rPr>
                <w:rFonts w:ascii="Arial" w:hAnsi="Arial" w:cs="Arial"/>
                <w:sz w:val="20"/>
                <w:lang w:val="en-US" w:eastAsia="zh-CN"/>
              </w:rPr>
              <w:t>4</w:t>
            </w:r>
            <w:r>
              <w:rPr>
                <w:rFonts w:ascii="Arial" w:hAnsi="Arial" w:cs="Arial"/>
                <w:sz w:val="20"/>
                <w:lang w:val="en-US" w:eastAsia="zh-CN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:rsidR="00F90915" w:rsidRDefault="00F90915" w:rsidP="00CF250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composed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multiple 80 MHz segments." but "segments" is the wrong term - should be "frequency </w:t>
            </w:r>
            <w:proofErr w:type="spellStart"/>
            <w:r>
              <w:rPr>
                <w:rFonts w:ascii="Arial" w:hAnsi="Arial" w:cs="Arial"/>
                <w:sz w:val="20"/>
              </w:rPr>
              <w:t>subblocks</w:t>
            </w:r>
            <w:proofErr w:type="spellEnd"/>
            <w:r>
              <w:rPr>
                <w:rFonts w:ascii="Arial" w:hAnsi="Arial" w:cs="Arial"/>
                <w:sz w:val="20"/>
              </w:rPr>
              <w:t>". E.g. look at Table 36-10 where all bandwidths only have 1 frequency segment</w:t>
            </w:r>
          </w:p>
          <w:p w:rsidR="00F90915" w:rsidRPr="008542E5" w:rsidRDefault="00F90915" w:rsidP="00CF250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55" w:type="pct"/>
            <w:shd w:val="clear" w:color="auto" w:fill="auto"/>
          </w:tcPr>
          <w:p w:rsidR="00F90915" w:rsidRPr="008542E5" w:rsidRDefault="00F90915" w:rsidP="00CF250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clause 36, change "80MHz segment" and "80MHz frequency segment" to "80MHz frequency </w:t>
            </w:r>
            <w:proofErr w:type="spellStart"/>
            <w:r>
              <w:rPr>
                <w:rFonts w:ascii="Arial" w:hAnsi="Arial" w:cs="Arial"/>
                <w:sz w:val="20"/>
              </w:rPr>
              <w:t>subblock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". Delete "and frequency segment" and "per frequency segment" (or change to "and/per 80MHz frequency </w:t>
            </w:r>
            <w:proofErr w:type="spellStart"/>
            <w:r>
              <w:rPr>
                <w:rFonts w:ascii="Arial" w:hAnsi="Arial" w:cs="Arial"/>
                <w:sz w:val="20"/>
              </w:rPr>
              <w:t>subblock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". Keep "into one frequency segment". Delete </w:t>
            </w:r>
            <w:proofErr w:type="spellStart"/>
            <w:r>
              <w:rPr>
                <w:rFonts w:ascii="Arial" w:hAnsi="Arial" w:cs="Arial"/>
                <w:sz w:val="20"/>
              </w:rPr>
              <w:t>Nseg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row in Table 36-10. </w:t>
            </w:r>
            <w:proofErr w:type="gramStart"/>
            <w:r>
              <w:rPr>
                <w:rFonts w:ascii="Arial" w:hAnsi="Arial" w:cs="Arial"/>
                <w:sz w:val="20"/>
              </w:rPr>
              <w:t>figure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out a new term for "20 MHz segment" at P241L33.5 (perhaps "20 MHz" or "20 MHz frequency portion"). Change "on frequency segment i80FS" to "on frequency </w:t>
            </w:r>
            <w:proofErr w:type="spellStart"/>
            <w:r>
              <w:rPr>
                <w:rFonts w:ascii="Arial" w:hAnsi="Arial" w:cs="Arial"/>
                <w:sz w:val="20"/>
              </w:rPr>
              <w:t>subblock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i80Fs</w:t>
            </w:r>
            <w:proofErr w:type="gramStart"/>
            <w:r>
              <w:rPr>
                <w:rFonts w:ascii="Arial" w:hAnsi="Arial" w:cs="Arial"/>
                <w:sz w:val="20"/>
              </w:rPr>
              <w:t>" 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Change i080FS to i80FSB</w:t>
            </w:r>
          </w:p>
        </w:tc>
      </w:tr>
    </w:tbl>
    <w:p w:rsidR="00121B85" w:rsidRDefault="00121B85" w:rsidP="00121B85">
      <w:pPr>
        <w:rPr>
          <w:lang w:val="en-US"/>
        </w:rPr>
      </w:pPr>
    </w:p>
    <w:p w:rsidR="00121B85" w:rsidRDefault="00121B85" w:rsidP="00121B85">
      <w:pPr>
        <w:rPr>
          <w:lang w:val="en-US" w:eastAsia="zh-CN"/>
        </w:rPr>
      </w:pPr>
    </w:p>
    <w:p w:rsidR="00F90915" w:rsidRDefault="00F90915" w:rsidP="00F90915">
      <w:pPr>
        <w:rPr>
          <w:b/>
          <w:i/>
          <w:sz w:val="24"/>
          <w:szCs w:val="24"/>
          <w:lang w:val="en-US"/>
        </w:rPr>
      </w:pPr>
      <w:r w:rsidRPr="00F90915">
        <w:rPr>
          <w:b/>
          <w:i/>
          <w:sz w:val="24"/>
          <w:szCs w:val="24"/>
          <w:lang w:val="en-US"/>
        </w:rPr>
        <w:t>Discussion</w:t>
      </w:r>
    </w:p>
    <w:p w:rsidR="00D877D0" w:rsidRPr="00F90915" w:rsidRDefault="00D877D0" w:rsidP="00F90915">
      <w:pPr>
        <w:rPr>
          <w:b/>
          <w:i/>
          <w:sz w:val="24"/>
          <w:szCs w:val="24"/>
          <w:lang w:val="en-US"/>
        </w:rPr>
      </w:pPr>
    </w:p>
    <w:p w:rsidR="00F90915" w:rsidRDefault="00D877D0" w:rsidP="0006360C">
      <w:pPr>
        <w:pStyle w:val="SP1690506"/>
      </w:pPr>
      <w:r>
        <w:t xml:space="preserve">-   </w:t>
      </w:r>
      <w:r w:rsidR="00370DEB">
        <w:t>The term</w:t>
      </w:r>
      <w:r w:rsidR="00F90915">
        <w:t xml:space="preserve"> “80 MHz segment</w:t>
      </w:r>
      <w:r w:rsidR="00CE6AEF">
        <w:t xml:space="preserve"> / frequency segment</w:t>
      </w:r>
      <w:r w:rsidR="00F90915">
        <w:t>”</w:t>
      </w:r>
      <w:r w:rsidR="00370DEB">
        <w:t xml:space="preserve"> is </w:t>
      </w:r>
      <w:r w:rsidR="00E94D38">
        <w:t>extensively</w:t>
      </w:r>
      <w:r w:rsidR="00370DEB" w:rsidRPr="00B25932">
        <w:t xml:space="preserve"> </w:t>
      </w:r>
      <w:r w:rsidR="00370DEB">
        <w:t>used</w:t>
      </w:r>
      <w:r w:rsidR="00370DEB" w:rsidRPr="00B25932">
        <w:t xml:space="preserve"> through </w:t>
      </w:r>
      <w:r w:rsidR="00FB3887">
        <w:t xml:space="preserve">Clause 36 in </w:t>
      </w:r>
      <w:r w:rsidR="00370DEB" w:rsidRPr="00B25932">
        <w:t>D0.3</w:t>
      </w:r>
      <w:r w:rsidR="0006360C">
        <w:t xml:space="preserve"> and other clauses</w:t>
      </w:r>
      <w:r w:rsidR="00370DEB">
        <w:t>,</w:t>
      </w:r>
      <w:r w:rsidR="00F90915">
        <w:t xml:space="preserve"> for example, in</w:t>
      </w:r>
    </w:p>
    <w:p w:rsidR="0006360C" w:rsidRPr="0006360C" w:rsidRDefault="0006360C" w:rsidP="0006360C">
      <w:pPr>
        <w:rPr>
          <w:lang w:val="en-US"/>
        </w:rPr>
      </w:pP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 xml:space="preserve">36.3.2.1 Subcarriers and resource allocation for wideband; 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36.3.2.3 Subcarriers and resource allocation for multiple RUs;</w:t>
      </w:r>
    </w:p>
    <w:p w:rsidR="00FB3887" w:rsidRPr="005D6B0D" w:rsidRDefault="00FB3887" w:rsidP="00FB3887">
      <w:pPr>
        <w:rPr>
          <w:sz w:val="24"/>
          <w:szCs w:val="24"/>
        </w:rPr>
      </w:pPr>
      <w:r w:rsidRPr="005D6B0D">
        <w:rPr>
          <w:bCs/>
          <w:color w:val="000000"/>
          <w:sz w:val="24"/>
          <w:szCs w:val="24"/>
        </w:rPr>
        <w:t>36.3.11.7 U-SIG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36.3.11.7.4 Encoding and modulation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36.3.11.8 EHT-SIG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 xml:space="preserve">36.3.11.11 Preamble punctured EHT PPDU </w:t>
      </w:r>
    </w:p>
    <w:p w:rsidR="00FB3887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36.3.12.3 Coding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>
        <w:rPr>
          <w:bCs/>
          <w:color w:val="000000"/>
        </w:rPr>
        <w:t>36.3.12.5 Segment parser</w:t>
      </w:r>
      <w:r w:rsidRPr="00C314CC">
        <w:rPr>
          <w:bCs/>
          <w:color w:val="000000"/>
        </w:rPr>
        <w:t xml:space="preserve"> </w:t>
      </w:r>
    </w:p>
    <w:p w:rsidR="00FB3887" w:rsidRDefault="00FE1A62" w:rsidP="00D877D0">
      <w:pPr>
        <w:pStyle w:val="SP1690506"/>
        <w:numPr>
          <w:ilvl w:val="3"/>
          <w:numId w:val="45"/>
        </w:numPr>
        <w:rPr>
          <w:rStyle w:val="SC10319501"/>
          <w:b w:val="0"/>
          <w:sz w:val="24"/>
          <w:szCs w:val="24"/>
        </w:rPr>
      </w:pPr>
      <w:r>
        <w:rPr>
          <w:rStyle w:val="SC10319501"/>
          <w:b w:val="0"/>
          <w:sz w:val="24"/>
          <w:szCs w:val="24"/>
        </w:rPr>
        <w:t xml:space="preserve"> Constellation mapping</w:t>
      </w:r>
    </w:p>
    <w:p w:rsidR="00567A74" w:rsidRPr="00567A74" w:rsidRDefault="0006360C" w:rsidP="00567A74">
      <w:pPr>
        <w:rPr>
          <w:lang w:val="en-US"/>
        </w:rPr>
      </w:pPr>
      <w:r w:rsidRPr="00C314CC">
        <w:rPr>
          <w:rStyle w:val="SC10319501"/>
          <w:b w:val="0"/>
          <w:sz w:val="24"/>
          <w:szCs w:val="24"/>
        </w:rPr>
        <w:t>9.4.1.67b EHT Compressed Beamforming Report field</w:t>
      </w:r>
    </w:p>
    <w:p w:rsidR="00B729CA" w:rsidRPr="00B729CA" w:rsidRDefault="00B729CA" w:rsidP="00B729CA">
      <w:pPr>
        <w:rPr>
          <w:lang w:val="en-US"/>
        </w:rPr>
      </w:pPr>
    </w:p>
    <w:p w:rsidR="00F90915" w:rsidRPr="00D877D0" w:rsidRDefault="00FB3887" w:rsidP="00D877D0">
      <w:pPr>
        <w:pStyle w:val="ListParagraph"/>
        <w:numPr>
          <w:ilvl w:val="0"/>
          <w:numId w:val="46"/>
        </w:numPr>
        <w:ind w:left="360"/>
      </w:pPr>
      <w:r w:rsidRPr="00D877D0">
        <w:t xml:space="preserve">The term “80 MHz </w:t>
      </w:r>
      <w:proofErr w:type="spellStart"/>
      <w:r w:rsidRPr="00D877D0">
        <w:t>subblock</w:t>
      </w:r>
      <w:proofErr w:type="spellEnd"/>
      <w:r w:rsidR="00CE6AEF" w:rsidRPr="00D877D0">
        <w:t xml:space="preserve"> / frequency </w:t>
      </w:r>
      <w:proofErr w:type="spellStart"/>
      <w:r w:rsidR="00CE6AEF" w:rsidRPr="00D877D0">
        <w:t>subblock</w:t>
      </w:r>
      <w:proofErr w:type="spellEnd"/>
      <w:r w:rsidRPr="00D877D0">
        <w:t xml:space="preserve">” is </w:t>
      </w:r>
      <w:r w:rsidR="00CE6AEF" w:rsidRPr="00D877D0">
        <w:t xml:space="preserve">also </w:t>
      </w:r>
      <w:r w:rsidRPr="00D877D0">
        <w:t>widely used through Clause 36 in D0.3, for example, in</w:t>
      </w:r>
    </w:p>
    <w:p w:rsidR="00FB3887" w:rsidRDefault="00FB3887" w:rsidP="00F90915">
      <w:pPr>
        <w:rPr>
          <w:sz w:val="24"/>
          <w:szCs w:val="24"/>
          <w:lang w:val="en-US"/>
        </w:rPr>
      </w:pPr>
    </w:p>
    <w:p w:rsidR="008F2440" w:rsidRDefault="00CE6AEF" w:rsidP="00CE6AEF">
      <w:pPr>
        <w:pStyle w:val="SP1690506"/>
        <w:rPr>
          <w:bCs/>
          <w:color w:val="000000"/>
        </w:rPr>
      </w:pPr>
      <w:r w:rsidRPr="00CE6AEF">
        <w:rPr>
          <w:bCs/>
          <w:color w:val="000000"/>
        </w:rPr>
        <w:t>36.3.6.10 Construction of Data field in an EHT PPDU</w:t>
      </w:r>
      <w:r>
        <w:rPr>
          <w:bCs/>
          <w:color w:val="000000"/>
        </w:rPr>
        <w:t xml:space="preserve"> </w:t>
      </w:r>
    </w:p>
    <w:p w:rsidR="005D6B0D" w:rsidRPr="00C314CC" w:rsidRDefault="005D6B0D" w:rsidP="005D6B0D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36.3.11.8 EHT-SIG</w:t>
      </w:r>
    </w:p>
    <w:p w:rsidR="00CE6AEF" w:rsidRPr="00CE6AEF" w:rsidRDefault="00CE6AEF" w:rsidP="00F90915">
      <w:pPr>
        <w:rPr>
          <w:rStyle w:val="SC10319501"/>
          <w:b w:val="0"/>
          <w:sz w:val="24"/>
          <w:szCs w:val="24"/>
        </w:rPr>
      </w:pPr>
      <w:r w:rsidRPr="00CE6AEF">
        <w:rPr>
          <w:bCs/>
          <w:color w:val="000000"/>
          <w:sz w:val="24"/>
          <w:szCs w:val="24"/>
        </w:rPr>
        <w:t>36.3.12.5 Segment parser</w:t>
      </w:r>
    </w:p>
    <w:p w:rsidR="00FB3887" w:rsidRPr="00FB3887" w:rsidRDefault="00FB3887" w:rsidP="00F90915">
      <w:pPr>
        <w:rPr>
          <w:sz w:val="24"/>
          <w:szCs w:val="24"/>
          <w:lang w:val="en-US"/>
        </w:rPr>
      </w:pPr>
      <w:r>
        <w:rPr>
          <w:rStyle w:val="SC10319501"/>
          <w:b w:val="0"/>
          <w:sz w:val="24"/>
          <w:szCs w:val="24"/>
        </w:rPr>
        <w:t>36.3.12.8 LDPC tone mapper</w:t>
      </w:r>
    </w:p>
    <w:p w:rsidR="00B729CA" w:rsidRDefault="00B729CA" w:rsidP="00F90915">
      <w:pPr>
        <w:rPr>
          <w:sz w:val="24"/>
          <w:szCs w:val="24"/>
          <w:lang w:val="en-US"/>
        </w:rPr>
      </w:pPr>
    </w:p>
    <w:p w:rsidR="00B729CA" w:rsidRPr="00D877D0" w:rsidRDefault="00B729CA" w:rsidP="00D877D0">
      <w:pPr>
        <w:pStyle w:val="ListParagraph"/>
        <w:numPr>
          <w:ilvl w:val="0"/>
          <w:numId w:val="46"/>
        </w:numPr>
        <w:ind w:left="360"/>
      </w:pPr>
      <w:r w:rsidRPr="00D877D0">
        <w:t xml:space="preserve">In </w:t>
      </w:r>
      <w:r w:rsidR="00F20B80">
        <w:t xml:space="preserve">the </w:t>
      </w:r>
      <w:r w:rsidRPr="00D877D0">
        <w:t xml:space="preserve">most of cases, “frequency segment / frequency </w:t>
      </w:r>
      <w:proofErr w:type="spellStart"/>
      <w:r w:rsidRPr="00D877D0">
        <w:t>subblock</w:t>
      </w:r>
      <w:proofErr w:type="spellEnd"/>
      <w:r w:rsidRPr="00D877D0">
        <w:t>” represents an 80 MHz spectrum range, with exception such as:</w:t>
      </w:r>
    </w:p>
    <w:p w:rsidR="00B729CA" w:rsidRDefault="00B729CA" w:rsidP="00F90915">
      <w:pPr>
        <w:rPr>
          <w:sz w:val="24"/>
          <w:szCs w:val="24"/>
          <w:lang w:val="en-US"/>
        </w:rPr>
      </w:pPr>
    </w:p>
    <w:p w:rsidR="00B729CA" w:rsidRDefault="00B729CA" w:rsidP="00B729CA">
      <w:pPr>
        <w:pStyle w:val="SP1690506"/>
        <w:rPr>
          <w:bCs/>
          <w:color w:val="000000"/>
        </w:rPr>
      </w:pPr>
      <w:r w:rsidRPr="00CE6AEF">
        <w:rPr>
          <w:bCs/>
          <w:color w:val="000000"/>
        </w:rPr>
        <w:t>36.3.6.10 Construction of Data field in an EHT PPDU</w:t>
      </w:r>
      <w:r>
        <w:rPr>
          <w:bCs/>
          <w:color w:val="000000"/>
        </w:rPr>
        <w:t xml:space="preserve"> </w:t>
      </w:r>
    </w:p>
    <w:p w:rsidR="00B729CA" w:rsidRPr="00333FF5" w:rsidRDefault="00B729CA" w:rsidP="00B729CA">
      <w:pPr>
        <w:rPr>
          <w:lang w:val="en-US"/>
        </w:rPr>
      </w:pPr>
    </w:p>
    <w:p w:rsidR="00B729CA" w:rsidRPr="00333FF5" w:rsidRDefault="00B729CA" w:rsidP="00B729CA">
      <w:pPr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2C7B495A" wp14:editId="10B9D1A6">
            <wp:extent cx="6400800" cy="71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CA" w:rsidRDefault="00B729CA" w:rsidP="00B729CA">
      <w:pPr>
        <w:pStyle w:val="SP1690506"/>
        <w:rPr>
          <w:bCs/>
          <w:color w:val="000000"/>
        </w:rPr>
      </w:pPr>
      <w:r>
        <w:rPr>
          <w:noProof/>
          <w:lang w:eastAsia="zh-CN"/>
        </w:rPr>
        <w:drawing>
          <wp:inline distT="0" distB="0" distL="0" distR="0" wp14:anchorId="43AC7983" wp14:editId="4ABE76DF">
            <wp:extent cx="6400800" cy="768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CA" w:rsidRPr="00333FF5" w:rsidRDefault="00B729CA" w:rsidP="00B729CA">
      <w:pPr>
        <w:rPr>
          <w:lang w:val="en-US"/>
        </w:rPr>
      </w:pPr>
    </w:p>
    <w:p w:rsidR="00B729CA" w:rsidRDefault="00B729CA" w:rsidP="00F90915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and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B729CA" w:rsidRDefault="00B729CA" w:rsidP="00F90915">
      <w:pPr>
        <w:rPr>
          <w:sz w:val="24"/>
          <w:szCs w:val="24"/>
          <w:lang w:val="en-US"/>
        </w:rPr>
      </w:pPr>
    </w:p>
    <w:p w:rsidR="00B729CA" w:rsidRDefault="00B729CA" w:rsidP="00F909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36.3.9 Time-related parameters</w:t>
      </w:r>
    </w:p>
    <w:p w:rsidR="00B729CA" w:rsidRDefault="00B729CA" w:rsidP="00F90915">
      <w:pPr>
        <w:rPr>
          <w:sz w:val="24"/>
          <w:szCs w:val="24"/>
          <w:lang w:val="en-US"/>
        </w:rPr>
      </w:pPr>
    </w:p>
    <w:p w:rsidR="00B729CA" w:rsidRDefault="00B729CA" w:rsidP="00B729CA">
      <w:pPr>
        <w:jc w:val="center"/>
        <w:rPr>
          <w:sz w:val="24"/>
          <w:szCs w:val="24"/>
          <w:lang w:val="en-US"/>
        </w:rPr>
      </w:pPr>
      <w:r w:rsidRPr="00B729C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936615" cy="139954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915" w:rsidRDefault="00F90915" w:rsidP="00121B85">
      <w:pPr>
        <w:rPr>
          <w:lang w:val="en-US" w:eastAsia="zh-CN"/>
        </w:rPr>
      </w:pPr>
    </w:p>
    <w:p w:rsidR="00705C53" w:rsidRDefault="00705C53" w:rsidP="00121B85">
      <w:pPr>
        <w:rPr>
          <w:lang w:val="en-US" w:eastAsia="zh-CN"/>
        </w:rPr>
      </w:pPr>
    </w:p>
    <w:p w:rsidR="00705C53" w:rsidRPr="00CE6AEF" w:rsidRDefault="00F90915" w:rsidP="00121B85">
      <w:pPr>
        <w:rPr>
          <w:b/>
          <w:sz w:val="24"/>
          <w:szCs w:val="24"/>
          <w:lang w:val="en-US"/>
        </w:rPr>
      </w:pPr>
      <w:r w:rsidRPr="00CE6AEF">
        <w:rPr>
          <w:b/>
          <w:sz w:val="24"/>
          <w:szCs w:val="24"/>
          <w:lang w:val="en-US"/>
        </w:rPr>
        <w:t xml:space="preserve">Option 1: </w:t>
      </w:r>
    </w:p>
    <w:p w:rsidR="00705C53" w:rsidRDefault="00CE6AEF" w:rsidP="00B729CA">
      <w:pPr>
        <w:spacing w:before="120"/>
        <w:rPr>
          <w:rFonts w:eastAsia="微软雅黑"/>
          <w:color w:val="000000"/>
          <w:sz w:val="24"/>
          <w:szCs w:val="24"/>
          <w:shd w:val="clear" w:color="auto" w:fill="F7F7F7"/>
        </w:rPr>
      </w:pPr>
      <w:r>
        <w:rPr>
          <w:rFonts w:eastAsia="微软雅黑"/>
          <w:color w:val="000000"/>
          <w:sz w:val="24"/>
          <w:szCs w:val="24"/>
          <w:shd w:val="clear" w:color="auto" w:fill="F7F7F7"/>
          <w:lang w:val="en-US"/>
        </w:rPr>
        <w:t>U</w:t>
      </w:r>
      <w:proofErr w:type="spellStart"/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>se</w:t>
      </w:r>
      <w:proofErr w:type="spellEnd"/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 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“</w:t>
      </w:r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frequency </w:t>
      </w:r>
      <w:proofErr w:type="spellStart"/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>subblock</w:t>
      </w:r>
      <w:proofErr w:type="spellEnd"/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”</w:t>
      </w:r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 for 80</w:t>
      </w:r>
      <w:r w:rsid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 </w:t>
      </w:r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>M</w:t>
      </w:r>
      <w:r w:rsidR="00F90915">
        <w:rPr>
          <w:rFonts w:eastAsia="微软雅黑"/>
          <w:color w:val="000000"/>
          <w:sz w:val="24"/>
          <w:szCs w:val="24"/>
          <w:shd w:val="clear" w:color="auto" w:fill="F7F7F7"/>
        </w:rPr>
        <w:t>H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>z and</w:t>
      </w:r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 use 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“</w:t>
      </w:r>
      <w:r w:rsidR="00B729CA">
        <w:rPr>
          <w:rFonts w:eastAsia="微软雅黑"/>
          <w:color w:val="000000"/>
          <w:sz w:val="24"/>
          <w:szCs w:val="24"/>
          <w:shd w:val="clear" w:color="auto" w:fill="F7F7F7"/>
        </w:rPr>
        <w:t xml:space="preserve">frequency </w:t>
      </w:r>
      <w:proofErr w:type="spellStart"/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>segem</w:t>
      </w:r>
      <w:r w:rsidR="00576544">
        <w:rPr>
          <w:rFonts w:eastAsia="微软雅黑"/>
          <w:color w:val="000000"/>
          <w:sz w:val="24"/>
          <w:szCs w:val="24"/>
          <w:shd w:val="clear" w:color="auto" w:fill="F7F7F7"/>
        </w:rPr>
        <w:t>ent</w:t>
      </w:r>
      <w:proofErr w:type="spellEnd"/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”</w:t>
      </w:r>
      <w:r w:rsidR="00576544">
        <w:rPr>
          <w:rFonts w:eastAsia="微软雅黑"/>
          <w:color w:val="000000"/>
          <w:sz w:val="24"/>
          <w:szCs w:val="24"/>
          <w:shd w:val="clear" w:color="auto" w:fill="F7F7F7"/>
        </w:rPr>
        <w:t xml:space="preserve"> for a </w:t>
      </w:r>
      <w:proofErr w:type="spellStart"/>
      <w:r w:rsidR="00576544">
        <w:rPr>
          <w:rFonts w:eastAsia="微软雅黑"/>
          <w:color w:val="000000"/>
          <w:sz w:val="24"/>
          <w:szCs w:val="24"/>
          <w:shd w:val="clear" w:color="auto" w:fill="F7F7F7"/>
        </w:rPr>
        <w:t>contigous</w:t>
      </w:r>
      <w:proofErr w:type="spellEnd"/>
      <w:r w:rsidR="00D877D0">
        <w:rPr>
          <w:rFonts w:eastAsia="微软雅黑"/>
          <w:color w:val="000000"/>
          <w:sz w:val="24"/>
          <w:szCs w:val="24"/>
          <w:shd w:val="clear" w:color="auto" w:fill="F7F7F7"/>
        </w:rPr>
        <w:t xml:space="preserve"> spectrum.</w:t>
      </w:r>
    </w:p>
    <w:p w:rsidR="00F90915" w:rsidRPr="004359FB" w:rsidRDefault="00616601" w:rsidP="00121B85">
      <w:pPr>
        <w:rPr>
          <w:sz w:val="24"/>
          <w:szCs w:val="24"/>
          <w:lang w:val="en-US" w:eastAsia="zh-CN"/>
        </w:rPr>
      </w:pPr>
      <w:r w:rsidRPr="004359FB">
        <w:rPr>
          <w:rFonts w:hint="eastAsia"/>
          <w:sz w:val="24"/>
          <w:szCs w:val="24"/>
          <w:lang w:val="en-US" w:eastAsia="zh-CN"/>
        </w:rPr>
        <w:t>P</w:t>
      </w:r>
      <w:r w:rsidRPr="004359FB">
        <w:rPr>
          <w:sz w:val="24"/>
          <w:szCs w:val="24"/>
          <w:lang w:val="en-US" w:eastAsia="zh-CN"/>
        </w:rPr>
        <w:t>otential Action for Option 1:</w:t>
      </w:r>
    </w:p>
    <w:p w:rsidR="00616601" w:rsidRDefault="00616601" w:rsidP="004359FB">
      <w:pPr>
        <w:pStyle w:val="ListParagraph"/>
        <w:numPr>
          <w:ilvl w:val="0"/>
          <w:numId w:val="47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e</w:t>
      </w:r>
      <w:r w:rsidR="00FD176D">
        <w:rPr>
          <w:lang w:eastAsia="zh-CN"/>
        </w:rPr>
        <w:t>ar</w:t>
      </w:r>
      <w:r>
        <w:rPr>
          <w:lang w:eastAsia="zh-CN"/>
        </w:rPr>
        <w:t xml:space="preserve">ch </w:t>
      </w:r>
      <w:r w:rsidR="00FD176D">
        <w:rPr>
          <w:lang w:eastAsia="zh-CN"/>
        </w:rPr>
        <w:t xml:space="preserve">for the terms of </w:t>
      </w:r>
      <w:r w:rsidR="008B575C">
        <w:rPr>
          <w:lang w:eastAsia="zh-CN"/>
        </w:rPr>
        <w:t xml:space="preserve">80 MHz segment and </w:t>
      </w:r>
      <w:r>
        <w:rPr>
          <w:lang w:eastAsia="zh-CN"/>
        </w:rPr>
        <w:t>frequency segment</w:t>
      </w:r>
      <w:r w:rsidR="008B575C">
        <w:rPr>
          <w:lang w:eastAsia="zh-CN"/>
        </w:rPr>
        <w:t xml:space="preserve"> </w:t>
      </w:r>
      <w:r>
        <w:rPr>
          <w:lang w:eastAsia="zh-CN"/>
        </w:rPr>
        <w:t xml:space="preserve">which </w:t>
      </w:r>
      <w:r w:rsidR="009E5724">
        <w:rPr>
          <w:lang w:eastAsia="zh-CN"/>
        </w:rPr>
        <w:t>are</w:t>
      </w:r>
      <w:r>
        <w:rPr>
          <w:lang w:eastAsia="zh-CN"/>
        </w:rPr>
        <w:t xml:space="preserve"> used to represent 80 MHz in </w:t>
      </w:r>
      <w:r w:rsidR="00FD176D">
        <w:rPr>
          <w:lang w:eastAsia="zh-CN"/>
        </w:rPr>
        <w:t xml:space="preserve">the </w:t>
      </w:r>
      <w:r>
        <w:rPr>
          <w:lang w:eastAsia="zh-CN"/>
        </w:rPr>
        <w:t>P802.11be draft</w:t>
      </w:r>
      <w:r w:rsidR="00674548">
        <w:rPr>
          <w:lang w:eastAsia="zh-CN"/>
        </w:rPr>
        <w:t>,</w:t>
      </w:r>
      <w:r>
        <w:rPr>
          <w:lang w:eastAsia="zh-CN"/>
        </w:rPr>
        <w:t xml:space="preserve"> and replace </w:t>
      </w:r>
      <w:r w:rsidR="008B575C">
        <w:rPr>
          <w:lang w:eastAsia="zh-CN"/>
        </w:rPr>
        <w:t xml:space="preserve">all of </w:t>
      </w:r>
      <w:r>
        <w:rPr>
          <w:lang w:eastAsia="zh-CN"/>
        </w:rPr>
        <w:t xml:space="preserve">them with 80 MHz frequency </w:t>
      </w:r>
      <w:proofErr w:type="spellStart"/>
      <w:r>
        <w:rPr>
          <w:lang w:eastAsia="zh-CN"/>
        </w:rPr>
        <w:t>subblock</w:t>
      </w:r>
      <w:proofErr w:type="spellEnd"/>
      <w:r>
        <w:rPr>
          <w:lang w:eastAsia="zh-CN"/>
        </w:rPr>
        <w:t>.</w:t>
      </w:r>
    </w:p>
    <w:p w:rsidR="00616601" w:rsidRPr="00616601" w:rsidRDefault="00FD176D" w:rsidP="004218AE">
      <w:pPr>
        <w:pStyle w:val="ListParagraph"/>
        <w:numPr>
          <w:ilvl w:val="0"/>
          <w:numId w:val="47"/>
        </w:numPr>
        <w:rPr>
          <w:lang w:eastAsia="zh-CN"/>
        </w:rPr>
      </w:pPr>
      <w:r>
        <w:rPr>
          <w:lang w:eastAsia="zh-CN"/>
        </w:rPr>
        <w:t>Replace</w:t>
      </w:r>
      <w:r w:rsidR="00616601">
        <w:rPr>
          <w:lang w:eastAsia="zh-CN"/>
        </w:rPr>
        <w:t xml:space="preserve"> segment parser </w:t>
      </w:r>
      <w:r>
        <w:rPr>
          <w:lang w:eastAsia="zh-CN"/>
        </w:rPr>
        <w:t>with</w:t>
      </w:r>
      <w:r w:rsidR="00616601">
        <w:rPr>
          <w:lang w:eastAsia="zh-CN"/>
        </w:rPr>
        <w:t xml:space="preserve"> frequency </w:t>
      </w:r>
      <w:proofErr w:type="spellStart"/>
      <w:r w:rsidR="00616601">
        <w:rPr>
          <w:lang w:eastAsia="zh-CN"/>
        </w:rPr>
        <w:t>subblock</w:t>
      </w:r>
      <w:proofErr w:type="spellEnd"/>
      <w:r w:rsidR="00616601">
        <w:rPr>
          <w:lang w:eastAsia="zh-CN"/>
        </w:rPr>
        <w:t xml:space="preserve"> parser in </w:t>
      </w:r>
      <w:proofErr w:type="spellStart"/>
      <w:r w:rsidR="00616601">
        <w:rPr>
          <w:lang w:eastAsia="zh-CN"/>
        </w:rPr>
        <w:t>Revme</w:t>
      </w:r>
      <w:proofErr w:type="spellEnd"/>
      <w:r w:rsidR="00616601">
        <w:rPr>
          <w:lang w:eastAsia="zh-CN"/>
        </w:rPr>
        <w:t>.</w:t>
      </w:r>
    </w:p>
    <w:p w:rsidR="00B729CA" w:rsidRDefault="00B729CA" w:rsidP="00121B85">
      <w:pPr>
        <w:rPr>
          <w:lang w:val="en-US"/>
        </w:rPr>
      </w:pPr>
    </w:p>
    <w:p w:rsidR="007A35A1" w:rsidRPr="00CE6AEF" w:rsidRDefault="00F90915" w:rsidP="00710AC4">
      <w:pPr>
        <w:rPr>
          <w:b/>
          <w:sz w:val="24"/>
          <w:szCs w:val="24"/>
          <w:lang w:val="en-US"/>
        </w:rPr>
      </w:pPr>
      <w:r w:rsidRPr="00CE6AEF">
        <w:rPr>
          <w:b/>
          <w:sz w:val="24"/>
          <w:szCs w:val="24"/>
          <w:lang w:val="en-US"/>
        </w:rPr>
        <w:t>Option 2:</w:t>
      </w:r>
    </w:p>
    <w:p w:rsidR="007A35A1" w:rsidRDefault="00D877D0" w:rsidP="00D877D0">
      <w:pPr>
        <w:spacing w:before="120"/>
        <w:rPr>
          <w:rFonts w:eastAsia="微软雅黑"/>
          <w:color w:val="000000"/>
          <w:sz w:val="24"/>
          <w:szCs w:val="24"/>
          <w:shd w:val="clear" w:color="auto" w:fill="F7F7F7"/>
        </w:rPr>
      </w:pPr>
      <w:r>
        <w:rPr>
          <w:rFonts w:eastAsia="微软雅黑"/>
          <w:color w:val="000000"/>
          <w:sz w:val="24"/>
          <w:szCs w:val="24"/>
          <w:shd w:val="clear" w:color="auto" w:fill="F7F7F7"/>
          <w:lang w:val="en-US"/>
        </w:rPr>
        <w:t>U</w:t>
      </w:r>
      <w:proofErr w:type="spellStart"/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se</w:t>
      </w:r>
      <w:proofErr w:type="spellEnd"/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 xml:space="preserve">“frequency 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segment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”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for 80</w:t>
      </w:r>
      <w:r w:rsid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MH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z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 xml:space="preserve"> and use another term (e.g.,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“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frequency block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”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 xml:space="preserve">) for a </w:t>
      </w:r>
      <w:proofErr w:type="spellStart"/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c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>o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ntigous</w:t>
      </w:r>
      <w:proofErr w:type="spellEnd"/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spectrum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 xml:space="preserve">. </w:t>
      </w:r>
    </w:p>
    <w:p w:rsidR="00616601" w:rsidRPr="004359FB" w:rsidRDefault="00616601" w:rsidP="00616601">
      <w:pPr>
        <w:rPr>
          <w:sz w:val="24"/>
          <w:szCs w:val="24"/>
          <w:lang w:val="en-US" w:eastAsia="zh-CN"/>
        </w:rPr>
      </w:pPr>
      <w:r w:rsidRPr="004359FB">
        <w:rPr>
          <w:rFonts w:hint="eastAsia"/>
          <w:sz w:val="24"/>
          <w:szCs w:val="24"/>
          <w:lang w:val="en-US" w:eastAsia="zh-CN"/>
        </w:rPr>
        <w:t>P</w:t>
      </w:r>
      <w:r w:rsidRPr="004359FB">
        <w:rPr>
          <w:sz w:val="24"/>
          <w:szCs w:val="24"/>
          <w:lang w:val="en-US" w:eastAsia="zh-CN"/>
        </w:rPr>
        <w:t>otential Action for Option 2:</w:t>
      </w:r>
    </w:p>
    <w:p w:rsidR="00616601" w:rsidRDefault="00616601" w:rsidP="004218AE">
      <w:pPr>
        <w:pStyle w:val="ListParagraph"/>
        <w:numPr>
          <w:ilvl w:val="0"/>
          <w:numId w:val="48"/>
        </w:numPr>
        <w:spacing w:before="120"/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earch </w:t>
      </w:r>
      <w:r w:rsidR="00FD176D">
        <w:rPr>
          <w:lang w:eastAsia="zh-CN"/>
        </w:rPr>
        <w:t xml:space="preserve">for the terms of </w:t>
      </w:r>
      <w:r w:rsidR="008B575C">
        <w:rPr>
          <w:lang w:eastAsia="zh-CN"/>
        </w:rPr>
        <w:t xml:space="preserve">80MHz </w:t>
      </w:r>
      <w:proofErr w:type="spellStart"/>
      <w:r w:rsidR="008B575C">
        <w:rPr>
          <w:lang w:eastAsia="zh-CN"/>
        </w:rPr>
        <w:t>subblock</w:t>
      </w:r>
      <w:proofErr w:type="spellEnd"/>
      <w:r w:rsidR="008B575C">
        <w:rPr>
          <w:lang w:eastAsia="zh-CN"/>
        </w:rPr>
        <w:t xml:space="preserve"> and </w:t>
      </w:r>
      <w:r>
        <w:rPr>
          <w:lang w:eastAsia="zh-CN"/>
        </w:rPr>
        <w:t>fr</w:t>
      </w:r>
      <w:r w:rsidR="008B575C">
        <w:rPr>
          <w:lang w:eastAsia="zh-CN"/>
        </w:rPr>
        <w:t xml:space="preserve">equency </w:t>
      </w:r>
      <w:proofErr w:type="spellStart"/>
      <w:r w:rsidR="008B575C">
        <w:rPr>
          <w:lang w:eastAsia="zh-CN"/>
        </w:rPr>
        <w:t>subblock</w:t>
      </w:r>
      <w:proofErr w:type="spellEnd"/>
      <w:r w:rsidR="008B575C">
        <w:rPr>
          <w:lang w:eastAsia="zh-CN"/>
        </w:rPr>
        <w:t xml:space="preserve"> </w:t>
      </w:r>
      <w:r w:rsidR="004218AE">
        <w:rPr>
          <w:lang w:eastAsia="zh-CN"/>
        </w:rPr>
        <w:t xml:space="preserve">which </w:t>
      </w:r>
      <w:r w:rsidR="009E5724">
        <w:rPr>
          <w:lang w:eastAsia="zh-CN"/>
        </w:rPr>
        <w:t>are</w:t>
      </w:r>
      <w:r w:rsidR="004218AE">
        <w:rPr>
          <w:lang w:eastAsia="zh-CN"/>
        </w:rPr>
        <w:t xml:space="preserve"> used to represent 80 MHz in </w:t>
      </w:r>
      <w:r w:rsidR="00336749">
        <w:rPr>
          <w:lang w:eastAsia="zh-CN"/>
        </w:rPr>
        <w:t xml:space="preserve">the </w:t>
      </w:r>
      <w:r w:rsidR="004218AE">
        <w:rPr>
          <w:lang w:eastAsia="zh-CN"/>
        </w:rPr>
        <w:t xml:space="preserve">P802.11be </w:t>
      </w:r>
      <w:r w:rsidR="004359FB">
        <w:rPr>
          <w:lang w:eastAsia="zh-CN"/>
        </w:rPr>
        <w:t>draft</w:t>
      </w:r>
      <w:r w:rsidR="00674548">
        <w:rPr>
          <w:lang w:eastAsia="zh-CN"/>
        </w:rPr>
        <w:t>,</w:t>
      </w:r>
      <w:r>
        <w:rPr>
          <w:lang w:eastAsia="zh-CN"/>
        </w:rPr>
        <w:t xml:space="preserve"> and replace </w:t>
      </w:r>
      <w:r w:rsidR="008307FC">
        <w:rPr>
          <w:lang w:eastAsia="zh-CN"/>
        </w:rPr>
        <w:t>all of them</w:t>
      </w:r>
      <w:r>
        <w:rPr>
          <w:lang w:eastAsia="zh-CN"/>
        </w:rPr>
        <w:t xml:space="preserve"> with 80 MHz frequency segment.</w:t>
      </w:r>
    </w:p>
    <w:p w:rsidR="00616601" w:rsidRPr="00616601" w:rsidRDefault="00FD176D" w:rsidP="004218AE">
      <w:pPr>
        <w:pStyle w:val="ListParagraph"/>
        <w:numPr>
          <w:ilvl w:val="0"/>
          <w:numId w:val="48"/>
        </w:numPr>
        <w:spacing w:before="120"/>
      </w:pPr>
      <w:r>
        <w:rPr>
          <w:lang w:eastAsia="zh-CN"/>
        </w:rPr>
        <w:t>Replace segment with</w:t>
      </w:r>
      <w:r w:rsidR="00616601">
        <w:rPr>
          <w:lang w:eastAsia="zh-CN"/>
        </w:rPr>
        <w:t xml:space="preserve"> frequency block in </w:t>
      </w:r>
      <w:proofErr w:type="spellStart"/>
      <w:r w:rsidR="00616601">
        <w:rPr>
          <w:lang w:eastAsia="zh-CN"/>
        </w:rPr>
        <w:t>Revme</w:t>
      </w:r>
      <w:proofErr w:type="spellEnd"/>
      <w:r w:rsidR="00616601">
        <w:rPr>
          <w:lang w:eastAsia="zh-CN"/>
        </w:rPr>
        <w:t xml:space="preserve">.  </w:t>
      </w:r>
    </w:p>
    <w:p w:rsidR="007A35A1" w:rsidRDefault="007A35A1" w:rsidP="00710AC4">
      <w:pPr>
        <w:rPr>
          <w:sz w:val="24"/>
          <w:szCs w:val="24"/>
          <w:lang w:val="en-US"/>
        </w:rPr>
      </w:pPr>
    </w:p>
    <w:p w:rsidR="00616601" w:rsidRPr="004359FB" w:rsidRDefault="00616601" w:rsidP="00710AC4">
      <w:pPr>
        <w:rPr>
          <w:b/>
          <w:sz w:val="24"/>
          <w:szCs w:val="24"/>
          <w:lang w:val="en-US"/>
        </w:rPr>
      </w:pPr>
      <w:r w:rsidRPr="004359FB">
        <w:rPr>
          <w:b/>
          <w:sz w:val="24"/>
          <w:szCs w:val="24"/>
          <w:lang w:val="en-US"/>
        </w:rPr>
        <w:t>End of discussion</w:t>
      </w:r>
    </w:p>
    <w:p w:rsidR="00616601" w:rsidRPr="00F90915" w:rsidRDefault="00616601" w:rsidP="00710AC4">
      <w:pPr>
        <w:rPr>
          <w:sz w:val="24"/>
          <w:szCs w:val="24"/>
          <w:lang w:val="en-US"/>
        </w:rPr>
      </w:pPr>
    </w:p>
    <w:p w:rsidR="007A35A1" w:rsidRPr="004359FB" w:rsidRDefault="00616601" w:rsidP="00710AC4">
      <w:pPr>
        <w:rPr>
          <w:b/>
          <w:sz w:val="24"/>
          <w:szCs w:val="24"/>
          <w:lang w:val="en-US" w:eastAsia="zh-CN"/>
        </w:rPr>
      </w:pPr>
      <w:r w:rsidRPr="004359FB">
        <w:rPr>
          <w:rFonts w:hint="eastAsia"/>
          <w:b/>
          <w:sz w:val="24"/>
          <w:szCs w:val="24"/>
          <w:lang w:val="en-US" w:eastAsia="zh-CN"/>
        </w:rPr>
        <w:t>S</w:t>
      </w:r>
      <w:r w:rsidRPr="004359FB">
        <w:rPr>
          <w:b/>
          <w:sz w:val="24"/>
          <w:szCs w:val="24"/>
          <w:lang w:val="en-US" w:eastAsia="zh-CN"/>
        </w:rPr>
        <w:t>P:</w:t>
      </w:r>
    </w:p>
    <w:p w:rsidR="00616601" w:rsidRPr="004359FB" w:rsidRDefault="00616601" w:rsidP="00710AC4">
      <w:pPr>
        <w:rPr>
          <w:b/>
          <w:sz w:val="24"/>
          <w:szCs w:val="24"/>
          <w:lang w:val="en-US" w:eastAsia="zh-CN"/>
        </w:rPr>
      </w:pPr>
      <w:r w:rsidRPr="004359FB">
        <w:rPr>
          <w:b/>
          <w:sz w:val="24"/>
          <w:szCs w:val="24"/>
          <w:lang w:val="en-US" w:eastAsia="zh-CN"/>
        </w:rPr>
        <w:t>Which option do you prefer?</w:t>
      </w:r>
    </w:p>
    <w:p w:rsidR="00616601" w:rsidRPr="004359FB" w:rsidRDefault="00616601" w:rsidP="004218AE">
      <w:pPr>
        <w:pStyle w:val="ListParagraph"/>
        <w:numPr>
          <w:ilvl w:val="0"/>
          <w:numId w:val="50"/>
        </w:numPr>
        <w:rPr>
          <w:b/>
          <w:lang w:eastAsia="zh-CN"/>
        </w:rPr>
      </w:pPr>
      <w:r w:rsidRPr="004359FB">
        <w:rPr>
          <w:b/>
          <w:lang w:eastAsia="zh-CN"/>
        </w:rPr>
        <w:t>Opt1</w:t>
      </w:r>
    </w:p>
    <w:p w:rsidR="00616601" w:rsidRPr="004359FB" w:rsidRDefault="00616601" w:rsidP="004218AE">
      <w:pPr>
        <w:pStyle w:val="ListParagraph"/>
        <w:numPr>
          <w:ilvl w:val="0"/>
          <w:numId w:val="50"/>
        </w:numPr>
        <w:rPr>
          <w:b/>
          <w:lang w:eastAsia="zh-CN"/>
        </w:rPr>
      </w:pPr>
      <w:r w:rsidRPr="004359FB">
        <w:rPr>
          <w:b/>
          <w:lang w:eastAsia="zh-CN"/>
        </w:rPr>
        <w:t>Opt2</w:t>
      </w:r>
    </w:p>
    <w:p w:rsidR="00616601" w:rsidRPr="004359FB" w:rsidRDefault="0006360C" w:rsidP="004218AE">
      <w:pPr>
        <w:pStyle w:val="ListParagraph"/>
        <w:numPr>
          <w:ilvl w:val="0"/>
          <w:numId w:val="50"/>
        </w:numPr>
        <w:rPr>
          <w:b/>
          <w:lang w:eastAsia="zh-CN"/>
        </w:rPr>
      </w:pPr>
      <w:r>
        <w:rPr>
          <w:b/>
          <w:lang w:eastAsia="zh-CN"/>
        </w:rPr>
        <w:t>Neithe</w:t>
      </w:r>
      <w:r w:rsidR="00616601" w:rsidRPr="004359FB">
        <w:rPr>
          <w:b/>
          <w:lang w:eastAsia="zh-CN"/>
        </w:rPr>
        <w:t>r</w:t>
      </w:r>
    </w:p>
    <w:p w:rsidR="00616601" w:rsidRPr="004359FB" w:rsidRDefault="00616601" w:rsidP="004218AE">
      <w:pPr>
        <w:pStyle w:val="ListParagraph"/>
        <w:numPr>
          <w:ilvl w:val="0"/>
          <w:numId w:val="50"/>
        </w:numPr>
        <w:rPr>
          <w:b/>
          <w:lang w:eastAsia="zh-CN"/>
        </w:rPr>
      </w:pPr>
      <w:r w:rsidRPr="004359FB">
        <w:rPr>
          <w:b/>
          <w:lang w:eastAsia="zh-CN"/>
        </w:rPr>
        <w:t>Abs</w:t>
      </w:r>
    </w:p>
    <w:p w:rsidR="00616601" w:rsidRDefault="00616601" w:rsidP="00616601">
      <w:pPr>
        <w:rPr>
          <w:lang w:eastAsia="zh-CN"/>
        </w:rPr>
      </w:pPr>
    </w:p>
    <w:p w:rsidR="004218AE" w:rsidRPr="004359FB" w:rsidRDefault="00616601" w:rsidP="00616601">
      <w:pPr>
        <w:rPr>
          <w:sz w:val="24"/>
          <w:szCs w:val="24"/>
          <w:lang w:eastAsia="zh-CN"/>
        </w:rPr>
      </w:pPr>
      <w:r w:rsidRPr="004359FB">
        <w:rPr>
          <w:rFonts w:hint="eastAsia"/>
          <w:sz w:val="24"/>
          <w:szCs w:val="24"/>
          <w:lang w:eastAsia="zh-CN"/>
        </w:rPr>
        <w:t>P</w:t>
      </w:r>
      <w:r w:rsidRPr="004359FB">
        <w:rPr>
          <w:sz w:val="24"/>
          <w:szCs w:val="24"/>
          <w:lang w:eastAsia="zh-CN"/>
        </w:rPr>
        <w:t>roposed resolution:</w:t>
      </w:r>
      <w:r w:rsidR="004359FB">
        <w:rPr>
          <w:sz w:val="24"/>
          <w:szCs w:val="24"/>
          <w:lang w:eastAsia="zh-CN"/>
        </w:rPr>
        <w:t xml:space="preserve"> TBD (t</w:t>
      </w:r>
      <w:r w:rsidR="004359FB" w:rsidRPr="004359FB">
        <w:rPr>
          <w:sz w:val="24"/>
          <w:szCs w:val="24"/>
          <w:lang w:eastAsia="zh-CN"/>
        </w:rPr>
        <w:t>o be provided later based on t</w:t>
      </w:r>
      <w:r w:rsidR="004359FB">
        <w:rPr>
          <w:sz w:val="24"/>
          <w:szCs w:val="24"/>
          <w:lang w:eastAsia="zh-CN"/>
        </w:rPr>
        <w:t>he SP result)</w:t>
      </w:r>
    </w:p>
    <w:p w:rsidR="004218AE" w:rsidRPr="004359FB" w:rsidRDefault="004218AE" w:rsidP="00616601">
      <w:pPr>
        <w:rPr>
          <w:sz w:val="24"/>
          <w:szCs w:val="24"/>
          <w:lang w:eastAsia="zh-CN"/>
        </w:rPr>
      </w:pPr>
    </w:p>
    <w:p w:rsidR="004218AE" w:rsidRPr="004359FB" w:rsidRDefault="004218AE" w:rsidP="00616601">
      <w:pPr>
        <w:rPr>
          <w:sz w:val="24"/>
          <w:szCs w:val="24"/>
          <w:lang w:eastAsia="zh-CN"/>
        </w:rPr>
      </w:pPr>
    </w:p>
    <w:sectPr w:rsidR="004218AE" w:rsidRPr="004359FB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6E" w:rsidRDefault="00557C6E">
      <w:r>
        <w:separator/>
      </w:r>
    </w:p>
  </w:endnote>
  <w:endnote w:type="continuationSeparator" w:id="0">
    <w:p w:rsidR="00557C6E" w:rsidRDefault="0055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57C6E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336749">
      <w:rPr>
        <w:noProof/>
      </w:rPr>
      <w:t>1</w:t>
    </w:r>
    <w:r w:rsidR="004C3CB9">
      <w:rPr>
        <w:noProof/>
      </w:rPr>
      <w:fldChar w:fldCharType="end"/>
    </w:r>
    <w:r w:rsidR="00710AC4">
      <w:tab/>
      <w:t xml:space="preserve">     Yan Xin</w:t>
    </w:r>
    <w:r w:rsidR="00AD6DB4">
      <w:t xml:space="preserve"> </w:t>
    </w:r>
    <w:r w:rsidR="00AD6DB4" w:rsidRPr="00AD6DB4">
      <w:rPr>
        <w:i/>
      </w:rPr>
      <w:t>et al</w:t>
    </w:r>
    <w:r w:rsidR="00E12776">
      <w:t>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6E" w:rsidRDefault="00557C6E">
      <w:r>
        <w:separator/>
      </w:r>
    </w:p>
  </w:footnote>
  <w:footnote w:type="continuationSeparator" w:id="0">
    <w:p w:rsidR="00557C6E" w:rsidRDefault="0055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381A4B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854F3A">
      <w:t xml:space="preserve"> 2021</w:t>
    </w:r>
    <w:r w:rsidR="00E12776">
      <w:tab/>
    </w:r>
    <w:r w:rsidR="00E12776">
      <w:tab/>
      <w:t xml:space="preserve">  </w:t>
    </w:r>
    <w:r w:rsidR="00557C6E">
      <w:fldChar w:fldCharType="begin"/>
    </w:r>
    <w:r w:rsidR="00557C6E">
      <w:instrText xml:space="preserve"> TITLE  \* MERGEFORMAT </w:instrText>
    </w:r>
    <w:r w:rsidR="00557C6E">
      <w:fldChar w:fldCharType="separate"/>
    </w:r>
    <w:r w:rsidR="008F1291">
      <w:t>doc.: IEEE 802.11-21</w:t>
    </w:r>
    <w:r w:rsidR="00E12776">
      <w:t>/</w:t>
    </w:r>
    <w:r w:rsidR="00341C6A">
      <w:t>0489</w:t>
    </w:r>
    <w:r w:rsidR="005C2927">
      <w:t>r</w:t>
    </w:r>
    <w:r w:rsidR="00557C6E">
      <w:fldChar w:fldCharType="end"/>
    </w:r>
    <w:r w:rsidR="002406B5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71C"/>
    <w:multiLevelType w:val="hybridMultilevel"/>
    <w:tmpl w:val="6F301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3C3579"/>
    <w:multiLevelType w:val="hybridMultilevel"/>
    <w:tmpl w:val="53C0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370259E"/>
    <w:multiLevelType w:val="hybridMultilevel"/>
    <w:tmpl w:val="1FFE988C"/>
    <w:lvl w:ilvl="0" w:tplc="BCBE5BFA">
      <w:start w:val="1"/>
      <w:numFmt w:val="decimal"/>
      <w:lvlText w:val="%1."/>
      <w:lvlJc w:val="left"/>
      <w:pPr>
        <w:ind w:left="360" w:hanging="360"/>
      </w:pPr>
      <w:rPr>
        <w:rFonts w:eastAsia="微软雅黑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F5A0B"/>
    <w:multiLevelType w:val="hybridMultilevel"/>
    <w:tmpl w:val="19CAADE4"/>
    <w:lvl w:ilvl="0" w:tplc="92880098">
      <w:start w:val="3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C524E"/>
    <w:multiLevelType w:val="hybridMultilevel"/>
    <w:tmpl w:val="6846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46D2B"/>
    <w:multiLevelType w:val="multilevel"/>
    <w:tmpl w:val="B38CB070"/>
    <w:lvl w:ilvl="0">
      <w:start w:val="36"/>
      <w:numFmt w:val="decimal"/>
      <w:lvlText w:val="%1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2">
      <w:start w:val="12"/>
      <w:numFmt w:val="decimal"/>
      <w:lvlText w:val="%1.%2.%3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3">
      <w:start w:val="8"/>
      <w:numFmt w:val="decimal"/>
      <w:lvlText w:val="%1.%2.%3.%4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058A8"/>
    <w:multiLevelType w:val="hybridMultilevel"/>
    <w:tmpl w:val="B8261B72"/>
    <w:lvl w:ilvl="0" w:tplc="FD9CD5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68383C"/>
    <w:multiLevelType w:val="hybridMultilevel"/>
    <w:tmpl w:val="4EA8DF2C"/>
    <w:lvl w:ilvl="0" w:tplc="012E97E8">
      <w:start w:val="3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A4EF8"/>
    <w:multiLevelType w:val="hybridMultilevel"/>
    <w:tmpl w:val="F6E67CD8"/>
    <w:lvl w:ilvl="0" w:tplc="01241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0"/>
  </w:num>
  <w:num w:numId="7">
    <w:abstractNumId w:val="13"/>
  </w:num>
  <w:num w:numId="8">
    <w:abstractNumId w:val="43"/>
  </w:num>
  <w:num w:numId="9">
    <w:abstractNumId w:val="21"/>
  </w:num>
  <w:num w:numId="10">
    <w:abstractNumId w:val="1"/>
  </w:num>
  <w:num w:numId="11">
    <w:abstractNumId w:val="7"/>
  </w:num>
  <w:num w:numId="12">
    <w:abstractNumId w:val="19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4"/>
  </w:num>
  <w:num w:numId="20">
    <w:abstractNumId w:val="26"/>
  </w:num>
  <w:num w:numId="21">
    <w:abstractNumId w:val="27"/>
  </w:num>
  <w:num w:numId="22">
    <w:abstractNumId w:val="41"/>
  </w:num>
  <w:num w:numId="23">
    <w:abstractNumId w:val="42"/>
  </w:num>
  <w:num w:numId="24">
    <w:abstractNumId w:val="22"/>
  </w:num>
  <w:num w:numId="25">
    <w:abstractNumId w:val="2"/>
  </w:num>
  <w:num w:numId="26">
    <w:abstractNumId w:val="39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5"/>
  </w:num>
  <w:num w:numId="34">
    <w:abstractNumId w:val="8"/>
  </w:num>
  <w:num w:numId="35">
    <w:abstractNumId w:val="34"/>
  </w:num>
  <w:num w:numId="36">
    <w:abstractNumId w:val="33"/>
  </w:num>
  <w:num w:numId="37">
    <w:abstractNumId w:val="23"/>
  </w:num>
  <w:num w:numId="38">
    <w:abstractNumId w:val="6"/>
  </w:num>
  <w:num w:numId="39">
    <w:abstractNumId w:val="28"/>
  </w:num>
  <w:num w:numId="40">
    <w:abstractNumId w:val="17"/>
  </w:num>
  <w:num w:numId="41">
    <w:abstractNumId w:val="14"/>
  </w:num>
  <w:num w:numId="42">
    <w:abstractNumId w:val="10"/>
  </w:num>
  <w:num w:numId="43">
    <w:abstractNumId w:val="24"/>
  </w:num>
  <w:num w:numId="44">
    <w:abstractNumId w:val="37"/>
  </w:num>
  <w:num w:numId="45">
    <w:abstractNumId w:val="30"/>
  </w:num>
  <w:num w:numId="46">
    <w:abstractNumId w:val="18"/>
  </w:num>
  <w:num w:numId="47">
    <w:abstractNumId w:val="40"/>
  </w:num>
  <w:num w:numId="48">
    <w:abstractNumId w:val="16"/>
  </w:num>
  <w:num w:numId="49">
    <w:abstractNumId w:val="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6E8A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56309"/>
    <w:rsid w:val="00060D32"/>
    <w:rsid w:val="0006360C"/>
    <w:rsid w:val="00063EA0"/>
    <w:rsid w:val="00064C48"/>
    <w:rsid w:val="00064E0C"/>
    <w:rsid w:val="00064F73"/>
    <w:rsid w:val="00066FC8"/>
    <w:rsid w:val="00067B93"/>
    <w:rsid w:val="00071B29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4E8F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5613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12711"/>
    <w:rsid w:val="0011562A"/>
    <w:rsid w:val="00116584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03CA"/>
    <w:rsid w:val="001A1569"/>
    <w:rsid w:val="001A169D"/>
    <w:rsid w:val="001A428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56A9"/>
    <w:rsid w:val="001B5995"/>
    <w:rsid w:val="001B59B4"/>
    <w:rsid w:val="001B64A7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438"/>
    <w:rsid w:val="001E381E"/>
    <w:rsid w:val="001E3A72"/>
    <w:rsid w:val="001E491B"/>
    <w:rsid w:val="001E7937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06B5"/>
    <w:rsid w:val="0024150A"/>
    <w:rsid w:val="00241946"/>
    <w:rsid w:val="00241CE3"/>
    <w:rsid w:val="00242041"/>
    <w:rsid w:val="00243BB5"/>
    <w:rsid w:val="00243C80"/>
    <w:rsid w:val="00246543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71C1"/>
    <w:rsid w:val="002B770C"/>
    <w:rsid w:val="002C3BA6"/>
    <w:rsid w:val="002C53E9"/>
    <w:rsid w:val="002C5FE4"/>
    <w:rsid w:val="002C67F7"/>
    <w:rsid w:val="002C7CC7"/>
    <w:rsid w:val="002D0395"/>
    <w:rsid w:val="002D2C98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E7417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1EDB"/>
    <w:rsid w:val="003334E0"/>
    <w:rsid w:val="00333FF5"/>
    <w:rsid w:val="00334719"/>
    <w:rsid w:val="003348DC"/>
    <w:rsid w:val="00334FD0"/>
    <w:rsid w:val="0033517A"/>
    <w:rsid w:val="00335CD6"/>
    <w:rsid w:val="00335F4E"/>
    <w:rsid w:val="00336749"/>
    <w:rsid w:val="00337DCB"/>
    <w:rsid w:val="00340698"/>
    <w:rsid w:val="0034084C"/>
    <w:rsid w:val="00341868"/>
    <w:rsid w:val="00341C6A"/>
    <w:rsid w:val="00342E60"/>
    <w:rsid w:val="0034339F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DEB"/>
    <w:rsid w:val="00370E0C"/>
    <w:rsid w:val="00372D87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4B"/>
    <w:rsid w:val="003821D2"/>
    <w:rsid w:val="00382F59"/>
    <w:rsid w:val="00383B81"/>
    <w:rsid w:val="0038532E"/>
    <w:rsid w:val="0038571B"/>
    <w:rsid w:val="00391F7A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355C"/>
    <w:rsid w:val="003E3A29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3700"/>
    <w:rsid w:val="00414949"/>
    <w:rsid w:val="00415FC7"/>
    <w:rsid w:val="004161D4"/>
    <w:rsid w:val="00417A9F"/>
    <w:rsid w:val="00417E4C"/>
    <w:rsid w:val="00417EEB"/>
    <w:rsid w:val="00420511"/>
    <w:rsid w:val="0042072B"/>
    <w:rsid w:val="00420791"/>
    <w:rsid w:val="004218AE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27B32"/>
    <w:rsid w:val="00430D86"/>
    <w:rsid w:val="004315AC"/>
    <w:rsid w:val="004316ED"/>
    <w:rsid w:val="004320E2"/>
    <w:rsid w:val="004359FB"/>
    <w:rsid w:val="00435D98"/>
    <w:rsid w:val="0043734C"/>
    <w:rsid w:val="004402ED"/>
    <w:rsid w:val="004412DD"/>
    <w:rsid w:val="00442037"/>
    <w:rsid w:val="004430F9"/>
    <w:rsid w:val="0044626E"/>
    <w:rsid w:val="00446ED4"/>
    <w:rsid w:val="00450B89"/>
    <w:rsid w:val="00452498"/>
    <w:rsid w:val="00454AA4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772D"/>
    <w:rsid w:val="004979F9"/>
    <w:rsid w:val="004A22D3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46B8"/>
    <w:rsid w:val="004D71AA"/>
    <w:rsid w:val="004E0EE2"/>
    <w:rsid w:val="004E3552"/>
    <w:rsid w:val="004E4B2E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2EC"/>
    <w:rsid w:val="00512E13"/>
    <w:rsid w:val="00513131"/>
    <w:rsid w:val="00516178"/>
    <w:rsid w:val="005203FB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1DE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57C6E"/>
    <w:rsid w:val="005628F2"/>
    <w:rsid w:val="0056309E"/>
    <w:rsid w:val="00563483"/>
    <w:rsid w:val="005668D1"/>
    <w:rsid w:val="00567500"/>
    <w:rsid w:val="00567A74"/>
    <w:rsid w:val="00570250"/>
    <w:rsid w:val="005712D1"/>
    <w:rsid w:val="005719DD"/>
    <w:rsid w:val="00573EFC"/>
    <w:rsid w:val="0057403D"/>
    <w:rsid w:val="00575FF5"/>
    <w:rsid w:val="00576544"/>
    <w:rsid w:val="0057696E"/>
    <w:rsid w:val="005769F7"/>
    <w:rsid w:val="005769FA"/>
    <w:rsid w:val="005809E8"/>
    <w:rsid w:val="005834B7"/>
    <w:rsid w:val="00583CA4"/>
    <w:rsid w:val="0058450F"/>
    <w:rsid w:val="00584613"/>
    <w:rsid w:val="00590EB9"/>
    <w:rsid w:val="00590F3E"/>
    <w:rsid w:val="005920E4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19CC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6B0D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1FC9"/>
    <w:rsid w:val="005F3977"/>
    <w:rsid w:val="005F4103"/>
    <w:rsid w:val="005F4C24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6601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A22"/>
    <w:rsid w:val="00655D66"/>
    <w:rsid w:val="00656ECB"/>
    <w:rsid w:val="00660037"/>
    <w:rsid w:val="00660708"/>
    <w:rsid w:val="00660867"/>
    <w:rsid w:val="0066113F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151"/>
    <w:rsid w:val="00673FCF"/>
    <w:rsid w:val="00674548"/>
    <w:rsid w:val="006763F8"/>
    <w:rsid w:val="00681444"/>
    <w:rsid w:val="00683A5B"/>
    <w:rsid w:val="00683BE4"/>
    <w:rsid w:val="00683FD7"/>
    <w:rsid w:val="00685747"/>
    <w:rsid w:val="006861B7"/>
    <w:rsid w:val="00687EB4"/>
    <w:rsid w:val="006919D4"/>
    <w:rsid w:val="00694328"/>
    <w:rsid w:val="00695056"/>
    <w:rsid w:val="006966B3"/>
    <w:rsid w:val="006A346B"/>
    <w:rsid w:val="006A3A06"/>
    <w:rsid w:val="006B0335"/>
    <w:rsid w:val="006B2123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373F"/>
    <w:rsid w:val="006E41B4"/>
    <w:rsid w:val="006F10EB"/>
    <w:rsid w:val="006F1145"/>
    <w:rsid w:val="006F210C"/>
    <w:rsid w:val="006F34F8"/>
    <w:rsid w:val="006F53B4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53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37172"/>
    <w:rsid w:val="00740F4D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395"/>
    <w:rsid w:val="00761FC1"/>
    <w:rsid w:val="00762860"/>
    <w:rsid w:val="0076647B"/>
    <w:rsid w:val="00766A7D"/>
    <w:rsid w:val="007671C4"/>
    <w:rsid w:val="00767640"/>
    <w:rsid w:val="00770572"/>
    <w:rsid w:val="00773BFF"/>
    <w:rsid w:val="00774BE9"/>
    <w:rsid w:val="00775C28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974"/>
    <w:rsid w:val="0079757B"/>
    <w:rsid w:val="007A27F5"/>
    <w:rsid w:val="007A35A1"/>
    <w:rsid w:val="007A39B8"/>
    <w:rsid w:val="007A5F81"/>
    <w:rsid w:val="007B15C0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410A"/>
    <w:rsid w:val="007C510F"/>
    <w:rsid w:val="007C5DF7"/>
    <w:rsid w:val="007C61AB"/>
    <w:rsid w:val="007D13D6"/>
    <w:rsid w:val="007E3738"/>
    <w:rsid w:val="007E3941"/>
    <w:rsid w:val="007E41EA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7FC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18C"/>
    <w:rsid w:val="0088526B"/>
    <w:rsid w:val="0088582D"/>
    <w:rsid w:val="00886E1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B575C"/>
    <w:rsid w:val="008B7407"/>
    <w:rsid w:val="008C0850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A8F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2440"/>
    <w:rsid w:val="008F4E9D"/>
    <w:rsid w:val="008F571C"/>
    <w:rsid w:val="008F5F6B"/>
    <w:rsid w:val="009006DC"/>
    <w:rsid w:val="00901AC7"/>
    <w:rsid w:val="00903463"/>
    <w:rsid w:val="00903D64"/>
    <w:rsid w:val="00904ED7"/>
    <w:rsid w:val="009051BC"/>
    <w:rsid w:val="0090557F"/>
    <w:rsid w:val="0090754F"/>
    <w:rsid w:val="00907FA6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5280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3B3D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C91"/>
    <w:rsid w:val="00994CC1"/>
    <w:rsid w:val="00996FA9"/>
    <w:rsid w:val="009976A7"/>
    <w:rsid w:val="009A0E33"/>
    <w:rsid w:val="009A21F0"/>
    <w:rsid w:val="009A4664"/>
    <w:rsid w:val="009A72E7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2DB"/>
    <w:rsid w:val="009E1AB0"/>
    <w:rsid w:val="009E5724"/>
    <w:rsid w:val="009E57EA"/>
    <w:rsid w:val="009E58D1"/>
    <w:rsid w:val="009E734B"/>
    <w:rsid w:val="009E74D6"/>
    <w:rsid w:val="009E7BB6"/>
    <w:rsid w:val="009F00AF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105"/>
    <w:rsid w:val="00A3365A"/>
    <w:rsid w:val="00A33CF6"/>
    <w:rsid w:val="00A34E09"/>
    <w:rsid w:val="00A351AD"/>
    <w:rsid w:val="00A361BA"/>
    <w:rsid w:val="00A37389"/>
    <w:rsid w:val="00A37B6F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2460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4744"/>
    <w:rsid w:val="00AA54F0"/>
    <w:rsid w:val="00AA6BF1"/>
    <w:rsid w:val="00AA7123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D6DB4"/>
    <w:rsid w:val="00AE1032"/>
    <w:rsid w:val="00AE10C6"/>
    <w:rsid w:val="00AE1FC1"/>
    <w:rsid w:val="00AE5EBE"/>
    <w:rsid w:val="00AF2CC9"/>
    <w:rsid w:val="00AF3600"/>
    <w:rsid w:val="00AF36B2"/>
    <w:rsid w:val="00AF488E"/>
    <w:rsid w:val="00AF574B"/>
    <w:rsid w:val="00AF64E5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1F21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618"/>
    <w:rsid w:val="00B42741"/>
    <w:rsid w:val="00B4297B"/>
    <w:rsid w:val="00B436B4"/>
    <w:rsid w:val="00B46EAD"/>
    <w:rsid w:val="00B505BB"/>
    <w:rsid w:val="00B5165B"/>
    <w:rsid w:val="00B51BFB"/>
    <w:rsid w:val="00B53C1C"/>
    <w:rsid w:val="00B554E3"/>
    <w:rsid w:val="00B57344"/>
    <w:rsid w:val="00B61B7A"/>
    <w:rsid w:val="00B624A0"/>
    <w:rsid w:val="00B64521"/>
    <w:rsid w:val="00B647A5"/>
    <w:rsid w:val="00B6486A"/>
    <w:rsid w:val="00B676C0"/>
    <w:rsid w:val="00B67992"/>
    <w:rsid w:val="00B729CA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48E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7D5"/>
    <w:rsid w:val="00BA2B89"/>
    <w:rsid w:val="00BA3409"/>
    <w:rsid w:val="00BA473F"/>
    <w:rsid w:val="00BA636E"/>
    <w:rsid w:val="00BA6370"/>
    <w:rsid w:val="00BA799D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328E"/>
    <w:rsid w:val="00BC48F3"/>
    <w:rsid w:val="00BC5A99"/>
    <w:rsid w:val="00BC6AFD"/>
    <w:rsid w:val="00BC75E8"/>
    <w:rsid w:val="00BC774F"/>
    <w:rsid w:val="00BC7A37"/>
    <w:rsid w:val="00BC7DE0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002F"/>
    <w:rsid w:val="00BE1DF7"/>
    <w:rsid w:val="00BE2220"/>
    <w:rsid w:val="00BE2466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F435C"/>
    <w:rsid w:val="00BF6AB2"/>
    <w:rsid w:val="00C0045D"/>
    <w:rsid w:val="00C007EA"/>
    <w:rsid w:val="00C00CF0"/>
    <w:rsid w:val="00C02EAD"/>
    <w:rsid w:val="00C032ED"/>
    <w:rsid w:val="00C04CE8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9D2"/>
    <w:rsid w:val="00C1458E"/>
    <w:rsid w:val="00C175F0"/>
    <w:rsid w:val="00C20C5C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9E1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1BE9"/>
    <w:rsid w:val="00CE3706"/>
    <w:rsid w:val="00CE3729"/>
    <w:rsid w:val="00CE6AEF"/>
    <w:rsid w:val="00CE6DA2"/>
    <w:rsid w:val="00CF259F"/>
    <w:rsid w:val="00CF2F18"/>
    <w:rsid w:val="00CF39EC"/>
    <w:rsid w:val="00CF44F5"/>
    <w:rsid w:val="00CF46F2"/>
    <w:rsid w:val="00CF5194"/>
    <w:rsid w:val="00D009CA"/>
    <w:rsid w:val="00D00AB7"/>
    <w:rsid w:val="00D03C67"/>
    <w:rsid w:val="00D04564"/>
    <w:rsid w:val="00D04E2D"/>
    <w:rsid w:val="00D05CB7"/>
    <w:rsid w:val="00D06038"/>
    <w:rsid w:val="00D0636C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03FD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7D0"/>
    <w:rsid w:val="00D87E81"/>
    <w:rsid w:val="00D91441"/>
    <w:rsid w:val="00D92618"/>
    <w:rsid w:val="00D93987"/>
    <w:rsid w:val="00D94E5E"/>
    <w:rsid w:val="00D95791"/>
    <w:rsid w:val="00D96207"/>
    <w:rsid w:val="00D96F9F"/>
    <w:rsid w:val="00D97586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C29"/>
    <w:rsid w:val="00DB40AD"/>
    <w:rsid w:val="00DB551E"/>
    <w:rsid w:val="00DB7797"/>
    <w:rsid w:val="00DC15F1"/>
    <w:rsid w:val="00DC2326"/>
    <w:rsid w:val="00DC27D2"/>
    <w:rsid w:val="00DC38CB"/>
    <w:rsid w:val="00DC3B85"/>
    <w:rsid w:val="00DC505E"/>
    <w:rsid w:val="00DC5A7B"/>
    <w:rsid w:val="00DC6DEB"/>
    <w:rsid w:val="00DD4C29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E009CE"/>
    <w:rsid w:val="00E01554"/>
    <w:rsid w:val="00E0193E"/>
    <w:rsid w:val="00E02960"/>
    <w:rsid w:val="00E03FFD"/>
    <w:rsid w:val="00E052EF"/>
    <w:rsid w:val="00E07230"/>
    <w:rsid w:val="00E1022F"/>
    <w:rsid w:val="00E12776"/>
    <w:rsid w:val="00E139F4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4D38"/>
    <w:rsid w:val="00E9546F"/>
    <w:rsid w:val="00E97776"/>
    <w:rsid w:val="00E97E6C"/>
    <w:rsid w:val="00EA0503"/>
    <w:rsid w:val="00EA263E"/>
    <w:rsid w:val="00EA324C"/>
    <w:rsid w:val="00EA49C4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21"/>
    <w:rsid w:val="00EE0327"/>
    <w:rsid w:val="00EE065C"/>
    <w:rsid w:val="00EE284D"/>
    <w:rsid w:val="00EE2BA2"/>
    <w:rsid w:val="00EF16E7"/>
    <w:rsid w:val="00EF1D57"/>
    <w:rsid w:val="00EF2B52"/>
    <w:rsid w:val="00EF446B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18FC"/>
    <w:rsid w:val="00F158D4"/>
    <w:rsid w:val="00F20A3C"/>
    <w:rsid w:val="00F20B80"/>
    <w:rsid w:val="00F219D4"/>
    <w:rsid w:val="00F21A0A"/>
    <w:rsid w:val="00F22CBA"/>
    <w:rsid w:val="00F22ECA"/>
    <w:rsid w:val="00F2402C"/>
    <w:rsid w:val="00F24711"/>
    <w:rsid w:val="00F2472C"/>
    <w:rsid w:val="00F2484E"/>
    <w:rsid w:val="00F24C1D"/>
    <w:rsid w:val="00F256D2"/>
    <w:rsid w:val="00F26194"/>
    <w:rsid w:val="00F2719C"/>
    <w:rsid w:val="00F30392"/>
    <w:rsid w:val="00F343F3"/>
    <w:rsid w:val="00F354E5"/>
    <w:rsid w:val="00F410F7"/>
    <w:rsid w:val="00F43304"/>
    <w:rsid w:val="00F43467"/>
    <w:rsid w:val="00F4553F"/>
    <w:rsid w:val="00F45555"/>
    <w:rsid w:val="00F47789"/>
    <w:rsid w:val="00F47AD9"/>
    <w:rsid w:val="00F47E06"/>
    <w:rsid w:val="00F50753"/>
    <w:rsid w:val="00F5249D"/>
    <w:rsid w:val="00F524D0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02AD"/>
    <w:rsid w:val="00F90915"/>
    <w:rsid w:val="00F92C57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887"/>
    <w:rsid w:val="00FB3B75"/>
    <w:rsid w:val="00FB3B9E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6D"/>
    <w:rsid w:val="00FD1777"/>
    <w:rsid w:val="00FD2A8C"/>
    <w:rsid w:val="00FD37F9"/>
    <w:rsid w:val="00FE08F4"/>
    <w:rsid w:val="00FE1265"/>
    <w:rsid w:val="00FE1A62"/>
    <w:rsid w:val="00FE2E8C"/>
    <w:rsid w:val="00FE3BC9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8F85-F3DA-48BF-BC83-86D0DC9C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20/1414r2</vt:lpstr>
    </vt:vector>
  </TitlesOfParts>
  <Company>Huawei Technologies</Company>
  <LinksUpToDate>false</LinksUpToDate>
  <CharactersWithSpaces>3151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4</cp:revision>
  <cp:lastPrinted>2011-03-31T18:31:00Z</cp:lastPrinted>
  <dcterms:created xsi:type="dcterms:W3CDTF">2021-03-18T12:40:00Z</dcterms:created>
  <dcterms:modified xsi:type="dcterms:W3CDTF">2021-03-18T13:07:00Z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