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583AF44F" w:rsidR="00CA09B2" w:rsidRDefault="002C1619" w:rsidP="00793FED">
            <w:pPr>
              <w:pStyle w:val="T2"/>
            </w:pPr>
            <w:r>
              <w:t xml:space="preserve"> </w:t>
            </w:r>
            <w:r w:rsidR="001668A6">
              <w:t>“Obsolete</w:t>
            </w:r>
            <w:r w:rsidR="00EF44A7">
              <w:t xml:space="preserve"> Annex G</w:t>
            </w:r>
            <w:r w:rsidR="001668A6">
              <w:t>”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37BBB63C" w:rsidR="00CA09B2" w:rsidRDefault="00CA09B2" w:rsidP="0080386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2021-03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E240E8" w:rsidRDefault="00E240E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97AE21" w14:textId="77777777" w:rsidR="00E240E8" w:rsidRDefault="00E240E8" w:rsidP="006832AA">
                            <w:pPr>
                              <w:jc w:val="both"/>
                            </w:pPr>
                          </w:p>
                          <w:p w14:paraId="4E9EE86F" w14:textId="77777777" w:rsidR="00E240E8" w:rsidRDefault="00E240E8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E240E8" w:rsidRDefault="00E240E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97AE21" w14:textId="77777777" w:rsidR="00E240E8" w:rsidRDefault="00E240E8" w:rsidP="006832AA">
                      <w:pPr>
                        <w:jc w:val="both"/>
                      </w:pPr>
                    </w:p>
                    <w:p w14:paraId="4E9EE86F" w14:textId="77777777" w:rsidR="00E240E8" w:rsidRDefault="00E240E8">
                      <w:p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118AE543" w14:textId="77777777" w:rsidR="005F34E5" w:rsidRDefault="005F34E5" w:rsidP="006F0F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1329"/>
        <w:gridCol w:w="1084"/>
        <w:gridCol w:w="809"/>
        <w:gridCol w:w="610"/>
        <w:gridCol w:w="3171"/>
        <w:gridCol w:w="2370"/>
      </w:tblGrid>
      <w:tr w:rsidR="001668A6" w14:paraId="7BEE70F3" w14:textId="77777777" w:rsidTr="00A25B61">
        <w:tc>
          <w:tcPr>
            <w:tcW w:w="725" w:type="dxa"/>
          </w:tcPr>
          <w:p w14:paraId="7F134892" w14:textId="26D22997" w:rsidR="001668A6" w:rsidRPr="00F03583" w:rsidRDefault="001668A6" w:rsidP="006F0F82"/>
        </w:tc>
        <w:tc>
          <w:tcPr>
            <w:tcW w:w="1357" w:type="dxa"/>
          </w:tcPr>
          <w:p w14:paraId="21D410D0" w14:textId="367E500F" w:rsidR="001668A6" w:rsidRPr="00F03583" w:rsidRDefault="001668A6" w:rsidP="006F0F82"/>
        </w:tc>
        <w:tc>
          <w:tcPr>
            <w:tcW w:w="1106" w:type="dxa"/>
          </w:tcPr>
          <w:p w14:paraId="5F95B422" w14:textId="4B5FD514" w:rsidR="001668A6" w:rsidRPr="00F03583" w:rsidRDefault="001668A6" w:rsidP="006F0F82"/>
        </w:tc>
        <w:tc>
          <w:tcPr>
            <w:tcW w:w="824" w:type="dxa"/>
          </w:tcPr>
          <w:p w14:paraId="0D2C5B84" w14:textId="31C771A7" w:rsidR="001668A6" w:rsidRPr="00F03583" w:rsidRDefault="001668A6" w:rsidP="001668A6"/>
        </w:tc>
        <w:tc>
          <w:tcPr>
            <w:tcW w:w="620" w:type="dxa"/>
          </w:tcPr>
          <w:p w14:paraId="3242D349" w14:textId="64E49F7D" w:rsidR="001668A6" w:rsidRPr="00F03583" w:rsidRDefault="001668A6" w:rsidP="006F0F82"/>
        </w:tc>
        <w:tc>
          <w:tcPr>
            <w:tcW w:w="3246" w:type="dxa"/>
          </w:tcPr>
          <w:p w14:paraId="79BF7E4A" w14:textId="036C1815" w:rsidR="001668A6" w:rsidRPr="00F03583" w:rsidRDefault="001668A6" w:rsidP="006F0F82"/>
        </w:tc>
        <w:tc>
          <w:tcPr>
            <w:tcW w:w="2424" w:type="dxa"/>
          </w:tcPr>
          <w:p w14:paraId="425CC495" w14:textId="6ECE825D" w:rsidR="001668A6" w:rsidRPr="00F03583" w:rsidRDefault="001668A6" w:rsidP="006F0F82"/>
        </w:tc>
      </w:tr>
      <w:tr w:rsidR="001668A6" w14:paraId="5A216151" w14:textId="77777777" w:rsidTr="00A25B61">
        <w:tc>
          <w:tcPr>
            <w:tcW w:w="725" w:type="dxa"/>
          </w:tcPr>
          <w:p w14:paraId="7B113654" w14:textId="0F2A1A2C" w:rsidR="001668A6" w:rsidRPr="00F03583" w:rsidRDefault="001668A6" w:rsidP="006F0F82"/>
        </w:tc>
        <w:tc>
          <w:tcPr>
            <w:tcW w:w="1357" w:type="dxa"/>
          </w:tcPr>
          <w:p w14:paraId="5E5E1BEA" w14:textId="0FAA3118" w:rsidR="001668A6" w:rsidRPr="00F03583" w:rsidRDefault="001668A6" w:rsidP="006F0F82"/>
        </w:tc>
        <w:tc>
          <w:tcPr>
            <w:tcW w:w="1106" w:type="dxa"/>
          </w:tcPr>
          <w:p w14:paraId="5B61D352" w14:textId="20239224" w:rsidR="001668A6" w:rsidRPr="00F03583" w:rsidRDefault="001668A6" w:rsidP="006F0F82"/>
        </w:tc>
        <w:tc>
          <w:tcPr>
            <w:tcW w:w="824" w:type="dxa"/>
          </w:tcPr>
          <w:p w14:paraId="52F4DF88" w14:textId="39482797" w:rsidR="001668A6" w:rsidRPr="00F03583" w:rsidRDefault="001668A6" w:rsidP="006F0F82"/>
        </w:tc>
        <w:tc>
          <w:tcPr>
            <w:tcW w:w="620" w:type="dxa"/>
          </w:tcPr>
          <w:p w14:paraId="34F0DCF9" w14:textId="55B91ADB" w:rsidR="001668A6" w:rsidRPr="00F03583" w:rsidRDefault="001668A6" w:rsidP="006F0F82"/>
        </w:tc>
        <w:tc>
          <w:tcPr>
            <w:tcW w:w="3246" w:type="dxa"/>
          </w:tcPr>
          <w:p w14:paraId="17305015" w14:textId="72A24189" w:rsidR="001668A6" w:rsidRPr="00F03583" w:rsidRDefault="001668A6" w:rsidP="006F0F82"/>
        </w:tc>
        <w:tc>
          <w:tcPr>
            <w:tcW w:w="2424" w:type="dxa"/>
          </w:tcPr>
          <w:p w14:paraId="337CE9C8" w14:textId="67924D09" w:rsidR="001668A6" w:rsidRPr="00F03583" w:rsidRDefault="001668A6" w:rsidP="006F0F82"/>
        </w:tc>
      </w:tr>
    </w:tbl>
    <w:p w14:paraId="5F925B25" w14:textId="6D7756B3" w:rsidR="00CC6D6F" w:rsidRDefault="00CC6D6F" w:rsidP="00CC6D6F">
      <w:pPr>
        <w:rPr>
          <w:u w:val="single"/>
        </w:rPr>
      </w:pPr>
      <w:r>
        <w:rPr>
          <w:u w:val="single"/>
        </w:rPr>
        <w:t xml:space="preserve">At first look, it </w:t>
      </w:r>
      <w:r w:rsidR="00A25B61">
        <w:rPr>
          <w:u w:val="single"/>
        </w:rPr>
        <w:t xml:space="preserve">may </w:t>
      </w:r>
      <w:r>
        <w:rPr>
          <w:u w:val="single"/>
        </w:rPr>
        <w:t xml:space="preserve">seem obvious that we must keep Annex G as it </w:t>
      </w:r>
      <w:r w:rsidR="004D673B">
        <w:rPr>
          <w:u w:val="single"/>
        </w:rPr>
        <w:t xml:space="preserve">(should) </w:t>
      </w:r>
      <w:r>
        <w:rPr>
          <w:u w:val="single"/>
        </w:rPr>
        <w:t>meticulously define all the packet exchanges and is normative.</w:t>
      </w:r>
    </w:p>
    <w:p w14:paraId="49461155" w14:textId="10EC4AF8" w:rsidR="00CC6D6F" w:rsidRDefault="00CC6D6F" w:rsidP="006F0F82">
      <w:pPr>
        <w:rPr>
          <w:u w:val="single"/>
        </w:rPr>
      </w:pPr>
      <w:r>
        <w:rPr>
          <w:u w:val="single"/>
        </w:rPr>
        <w:t>HOWEVER….</w:t>
      </w:r>
    </w:p>
    <w:p w14:paraId="5404D11A" w14:textId="33292ECE" w:rsidR="00A25B61" w:rsidRDefault="00A25B61" w:rsidP="006F0F82">
      <w:pPr>
        <w:rPr>
          <w:u w:val="single"/>
        </w:rPr>
      </w:pPr>
    </w:p>
    <w:p w14:paraId="4DF5610A" w14:textId="682D75AF" w:rsidR="00821C0E" w:rsidRDefault="00821C0E" w:rsidP="006F0F82">
      <w:pPr>
        <w:rPr>
          <w:u w:val="single"/>
        </w:rPr>
      </w:pPr>
    </w:p>
    <w:p w14:paraId="6D9DE3D2" w14:textId="77777777" w:rsidR="00821C0E" w:rsidRDefault="00821C0E" w:rsidP="00821C0E">
      <w:pPr>
        <w:autoSpaceDE w:val="0"/>
        <w:autoSpaceDN w:val="0"/>
        <w:adjustRightInd w:val="0"/>
        <w:rPr>
          <w:u w:val="single"/>
          <w:lang w:val="en-US"/>
        </w:rPr>
      </w:pPr>
      <w:r>
        <w:rPr>
          <w:u w:val="single"/>
          <w:lang w:val="en-US"/>
        </w:rPr>
        <w:t>Arguments:</w:t>
      </w:r>
    </w:p>
    <w:p w14:paraId="558420B1" w14:textId="50AB662E" w:rsidR="00821C0E" w:rsidRDefault="00821C0E" w:rsidP="00821C0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OK </w:t>
      </w:r>
      <w:r w:rsidR="004D673B">
        <w:rPr>
          <w:lang w:val="en-US"/>
        </w:rPr>
        <w:t>it may be nice</w:t>
      </w:r>
      <w:r>
        <w:rPr>
          <w:lang w:val="en-US"/>
        </w:rPr>
        <w:t xml:space="preserve"> and safe to be able to refer to Annex G every time we say “frame exchange” BUT there are </w:t>
      </w:r>
      <w:r>
        <w:rPr>
          <w:lang w:val="en-US"/>
        </w:rPr>
        <w:t>309</w:t>
      </w:r>
      <w:r>
        <w:rPr>
          <w:lang w:val="en-US"/>
        </w:rPr>
        <w:t xml:space="preserve"> instances of “frame exchange” and only a handful of cases (</w:t>
      </w:r>
      <w:r>
        <w:rPr>
          <w:lang w:val="en-US"/>
        </w:rPr>
        <w:t>14</w:t>
      </w:r>
      <w:r>
        <w:rPr>
          <w:lang w:val="en-US"/>
        </w:rPr>
        <w:t xml:space="preserve">) does it </w:t>
      </w:r>
      <w:r w:rsidR="00793FED">
        <w:rPr>
          <w:lang w:val="en-US"/>
        </w:rPr>
        <w:t xml:space="preserve">actually </w:t>
      </w:r>
      <w:r>
        <w:rPr>
          <w:lang w:val="en-US"/>
        </w:rPr>
        <w:t xml:space="preserve">refer to Annex G. </w:t>
      </w:r>
    </w:p>
    <w:p w14:paraId="7FD2B2E8" w14:textId="77777777" w:rsidR="00821C0E" w:rsidRDefault="00821C0E" w:rsidP="00821C0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Nowhere is a reference made to a particular line or part of Annex G.</w:t>
      </w:r>
    </w:p>
    <w:p w14:paraId="1ADEBA24" w14:textId="77777777" w:rsidR="00821C0E" w:rsidRDefault="00821C0E" w:rsidP="00821C0E">
      <w:pPr>
        <w:autoSpaceDE w:val="0"/>
        <w:autoSpaceDN w:val="0"/>
        <w:adjustRightInd w:val="0"/>
        <w:rPr>
          <w:lang w:val="en-US"/>
        </w:rPr>
      </w:pPr>
    </w:p>
    <w:p w14:paraId="5D39E2E7" w14:textId="654ECB6B" w:rsidR="00821C0E" w:rsidRDefault="00821C0E" w:rsidP="00821C0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One could argue that we should be adding “(see Annex G)” in all these cases (or many of them) if Annex G was really required as the depository for how frame exchanges are carried out and which are valid.  </w:t>
      </w:r>
    </w:p>
    <w:p w14:paraId="005440C9" w14:textId="77777777" w:rsidR="00821C0E" w:rsidRDefault="00821C0E" w:rsidP="00821C0E">
      <w:pPr>
        <w:autoSpaceDE w:val="0"/>
        <w:autoSpaceDN w:val="0"/>
        <w:adjustRightInd w:val="0"/>
        <w:rPr>
          <w:lang w:val="en-US"/>
        </w:rPr>
      </w:pPr>
    </w:p>
    <w:p w14:paraId="785C6DE5" w14:textId="6F1C73AF" w:rsidR="00821C0E" w:rsidRDefault="00821C0E" w:rsidP="00821C0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If we look at each “frame exchange” reference</w:t>
      </w:r>
      <w:r w:rsidR="004D673B">
        <w:rPr>
          <w:lang w:val="en-US"/>
        </w:rPr>
        <w:t xml:space="preserve"> (including “frame exchange sequence”)</w:t>
      </w:r>
      <w:r>
        <w:rPr>
          <w:lang w:val="en-US"/>
        </w:rPr>
        <w:t>, however, we see that there is no need to reference Annex G, so no problem if Annex G was deleted.</w:t>
      </w:r>
    </w:p>
    <w:p w14:paraId="04E5747E" w14:textId="77777777" w:rsidR="00821C0E" w:rsidRDefault="00821C0E" w:rsidP="00821C0E">
      <w:pPr>
        <w:autoSpaceDE w:val="0"/>
        <w:autoSpaceDN w:val="0"/>
        <w:adjustRightInd w:val="0"/>
        <w:rPr>
          <w:lang w:val="en-US"/>
        </w:rPr>
      </w:pPr>
    </w:p>
    <w:p w14:paraId="6D059753" w14:textId="7D5C1242" w:rsidR="00821C0E" w:rsidRDefault="00821C0E" w:rsidP="00821C0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Also:</w:t>
      </w:r>
    </w:p>
    <w:p w14:paraId="10C29C40" w14:textId="16484180" w:rsidR="00821C0E" w:rsidRPr="00A97E1E" w:rsidRDefault="00821C0E" w:rsidP="00821C0E">
      <w:pPr>
        <w:autoSpaceDE w:val="0"/>
        <w:autoSpaceDN w:val="0"/>
        <w:adjustRightInd w:val="0"/>
        <w:rPr>
          <w:b/>
          <w:lang w:val="en-US"/>
        </w:rPr>
      </w:pPr>
      <w:r>
        <w:rPr>
          <w:lang w:val="en-US"/>
        </w:rPr>
        <w:t xml:space="preserve">How sure are we that Annex G is complete and there is a good deal of doubt that it is accurate, inclusive and up to date?  </w:t>
      </w:r>
      <w:r w:rsidRPr="00A97E1E">
        <w:rPr>
          <w:b/>
          <w:lang w:val="en-US"/>
        </w:rPr>
        <w:t>At the the least, if we retain it, we need to investigate if it is indeed accurate and up to date.</w:t>
      </w:r>
    </w:p>
    <w:p w14:paraId="3308A067" w14:textId="0996B28E" w:rsidR="00821C0E" w:rsidRDefault="00821C0E" w:rsidP="006F0F82">
      <w:pPr>
        <w:rPr>
          <w:u w:val="single"/>
        </w:rPr>
      </w:pPr>
    </w:p>
    <w:p w14:paraId="0F31D9F7" w14:textId="1EB16C04" w:rsidR="00A25B61" w:rsidRDefault="00821C0E" w:rsidP="006F0F82">
      <w:pPr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B19B4">
        <w:rPr>
          <w:rFonts w:asciiTheme="majorBidi" w:hAnsiTheme="majorBidi" w:cstheme="majorBidi"/>
          <w:sz w:val="20"/>
          <w:lang w:val="en-US"/>
        </w:rPr>
        <w:t xml:space="preserve"> </w:t>
      </w:r>
      <w:r w:rsidR="00A25B61" w:rsidRPr="00FB19B4">
        <w:rPr>
          <w:rFonts w:asciiTheme="majorBidi" w:hAnsiTheme="majorBidi" w:cstheme="majorBidi"/>
          <w:sz w:val="20"/>
          <w:lang w:val="en-US"/>
        </w:rPr>
        <w:t>“</w:t>
      </w:r>
      <w:r w:rsidR="00A25B61" w:rsidRPr="00FB19B4">
        <w:rPr>
          <w:rFonts w:asciiTheme="majorBidi" w:hAnsiTheme="majorBidi" w:cstheme="majorBidi"/>
          <w:b/>
          <w:bCs/>
          <w:sz w:val="20"/>
          <w:lang w:val="en-US" w:eastAsia="ja-JP" w:bidi="he-IL"/>
        </w:rPr>
        <w:t xml:space="preserve">frame exchange sequence: </w:t>
      </w:r>
      <w:r w:rsidR="00A25B61" w:rsidRPr="00FB19B4">
        <w:rPr>
          <w:rFonts w:asciiTheme="majorBidi" w:eastAsia="TimesNewRomanPSMT" w:hAnsiTheme="majorBidi" w:cstheme="majorBidi"/>
          <w:sz w:val="20"/>
          <w:lang w:val="en-US" w:eastAsia="ja-JP" w:bidi="he-IL"/>
        </w:rPr>
        <w:t>A sequence of frames specified by Annex G”</w:t>
      </w:r>
    </w:p>
    <w:p w14:paraId="6E9E6BC9" w14:textId="280CC099" w:rsidR="00A25B61" w:rsidRDefault="00A25B61" w:rsidP="006F0F82">
      <w:pPr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821C0E">
        <w:rPr>
          <w:rFonts w:asciiTheme="majorBidi" w:eastAsia="TimesNewRomanPSMT" w:hAnsiTheme="majorBidi" w:cstheme="majorBidi"/>
          <w:i/>
          <w:sz w:val="20"/>
          <w:u w:val="single"/>
          <w:lang w:val="en-US" w:eastAsia="ja-JP" w:bidi="he-IL"/>
        </w:rPr>
        <w:t>If not in Annex G th</w:t>
      </w:r>
      <w:r w:rsidR="002C1646" w:rsidRPr="00821C0E">
        <w:rPr>
          <w:rFonts w:asciiTheme="majorBidi" w:eastAsia="TimesNewRomanPSMT" w:hAnsiTheme="majorBidi" w:cstheme="majorBidi"/>
          <w:i/>
          <w:sz w:val="20"/>
          <w:u w:val="single"/>
          <w:lang w:val="en-US" w:eastAsia="ja-JP" w:bidi="he-IL"/>
        </w:rPr>
        <w:t>en</w:t>
      </w:r>
      <w:r w:rsidR="00821C0E">
        <w:rPr>
          <w:rFonts w:asciiTheme="majorBidi" w:eastAsia="TimesNewRomanPSMT" w:hAnsiTheme="majorBidi" w:cstheme="majorBidi"/>
          <w:i/>
          <w:sz w:val="20"/>
          <w:u w:val="single"/>
          <w:lang w:val="en-US" w:eastAsia="ja-JP" w:bidi="he-IL"/>
        </w:rPr>
        <w:t xml:space="preserve"> by definition</w:t>
      </w:r>
      <w:r w:rsidR="002C1646" w:rsidRPr="00821C0E">
        <w:rPr>
          <w:rFonts w:asciiTheme="majorBidi" w:eastAsia="TimesNewRomanPSMT" w:hAnsiTheme="majorBidi" w:cstheme="majorBidi"/>
          <w:i/>
          <w:sz w:val="20"/>
          <w:u w:val="single"/>
          <w:lang w:val="en-US" w:eastAsia="ja-JP" w:bidi="he-IL"/>
        </w:rPr>
        <w:t xml:space="preserve"> it is not a valid sequence?  That’s dangerous</w:t>
      </w:r>
      <w:r w:rsidR="00821C0E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. </w:t>
      </w:r>
    </w:p>
    <w:p w14:paraId="5C6A1CC6" w14:textId="6946121F" w:rsidR="002C1646" w:rsidRDefault="002C1646" w:rsidP="006F0F82">
      <w:pPr>
        <w:rPr>
          <w:u w:val="single"/>
        </w:rPr>
      </w:pP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We </w:t>
      </w:r>
      <w:r w:rsidR="00821C0E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may </w:t>
      </w: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>need a definition that explains that a “frame exchange sequence” is a finite set of frames</w:t>
      </w:r>
      <w:r w:rsidR="00821C0E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.  OR we accept that the words are self explanatory.  </w:t>
      </w:r>
    </w:p>
    <w:p w14:paraId="2013B58F" w14:textId="303AF128" w:rsidR="00CC6D6F" w:rsidRDefault="00CC6D6F" w:rsidP="006F0F82">
      <w:pPr>
        <w:rPr>
          <w:u w:val="single"/>
        </w:rPr>
      </w:pPr>
    </w:p>
    <w:p w14:paraId="604248E5" w14:textId="3C0B7752" w:rsidR="002C1646" w:rsidRDefault="002C1646" w:rsidP="006F0F82">
      <w:pPr>
        <w:rPr>
          <w:u w:val="single"/>
        </w:rPr>
      </w:pPr>
      <w:r>
        <w:rPr>
          <w:u w:val="single"/>
        </w:rPr>
        <w:t>A check through 802.11-2020</w:t>
      </w:r>
    </w:p>
    <w:p w14:paraId="1E53DB0D" w14:textId="2731CEF0" w:rsidR="00A25B61" w:rsidRDefault="00A25B61" w:rsidP="00715878">
      <w:r>
        <w:t>“frame exchange” 309 instances</w:t>
      </w:r>
    </w:p>
    <w:p w14:paraId="3CDCA35B" w14:textId="2F3471F3" w:rsidR="00A25B61" w:rsidRDefault="00A25B61" w:rsidP="00715878">
      <w:r>
        <w:t>“frame exchange sequence” 128</w:t>
      </w:r>
    </w:p>
    <w:p w14:paraId="0A04468E" w14:textId="11103548" w:rsidR="00A25B61" w:rsidRDefault="00A25B61" w:rsidP="00715878">
      <w:r>
        <w:t>“valid response” 4</w:t>
      </w:r>
    </w:p>
    <w:p w14:paraId="3AD09FC7" w14:textId="3B321D51" w:rsidR="00A25B61" w:rsidRDefault="00A25B61" w:rsidP="00715878">
      <w:r>
        <w:t>“see Annex G” 5 instances</w:t>
      </w:r>
    </w:p>
    <w:p w14:paraId="0C9B8B97" w14:textId="63DAC2D5" w:rsidR="00A25B61" w:rsidRDefault="00A25B61" w:rsidP="00715878">
      <w:r>
        <w:t>“in Annex G” 9 instances</w:t>
      </w:r>
    </w:p>
    <w:p w14:paraId="22F7B2C7" w14:textId="4C98E70B" w:rsidR="00A25B61" w:rsidRDefault="00A25B61" w:rsidP="00715878"/>
    <w:p w14:paraId="20E47B06" w14:textId="4CE02DA7" w:rsidR="00A25B61" w:rsidRDefault="00A25B61" w:rsidP="00715878"/>
    <w:p w14:paraId="4F4438FB" w14:textId="4BE989E5" w:rsidR="00A25B61" w:rsidRDefault="002C1646" w:rsidP="00715878">
      <w:r>
        <w:t>“</w:t>
      </w:r>
      <w:r w:rsidR="00A25B61">
        <w:t>See Annex G</w:t>
      </w:r>
      <w:r>
        <w:t>”</w:t>
      </w:r>
    </w:p>
    <w:p w14:paraId="595C02C3" w14:textId="0F842F9F" w:rsidR="002C1646" w:rsidRDefault="002C1646" w:rsidP="00715878">
      <w:r>
        <w:t>In each of these ask yourself what happens if “see Annex G” is deleted?</w:t>
      </w:r>
    </w:p>
    <w:p w14:paraId="18A5D0C5" w14:textId="019594C2" w:rsidR="002C1646" w:rsidRDefault="002C1646" w:rsidP="00715878"/>
    <w:p w14:paraId="62788468" w14:textId="77777777" w:rsidR="002C1646" w:rsidRDefault="002C1646" w:rsidP="00715878"/>
    <w:p w14:paraId="7F945524" w14:textId="5692512D" w:rsidR="00A25B61" w:rsidRDefault="00A25B61" w:rsidP="00715878">
      <w:r>
        <w:t>9.2.4.1.7 P791.49</w:t>
      </w:r>
    </w:p>
    <w:p w14:paraId="4640FEE5" w14:textId="14E9A5B0" w:rsidR="00A25B61" w:rsidRDefault="00A25B61" w:rsidP="002C1646">
      <w:p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0"/>
          <w:lang w:val="en-US" w:eastAsia="ja-JP"/>
        </w:rPr>
      </w:pP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>The Power Management subfield is used to indicate the power management mode of a STA.</w:t>
      </w:r>
      <w:r w:rsidR="002C1646"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>The subfield is either reserved (as defined below) or remains constant in each frame from a</w:t>
      </w:r>
      <w:r w:rsidR="002C1646">
        <w:rPr>
          <w:rFonts w:ascii="TimesNewRomanPSMT" w:eastAsia="TimesNewRomanPSMT" w:cs="TimesNewRomanPSMT"/>
          <w:color w:val="000000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color w:val="000000"/>
          <w:sz w:val="20"/>
          <w:lang w:val="en-US" w:eastAsia="ja-JP"/>
        </w:rPr>
        <w:t>particular STA within a frame exchange sequence (see Annex G).</w:t>
      </w:r>
    </w:p>
    <w:p w14:paraId="6F1D3677" w14:textId="77777777" w:rsidR="002C1646" w:rsidRDefault="002C1646" w:rsidP="00A25B61"/>
    <w:p w14:paraId="08BFF307" w14:textId="77777777" w:rsidR="00A25B61" w:rsidRDefault="00A25B61" w:rsidP="00715878"/>
    <w:p w14:paraId="595B92EC" w14:textId="66875406" w:rsidR="00A25B61" w:rsidRDefault="002C1646" w:rsidP="00715878">
      <w:r>
        <w:t>P1732.16</w:t>
      </w:r>
    </w:p>
    <w:p w14:paraId="6726E726" w14:textId="72B7FD38" w:rsidR="002C1646" w:rsidRDefault="002C1646" w:rsidP="002C16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The recognition of a valid CTS frame sent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by the recipient of the RTS frame, corresponding to this PHY-RXEND.indication primitive, shall be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interpreted as successful response, permitting the frame exchange sequence to continue (see Annex G). The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recognition of anything else, including any other valid frame, shall be interpreted as failure of the RTS frame</w:t>
      </w:r>
    </w:p>
    <w:p w14:paraId="3F9B5C1F" w14:textId="5A7E8481" w:rsidR="002C1646" w:rsidRDefault="002C1646" w:rsidP="002C1646">
      <w:r>
        <w:rPr>
          <w:rFonts w:ascii="TimesNewRomanPSMT" w:eastAsia="TimesNewRomanPSMT" w:cs="TimesNewRomanPSMT"/>
          <w:sz w:val="20"/>
          <w:lang w:val="en-US" w:eastAsia="ja-JP"/>
        </w:rPr>
        <w:t>transmission.</w:t>
      </w:r>
    </w:p>
    <w:p w14:paraId="7A029E10" w14:textId="65C3B804" w:rsidR="00A25B61" w:rsidRDefault="00A25B61" w:rsidP="00715878"/>
    <w:p w14:paraId="20776CDD" w14:textId="6375CBBF" w:rsidR="00A25B61" w:rsidRDefault="002C1646" w:rsidP="00715878">
      <w:r>
        <w:t>P1736.42</w:t>
      </w:r>
    </w:p>
    <w:p w14:paraId="600A7CA2" w14:textId="77777777" w:rsidR="002C1646" w:rsidRDefault="002C1646" w:rsidP="002C16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After transmitting an MPDU that requires an Ack or BlockAck frame as a response (see Annex G), the STA</w:t>
      </w:r>
    </w:p>
    <w:p w14:paraId="25763984" w14:textId="66ABA412" w:rsidR="00A25B61" w:rsidRDefault="002C1646" w:rsidP="002C1646">
      <w:r>
        <w:rPr>
          <w:rFonts w:ascii="TimesNewRomanPSMT" w:eastAsia="TimesNewRomanPSMT" w:cs="TimesNewRomanPSMT"/>
          <w:sz w:val="20"/>
          <w:lang w:val="en-US" w:eastAsia="ja-JP"/>
        </w:rPr>
        <w:t>shall wait for an AckTimeout interval</w:t>
      </w:r>
      <w:r>
        <w:rPr>
          <w:rFonts w:ascii="TimesNewRomanPSMT" w:eastAsia="TimesNewRomanPSMT" w:cs="TimesNewRomanPSMT"/>
          <w:sz w:val="20"/>
          <w:lang w:val="en-US" w:eastAsia="ja-JP"/>
        </w:rPr>
        <w:t>…</w:t>
      </w:r>
    </w:p>
    <w:p w14:paraId="085D751E" w14:textId="79C86D1F" w:rsidR="002C1646" w:rsidRDefault="002C1646" w:rsidP="00715878"/>
    <w:p w14:paraId="190F47D5" w14:textId="5D300AC8" w:rsidR="002C1646" w:rsidRDefault="002C1646" w:rsidP="00715878">
      <w:r>
        <w:t>P1819.62</w:t>
      </w:r>
    </w:p>
    <w:p w14:paraId="77BA56BF" w14:textId="77777777" w:rsidR="002C1646" w:rsidRDefault="002C1646" w:rsidP="002C16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If a PHY-RXSTART.indication primitive does occur during the timeout interval, the STA shall</w:t>
      </w:r>
    </w:p>
    <w:p w14:paraId="429ECE3B" w14:textId="77777777" w:rsidR="002C1646" w:rsidRDefault="002C1646" w:rsidP="002C16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wait for the corresponding PHY-RXEND.indication primitive to recognize a valid response</w:t>
      </w:r>
    </w:p>
    <w:p w14:paraId="615A7630" w14:textId="77777777" w:rsidR="002C1646" w:rsidRDefault="002C1646" w:rsidP="002C16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MPDU (see Annex G) that either does not have a TA field or is sent by the recipient of the</w:t>
      </w:r>
    </w:p>
    <w:p w14:paraId="6674F796" w14:textId="77777777" w:rsidR="002C1646" w:rsidRDefault="002C1646" w:rsidP="002C16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MPDU requiring a response. If anything else, including any other valid frame, is recognized,</w:t>
      </w:r>
    </w:p>
    <w:p w14:paraId="038F55FC" w14:textId="304B21C4" w:rsidR="002C1646" w:rsidRDefault="002C1646" w:rsidP="002C1646">
      <w:r>
        <w:rPr>
          <w:rFonts w:ascii="TimesNewRomanPSMT" w:eastAsia="TimesNewRomanPSMT" w:cs="TimesNewRomanPSMT"/>
          <w:sz w:val="20"/>
          <w:lang w:val="en-US" w:eastAsia="ja-JP"/>
        </w:rPr>
        <w:t>the transmission of the MPDU has failed.</w:t>
      </w:r>
    </w:p>
    <w:p w14:paraId="1DD7557F" w14:textId="01570E92" w:rsidR="002C1646" w:rsidRDefault="002C1646" w:rsidP="00715878"/>
    <w:p w14:paraId="03D6AFD7" w14:textId="16A26440" w:rsidR="002C1646" w:rsidRDefault="00EC555E" w:rsidP="00715878">
      <w:r>
        <w:t>P1829.36</w:t>
      </w:r>
    </w:p>
    <w:p w14:paraId="210CBAC8" w14:textId="77777777" w:rsidR="00EC555E" w:rsidRDefault="00EC555E" w:rsidP="00EC555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After a valid response (see Annex G) to the initial frame of a TXOP, if the Duration/ID field is set for multiple</w:t>
      </w:r>
    </w:p>
    <w:p w14:paraId="6EECA791" w14:textId="02D6EF72" w:rsidR="00EC555E" w:rsidRDefault="00EC555E" w:rsidP="00EC555E">
      <w:r>
        <w:rPr>
          <w:rFonts w:ascii="TimesNewRomanPSMT" w:eastAsia="TimesNewRomanPSMT" w:cs="TimesNewRomanPSMT"/>
          <w:sz w:val="20"/>
          <w:lang w:val="en-US" w:eastAsia="ja-JP"/>
        </w:rPr>
        <w:t>frame transmission</w:t>
      </w:r>
      <w:r>
        <w:rPr>
          <w:rFonts w:ascii="TimesNewRomanPSMT" w:eastAsia="TimesNewRomanPSMT" w:cs="TimesNewRomanPSMT"/>
          <w:sz w:val="20"/>
          <w:lang w:val="en-US" w:eastAsia="ja-JP"/>
        </w:rPr>
        <w:t>…</w:t>
      </w:r>
    </w:p>
    <w:p w14:paraId="02A15939" w14:textId="77777777" w:rsidR="002C1646" w:rsidRDefault="002C1646" w:rsidP="00715878"/>
    <w:p w14:paraId="08677113" w14:textId="77777777" w:rsidR="00175A5F" w:rsidRDefault="00175A5F" w:rsidP="006F0F82">
      <w:pPr>
        <w:rPr>
          <w:u w:val="single"/>
        </w:rPr>
      </w:pPr>
    </w:p>
    <w:p w14:paraId="0A8296D9" w14:textId="22AAB977" w:rsidR="0069052E" w:rsidRDefault="00175A5F" w:rsidP="00175A5F">
      <w:pPr>
        <w:autoSpaceDE w:val="0"/>
        <w:autoSpaceDN w:val="0"/>
        <w:adjustRightInd w:val="0"/>
        <w:rPr>
          <w:b/>
          <w:i/>
          <w:sz w:val="20"/>
          <w:szCs w:val="18"/>
        </w:rPr>
      </w:pPr>
      <w:r w:rsidRPr="00803866">
        <w:rPr>
          <w:b/>
          <w:i/>
          <w:sz w:val="20"/>
          <w:szCs w:val="18"/>
        </w:rPr>
        <w:t>W</w:t>
      </w:r>
      <w:r w:rsidR="005D4FF0" w:rsidRPr="00803866">
        <w:rPr>
          <w:b/>
          <w:i/>
          <w:sz w:val="20"/>
          <w:szCs w:val="18"/>
        </w:rPr>
        <w:t xml:space="preserve">e also have </w:t>
      </w:r>
      <w:r w:rsidR="00525AA3" w:rsidRPr="00803866">
        <w:rPr>
          <w:b/>
          <w:i/>
          <w:sz w:val="20"/>
          <w:szCs w:val="18"/>
        </w:rPr>
        <w:t>“in Annex G”</w:t>
      </w:r>
      <w:r w:rsidR="0069052E">
        <w:rPr>
          <w:b/>
          <w:i/>
          <w:sz w:val="20"/>
          <w:szCs w:val="18"/>
        </w:rPr>
        <w:t>,</w:t>
      </w:r>
      <w:r w:rsidR="00803866" w:rsidRPr="00803866">
        <w:rPr>
          <w:b/>
          <w:i/>
          <w:sz w:val="20"/>
          <w:szCs w:val="18"/>
        </w:rPr>
        <w:t xml:space="preserve"> look at each and ask oneself what effect is of deleting</w:t>
      </w:r>
      <w:r w:rsidR="0069052E">
        <w:rPr>
          <w:b/>
          <w:i/>
          <w:sz w:val="20"/>
          <w:szCs w:val="18"/>
        </w:rPr>
        <w:t xml:space="preserve"> “in Annex G</w:t>
      </w:r>
      <w:r w:rsidR="00803866" w:rsidRPr="00803866">
        <w:rPr>
          <w:b/>
          <w:i/>
          <w:sz w:val="20"/>
          <w:szCs w:val="18"/>
        </w:rPr>
        <w:t xml:space="preserve">.  </w:t>
      </w:r>
    </w:p>
    <w:p w14:paraId="56C02802" w14:textId="71FCCE48" w:rsidR="00525AA3" w:rsidRDefault="00803866" w:rsidP="00175A5F">
      <w:pPr>
        <w:autoSpaceDE w:val="0"/>
        <w:autoSpaceDN w:val="0"/>
        <w:adjustRightInd w:val="0"/>
        <w:rPr>
          <w:b/>
          <w:i/>
          <w:sz w:val="20"/>
          <w:szCs w:val="18"/>
        </w:rPr>
      </w:pPr>
      <w:r w:rsidRPr="00803866">
        <w:rPr>
          <w:b/>
          <w:i/>
          <w:sz w:val="20"/>
          <w:szCs w:val="18"/>
        </w:rPr>
        <w:t>One question is “where in Annex G???</w:t>
      </w:r>
    </w:p>
    <w:p w14:paraId="308C5DDF" w14:textId="77777777" w:rsidR="00803866" w:rsidRPr="00803866" w:rsidRDefault="00803866" w:rsidP="00175A5F">
      <w:pPr>
        <w:autoSpaceDE w:val="0"/>
        <w:autoSpaceDN w:val="0"/>
        <w:adjustRightInd w:val="0"/>
        <w:rPr>
          <w:b/>
          <w:i/>
          <w:sz w:val="20"/>
          <w:szCs w:val="18"/>
        </w:rPr>
      </w:pPr>
    </w:p>
    <w:p w14:paraId="77C341F3" w14:textId="1DD95591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P1750.11</w:t>
      </w:r>
    </w:p>
    <w:p w14:paraId="39091B6C" w14:textId="5E655B20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 retry is defined as the entire sequence of frames sent, separated by SIFSs, in an attempt to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deliver an MPDU, as described in Annex G</w:t>
      </w:r>
      <w:r w:rsidR="0069052E">
        <w:rPr>
          <w:rFonts w:ascii="TimesNewRomanPSMT" w:eastAsia="TimesNewRomanPSMT" w:cs="TimesNewRomanPSMT"/>
          <w:sz w:val="20"/>
          <w:lang w:val="en-US" w:eastAsia="ja-JP"/>
        </w:rPr>
        <w:t>.</w:t>
      </w:r>
    </w:p>
    <w:p w14:paraId="73E8D558" w14:textId="708E3135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1A02BB89" w14:textId="1234B78B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P1754.36</w:t>
      </w:r>
    </w:p>
    <w:p w14:paraId="26AE8804" w14:textId="72FD3AC1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Under DCF, error recovery is always the responsibility of the STA that initiates a frame exchange sequence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(described in Annex G).</w:t>
      </w:r>
    </w:p>
    <w:p w14:paraId="767947EF" w14:textId="0D0474D3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7F027321" w14:textId="2551CE91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P2066.43</w:t>
      </w:r>
    </w:p>
    <w:p w14:paraId="62C2B5F7" w14:textId="7A19C90C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For each frame received at the RDS during the SP, the RDS shall follow the same rules for frame exchange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sequences as described in Annex G and 10.39 (DMG and CMMG(11aj) channel access).</w:t>
      </w:r>
    </w:p>
    <w:p w14:paraId="25032EDE" w14:textId="56F3CDB8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62280201" w14:textId="0CE89673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P2169.19</w:t>
      </w:r>
    </w:p>
    <w:p w14:paraId="74E68949" w14:textId="329D5CA2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The STA shall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remain in its current power management mode until it informs the AP of a power management mode change</w:t>
      </w:r>
    </w:p>
    <w:p w14:paraId="74B3258F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via a frame exchange that includes an acknowledgment from the AP. Power management mode shall not</w:t>
      </w:r>
    </w:p>
    <w:p w14:paraId="433AE2A8" w14:textId="17B4C30E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change during any single frame exchange sequence, as described in Annex G.</w:t>
      </w:r>
    </w:p>
    <w:p w14:paraId="249465CF" w14:textId="31D8BA42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626E5728" w14:textId="651DB695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P2171.33</w:t>
      </w:r>
    </w:p>
    <w:p w14:paraId="707A3ADA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To change power management modes a STA shall inform the AP by completing a successful frame exchange</w:t>
      </w:r>
    </w:p>
    <w:p w14:paraId="1C30B682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(as described in Annex G) that is initiated by the STA. This frame exchange shall include a Management</w:t>
      </w:r>
    </w:p>
    <w:p w14:paraId="66CE27EA" w14:textId="13D64FB4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frame, Extension frame or Data frame from the STA, and an Ack or a BlockAck frame from the AP.</w:t>
      </w:r>
    </w:p>
    <w:p w14:paraId="74DD1144" w14:textId="2086EEE1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7386F538" w14:textId="3FBCCE75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P2205.46</w:t>
      </w:r>
    </w:p>
    <w:p w14:paraId="7789E1CD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If the MM-SME Power Mode field within the MMS element sent by an MM-SME coordinated STA is 1, all</w:t>
      </w:r>
    </w:p>
    <w:p w14:paraId="7FA87D9D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STAs advertised in the MMS element shall switch to the doze state when the wakeup schedule of any one STA</w:t>
      </w:r>
    </w:p>
    <w:p w14:paraId="745420C4" w14:textId="7DE7F1E2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or a successful frame exchange as described in Annex G brings the STA to the doze state.</w:t>
      </w:r>
    </w:p>
    <w:p w14:paraId="1B6BCA15" w14:textId="1D55FE84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0711BE10" w14:textId="66169D2A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P2205.50</w:t>
      </w:r>
    </w:p>
    <w:p w14:paraId="43178CD7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If the MM-SME Power Mode field within the MMS element sent by an MM-SME coordinated STA is 0, all</w:t>
      </w:r>
    </w:p>
    <w:p w14:paraId="7982DBE2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STAs advertised in the MMS element shall switch to the awake state when the wakeup schedule of any one</w:t>
      </w:r>
    </w:p>
    <w:p w14:paraId="5AB253DB" w14:textId="2C3A6DC1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STA or a successful frame exchange as described in Annex G brings the STA to the awake state.</w:t>
      </w:r>
    </w:p>
    <w:p w14:paraId="59693FED" w14:textId="26F9A755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(where in Annex G????)</w:t>
      </w:r>
    </w:p>
    <w:p w14:paraId="0352A01C" w14:textId="7F36AABB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6F40B733" w14:textId="1BF2802F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P2206.52</w:t>
      </w:r>
    </w:p>
    <w:p w14:paraId="04FA5006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To change its power state without a wakeup schedule, a non-AP and non-PCP STA shall inform the AP or PCP</w:t>
      </w:r>
    </w:p>
    <w:p w14:paraId="11DCA444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by completing a successful frame exchange (as described in Annex G) that is initiated by the STA and that</w:t>
      </w:r>
    </w:p>
    <w:p w14:paraId="58966D03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includes a Management frame, Extension frame or Data frame, and also an Ack or a BlockAck frame from the</w:t>
      </w:r>
    </w:p>
    <w:p w14:paraId="5AE232A8" w14:textId="1DE101A8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AP or PCP.</w:t>
      </w:r>
    </w:p>
    <w:p w14:paraId="1FE384D1" w14:textId="6564DFFB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69F19778" w14:textId="39502967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P2210.33</w:t>
      </w:r>
    </w:p>
    <w:p w14:paraId="64137A3F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Alternatively, to change its power state without a wakeup schedule, the PCP shall inform all associated STAs</w:t>
      </w:r>
    </w:p>
    <w:p w14:paraId="5A45BB85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by completing a successful frame exchange (as described in Annex G) that is initiated by the PCP and that</w:t>
      </w:r>
    </w:p>
    <w:p w14:paraId="4037C817" w14:textId="77777777" w:rsidR="00803866" w:rsidRDefault="00803866" w:rsidP="0080386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lastRenderedPageBreak/>
        <w:t>includes a Management frame, Extension frame or Data frame, and also an Ack or a BlockAck frame from the</w:t>
      </w:r>
    </w:p>
    <w:p w14:paraId="53512800" w14:textId="3703EDFA" w:rsidR="00803866" w:rsidRDefault="00803866" w:rsidP="00803866">
      <w:pPr>
        <w:autoSpaceDE w:val="0"/>
        <w:autoSpaceDN w:val="0"/>
        <w:adjustRightInd w:val="0"/>
        <w:rPr>
          <w:sz w:val="20"/>
          <w:szCs w:val="18"/>
          <w:u w:val="single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associated STA.</w:t>
      </w:r>
    </w:p>
    <w:p w14:paraId="20B1B7D1" w14:textId="7A73E024" w:rsidR="00803866" w:rsidRDefault="00803866" w:rsidP="00175A5F">
      <w:pPr>
        <w:autoSpaceDE w:val="0"/>
        <w:autoSpaceDN w:val="0"/>
        <w:adjustRightInd w:val="0"/>
        <w:rPr>
          <w:sz w:val="20"/>
          <w:szCs w:val="18"/>
          <w:u w:val="single"/>
        </w:rPr>
      </w:pPr>
    </w:p>
    <w:p w14:paraId="5D867195" w14:textId="71BCEE8F" w:rsidR="00525AA3" w:rsidRDefault="0069052E" w:rsidP="00525AA3">
      <w:pPr>
        <w:autoSpaceDE w:val="0"/>
        <w:autoSpaceDN w:val="0"/>
        <w:adjustRightInd w:val="0"/>
        <w:rPr>
          <w:u w:val="single"/>
          <w:lang w:val="en-US"/>
        </w:rPr>
      </w:pPr>
      <w:r>
        <w:rPr>
          <w:u w:val="single"/>
          <w:lang w:val="en-US"/>
        </w:rPr>
        <w:t>Valid Response  only 2 independent  (i.e. 2 have valid response (see Annex G))</w:t>
      </w:r>
    </w:p>
    <w:p w14:paraId="27ECEFB5" w14:textId="569C1DA4" w:rsidR="0069052E" w:rsidRDefault="0069052E" w:rsidP="00525AA3">
      <w:pPr>
        <w:autoSpaceDE w:val="0"/>
        <w:autoSpaceDN w:val="0"/>
        <w:adjustRightInd w:val="0"/>
        <w:rPr>
          <w:u w:val="single"/>
          <w:lang w:val="en-US"/>
        </w:rPr>
      </w:pPr>
      <w:r>
        <w:rPr>
          <w:u w:val="single"/>
          <w:lang w:val="en-US"/>
        </w:rPr>
        <w:t>P2227.10</w:t>
      </w:r>
    </w:p>
    <w:p w14:paraId="3E18E726" w14:textId="005088AA" w:rsidR="0069052E" w:rsidRDefault="0069052E" w:rsidP="0069052E">
      <w:pPr>
        <w:autoSpaceDE w:val="0"/>
        <w:autoSpaceDN w:val="0"/>
        <w:adjustRightInd w:val="0"/>
        <w:rPr>
          <w:u w:val="single"/>
          <w:lang w:val="en-US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If the ResultCode in the MLME-ASSOCIATE.response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primitive is SUCCESS, the SME has an existing SA with the STA, and an SA Query procedure with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that STA has failed to receive a </w:t>
      </w:r>
      <w:r w:rsidRPr="0069052E">
        <w:rPr>
          <w:rFonts w:ascii="TimesNewRomanPSMT" w:eastAsia="TimesNewRomanPSMT" w:cs="TimesNewRomanPSMT"/>
          <w:sz w:val="20"/>
          <w:u w:val="single"/>
          <w:lang w:val="en-US" w:eastAsia="ja-JP"/>
        </w:rPr>
        <w:t>valid response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(i.e., has not received an MLME-SAQUERY.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confirm primitive within the dot11AssociationSAQueryMaximumTimeout period), the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SME shall issue an MLME-DISASSOCIATE.request primitive addressed to the STA with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ReasonCode INVALID_AUTHENTICATION.</w:t>
      </w:r>
    </w:p>
    <w:p w14:paraId="00AF5B13" w14:textId="47E6A192" w:rsidR="0069052E" w:rsidRPr="0069052E" w:rsidRDefault="0069052E" w:rsidP="00525AA3">
      <w:pPr>
        <w:autoSpaceDE w:val="0"/>
        <w:autoSpaceDN w:val="0"/>
        <w:adjustRightInd w:val="0"/>
        <w:rPr>
          <w:i/>
          <w:lang w:val="en-US"/>
        </w:rPr>
      </w:pPr>
      <w:r w:rsidRPr="0069052E">
        <w:rPr>
          <w:i/>
          <w:lang w:val="en-US"/>
        </w:rPr>
        <w:t>Valid response is specified.</w:t>
      </w:r>
    </w:p>
    <w:p w14:paraId="583A4490" w14:textId="2B1FE987" w:rsidR="0069052E" w:rsidRDefault="0069052E" w:rsidP="00525AA3">
      <w:pPr>
        <w:autoSpaceDE w:val="0"/>
        <w:autoSpaceDN w:val="0"/>
        <w:adjustRightInd w:val="0"/>
        <w:rPr>
          <w:u w:val="single"/>
          <w:lang w:val="en-US"/>
        </w:rPr>
      </w:pPr>
    </w:p>
    <w:p w14:paraId="024EB132" w14:textId="3E9FFA10" w:rsidR="0069052E" w:rsidRDefault="0069052E" w:rsidP="00525AA3">
      <w:pPr>
        <w:autoSpaceDE w:val="0"/>
        <w:autoSpaceDN w:val="0"/>
        <w:adjustRightInd w:val="0"/>
        <w:rPr>
          <w:u w:val="single"/>
          <w:lang w:val="en-US"/>
        </w:rPr>
      </w:pPr>
      <w:r>
        <w:rPr>
          <w:u w:val="single"/>
          <w:lang w:val="en-US"/>
        </w:rPr>
        <w:t>P2231.53</w:t>
      </w:r>
    </w:p>
    <w:p w14:paraId="7A3B3251" w14:textId="77777777" w:rsidR="0069052E" w:rsidRDefault="0069052E" w:rsidP="0069052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If the ResultCode in the MLME-REASSOCIATE.response primitive is SUCCESS, the SME has an</w:t>
      </w:r>
    </w:p>
    <w:p w14:paraId="4C06532C" w14:textId="77777777" w:rsidR="0069052E" w:rsidRDefault="0069052E" w:rsidP="0069052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existing SA with the STA, and an SA Query procedure with that STA has failed to receive a valid</w:t>
      </w:r>
    </w:p>
    <w:p w14:paraId="29B1A1AB" w14:textId="77777777" w:rsidR="0069052E" w:rsidRDefault="0069052E" w:rsidP="0069052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response (i.e., has not received an MLME-SA-QUERY.confirm primitive within the</w:t>
      </w:r>
    </w:p>
    <w:p w14:paraId="1E93D911" w14:textId="77777777" w:rsidR="0069052E" w:rsidRDefault="0069052E" w:rsidP="0069052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dot11AssociationSAQueryMaximumTimeout period), the SME shall issue an MLMEDISASSOCIATE.</w:t>
      </w:r>
    </w:p>
    <w:p w14:paraId="28FB20A4" w14:textId="77777777" w:rsidR="0069052E" w:rsidRDefault="0069052E" w:rsidP="0069052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request primitive addressed to the STA with ReasonCode</w:t>
      </w:r>
    </w:p>
    <w:p w14:paraId="1480774A" w14:textId="452007A6" w:rsidR="0069052E" w:rsidRDefault="0069052E" w:rsidP="0069052E">
      <w:pPr>
        <w:autoSpaceDE w:val="0"/>
        <w:autoSpaceDN w:val="0"/>
        <w:adjustRightInd w:val="0"/>
        <w:rPr>
          <w:u w:val="single"/>
          <w:lang w:val="en-US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INVALID_AUTHENTICATION.</w:t>
      </w:r>
    </w:p>
    <w:p w14:paraId="4B79A0BA" w14:textId="6E3428AE" w:rsidR="0069052E" w:rsidRPr="0069052E" w:rsidRDefault="0069052E" w:rsidP="00525AA3">
      <w:pPr>
        <w:autoSpaceDE w:val="0"/>
        <w:autoSpaceDN w:val="0"/>
        <w:adjustRightInd w:val="0"/>
        <w:rPr>
          <w:i/>
          <w:lang w:val="en-US"/>
        </w:rPr>
      </w:pPr>
      <w:r w:rsidRPr="0069052E">
        <w:rPr>
          <w:i/>
          <w:lang w:val="en-US"/>
        </w:rPr>
        <w:t>Same</w:t>
      </w:r>
      <w:r>
        <w:rPr>
          <w:i/>
          <w:lang w:val="en-US"/>
        </w:rPr>
        <w:t>, valid response is completely specified.</w:t>
      </w:r>
    </w:p>
    <w:p w14:paraId="7FDE5B3A" w14:textId="77777777" w:rsidR="0069052E" w:rsidRDefault="0069052E" w:rsidP="00525AA3">
      <w:pPr>
        <w:autoSpaceDE w:val="0"/>
        <w:autoSpaceDN w:val="0"/>
        <w:adjustRightInd w:val="0"/>
        <w:rPr>
          <w:u w:val="single"/>
          <w:lang w:val="en-US"/>
        </w:rPr>
      </w:pPr>
    </w:p>
    <w:p w14:paraId="67F17A07" w14:textId="419C0EDE" w:rsidR="00803866" w:rsidRDefault="00821C0E" w:rsidP="00525AA3">
      <w:pPr>
        <w:autoSpaceDE w:val="0"/>
        <w:autoSpaceDN w:val="0"/>
        <w:adjustRightInd w:val="0"/>
        <w:rPr>
          <w:u w:val="single"/>
          <w:lang w:val="en-US"/>
        </w:rPr>
      </w:pPr>
      <w:r>
        <w:rPr>
          <w:u w:val="single"/>
          <w:lang w:val="en-US"/>
        </w:rPr>
        <w:t>Now let’s look at some instances of “frame exchange sequence”</w:t>
      </w:r>
    </w:p>
    <w:p w14:paraId="18C2F5FA" w14:textId="7D9CB815" w:rsidR="00E06DE9" w:rsidRDefault="00E06DE9" w:rsidP="004C451C">
      <w:pPr>
        <w:autoSpaceDE w:val="0"/>
        <w:autoSpaceDN w:val="0"/>
        <w:adjustRightInd w:val="0"/>
        <w:rPr>
          <w:sz w:val="20"/>
          <w:szCs w:val="18"/>
          <w:lang w:val="en-US"/>
        </w:rPr>
      </w:pPr>
    </w:p>
    <w:p w14:paraId="004F0A59" w14:textId="2F349E82" w:rsidR="00821C0E" w:rsidRDefault="00821C0E" w:rsidP="004C451C">
      <w:pPr>
        <w:autoSpaceDE w:val="0"/>
        <w:autoSpaceDN w:val="0"/>
        <w:adjustRightInd w:val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P2106.17</w:t>
      </w:r>
    </w:p>
    <w:p w14:paraId="5BBFA4A9" w14:textId="7777777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The frame exchange sequence for sector training is shown in Figure 10-111 (Sector training(11ah)), where</w:t>
      </w:r>
    </w:p>
    <w:p w14:paraId="621CDD1B" w14:textId="7777777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the AP transmits training NDP CTS frames, and the STA provides Sector ID feedback. The frame exchange</w:t>
      </w:r>
    </w:p>
    <w:p w14:paraId="10B1A44A" w14:textId="38C0D2A4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comprises the following steps:</w:t>
      </w:r>
    </w:p>
    <w:p w14:paraId="585DB385" w14:textId="60607D66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70B79974" w14:textId="516B800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Hmm</w:t>
      </w:r>
      <w:r>
        <w:rPr>
          <w:rFonts w:ascii="TimesNewRomanPSMT" w:eastAsia="TimesNewRomanPSMT" w:cs="TimesNewRomanPSMT"/>
          <w:sz w:val="20"/>
          <w:lang w:val="en-US" w:eastAsia="ja-JP"/>
        </w:rPr>
        <w:t>…</w:t>
      </w:r>
      <w:r>
        <w:rPr>
          <w:rFonts w:ascii="TimesNewRomanPSMT" w:eastAsia="TimesNewRomanPSMT" w:cs="TimesNewRomanPSMT"/>
          <w:sz w:val="20"/>
          <w:lang w:val="en-US" w:eastAsia="ja-JP"/>
        </w:rPr>
        <w:t>no need for Annex G, the sequence is compoletely defined, but maybe should check if Annex G has this exchange?</w:t>
      </w:r>
    </w:p>
    <w:p w14:paraId="241B7DD6" w14:textId="50AE7D5C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510C05AB" w14:textId="7F88C9CA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P2202.58</w:t>
      </w:r>
    </w:p>
    <w:p w14:paraId="61B11DB4" w14:textId="7777777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In dynamic SM power save mode, the STA enables its multiple receive chains when it receives the start of a</w:t>
      </w:r>
    </w:p>
    <w:p w14:paraId="62CD74CE" w14:textId="7777777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frame exchange sequence addressed to it. Such a frame exchange sequence shall start with a single-spatial</w:t>
      </w:r>
    </w:p>
    <w:p w14:paraId="7F06EAAF" w14:textId="7777777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stream individually addressed frame that requires an immediate response and that is addressed to the STA in</w:t>
      </w:r>
    </w:p>
    <w:p w14:paraId="3DB25048" w14:textId="7D28C386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dynamic SM power save mode.</w:t>
      </w:r>
    </w:p>
    <w:p w14:paraId="1FE1D628" w14:textId="45962167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2B8C401D" w14:textId="1B4B3BD0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Again no need for Annex G</w:t>
      </w:r>
    </w:p>
    <w:p w14:paraId="30424D5D" w14:textId="3E706D38" w:rsidR="00821C0E" w:rsidRDefault="00821C0E" w:rsidP="00821C0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7A1AD276" w14:textId="30A7FFF7" w:rsidR="00821C0E" w:rsidRPr="004C451C" w:rsidRDefault="003573FC" w:rsidP="00821C0E">
      <w:pPr>
        <w:autoSpaceDE w:val="0"/>
        <w:autoSpaceDN w:val="0"/>
        <w:adjustRightInd w:val="0"/>
        <w:rPr>
          <w:sz w:val="20"/>
          <w:szCs w:val="18"/>
          <w:lang w:val="en-US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 xml:space="preserve">Easier to show interactive Search and display. </w:t>
      </w:r>
    </w:p>
    <w:sectPr w:rsidR="00821C0E" w:rsidRPr="004C451C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72A66" w14:textId="77777777" w:rsidR="00E65F8F" w:rsidRDefault="00E65F8F">
      <w:r>
        <w:separator/>
      </w:r>
    </w:p>
  </w:endnote>
  <w:endnote w:type="continuationSeparator" w:id="0">
    <w:p w14:paraId="614F7CF5" w14:textId="77777777" w:rsidR="00E65F8F" w:rsidRDefault="00E6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249E4A51" w:rsidR="00E240E8" w:rsidRDefault="00D759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240E8">
        <w:t>Submission</w:t>
      </w:r>
    </w:fldSimple>
    <w:r w:rsidR="00E240E8">
      <w:tab/>
      <w:t xml:space="preserve">page </w:t>
    </w:r>
    <w:r w:rsidR="00E240E8">
      <w:fldChar w:fldCharType="begin"/>
    </w:r>
    <w:r w:rsidR="00E240E8">
      <w:instrText xml:space="preserve">page </w:instrText>
    </w:r>
    <w:r w:rsidR="00E240E8">
      <w:fldChar w:fldCharType="separate"/>
    </w:r>
    <w:r w:rsidR="004D673B">
      <w:rPr>
        <w:noProof/>
      </w:rPr>
      <w:t>1</w:t>
    </w:r>
    <w:r w:rsidR="00E240E8">
      <w:rPr>
        <w:noProof/>
      </w:rPr>
      <w:fldChar w:fldCharType="end"/>
    </w:r>
    <w:r w:rsidR="00E240E8">
      <w:tab/>
    </w:r>
    <w:fldSimple w:instr=" COMMENTS  \* MERGEFORMAT ">
      <w:r w:rsidR="00E240E8">
        <w:t>Graham SMIT</w:t>
      </w:r>
    </w:fldSimple>
    <w:r w:rsidR="00E240E8">
      <w:t>H (SRT Wireless)</w:t>
    </w:r>
  </w:p>
  <w:p w14:paraId="5B8624E2" w14:textId="77777777" w:rsidR="00E240E8" w:rsidRDefault="00E240E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052B0" w14:textId="77777777" w:rsidR="00E65F8F" w:rsidRDefault="00E65F8F">
      <w:r>
        <w:separator/>
      </w:r>
    </w:p>
  </w:footnote>
  <w:footnote w:type="continuationSeparator" w:id="0">
    <w:p w14:paraId="65912298" w14:textId="77777777" w:rsidR="00E65F8F" w:rsidRDefault="00E6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55C9" w14:textId="42F8B43B" w:rsidR="00E240E8" w:rsidRDefault="00803866" w:rsidP="00E06DE9">
    <w:pPr>
      <w:pStyle w:val="Header"/>
      <w:tabs>
        <w:tab w:val="clear" w:pos="6480"/>
        <w:tab w:val="center" w:pos="4680"/>
        <w:tab w:val="right" w:pos="9360"/>
      </w:tabs>
    </w:pPr>
    <w:r>
      <w:t>Mar 2021</w:t>
    </w:r>
    <w:r w:rsidR="00E240E8">
      <w:tab/>
    </w:r>
    <w:r w:rsidR="00E240E8">
      <w:tab/>
      <w:t xml:space="preserve">   </w:t>
    </w:r>
    <w:r w:rsidR="00E65F8F">
      <w:fldChar w:fldCharType="begin"/>
    </w:r>
    <w:r w:rsidR="00E65F8F">
      <w:instrText xml:space="preserve"> TITLE  \* MERGEFORMAT </w:instrText>
    </w:r>
    <w:r w:rsidR="00E65F8F">
      <w:fldChar w:fldCharType="separate"/>
    </w:r>
    <w:r w:rsidR="00E240E8">
      <w:t>doc.: IEEE 802.11-</w:t>
    </w:r>
    <w:r>
      <w:t>21</w:t>
    </w:r>
    <w:r w:rsidR="00E240E8">
      <w:t>/</w:t>
    </w:r>
    <w:r w:rsidR="004D673B">
      <w:t>0433</w:t>
    </w:r>
    <w:r w:rsidR="00593FF2">
      <w:t>r</w:t>
    </w:r>
    <w:r w:rsidR="00E65F8F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3342E"/>
    <w:multiLevelType w:val="hybridMultilevel"/>
    <w:tmpl w:val="F4C6E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03BDC"/>
    <w:multiLevelType w:val="hybridMultilevel"/>
    <w:tmpl w:val="56101C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"/>
  </w:num>
  <w:num w:numId="5">
    <w:abstractNumId w:val="20"/>
  </w:num>
  <w:num w:numId="6">
    <w:abstractNumId w:val="19"/>
  </w:num>
  <w:num w:numId="7">
    <w:abstractNumId w:val="2"/>
  </w:num>
  <w:num w:numId="8">
    <w:abstractNumId w:val="6"/>
  </w:num>
  <w:num w:numId="9">
    <w:abstractNumId w:val="7"/>
  </w:num>
  <w:num w:numId="10">
    <w:abstractNumId w:val="12"/>
  </w:num>
  <w:num w:numId="11">
    <w:abstractNumId w:val="22"/>
  </w:num>
  <w:num w:numId="12">
    <w:abstractNumId w:val="13"/>
  </w:num>
  <w:num w:numId="13">
    <w:abstractNumId w:val="4"/>
  </w:num>
  <w:num w:numId="14">
    <w:abstractNumId w:val="15"/>
  </w:num>
  <w:num w:numId="15">
    <w:abstractNumId w:val="3"/>
  </w:num>
  <w:num w:numId="16">
    <w:abstractNumId w:val="0"/>
  </w:num>
  <w:num w:numId="17">
    <w:abstractNumId w:val="17"/>
  </w:num>
  <w:num w:numId="18">
    <w:abstractNumId w:val="11"/>
  </w:num>
  <w:num w:numId="19">
    <w:abstractNumId w:val="16"/>
  </w:num>
  <w:num w:numId="20">
    <w:abstractNumId w:val="18"/>
  </w:num>
  <w:num w:numId="21">
    <w:abstractNumId w:val="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5353"/>
    <w:rsid w:val="00015AF3"/>
    <w:rsid w:val="00016F04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6AC"/>
    <w:rsid w:val="00032C91"/>
    <w:rsid w:val="00034B66"/>
    <w:rsid w:val="00035626"/>
    <w:rsid w:val="00035DE4"/>
    <w:rsid w:val="000362C7"/>
    <w:rsid w:val="000371E1"/>
    <w:rsid w:val="0003791B"/>
    <w:rsid w:val="00041166"/>
    <w:rsid w:val="000454AF"/>
    <w:rsid w:val="000460A0"/>
    <w:rsid w:val="00047AB1"/>
    <w:rsid w:val="000507CE"/>
    <w:rsid w:val="00051A8F"/>
    <w:rsid w:val="00051B2B"/>
    <w:rsid w:val="000520D6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60FC"/>
    <w:rsid w:val="00066C64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B236F"/>
    <w:rsid w:val="000B30F1"/>
    <w:rsid w:val="000B5131"/>
    <w:rsid w:val="000B535F"/>
    <w:rsid w:val="000B5757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4E"/>
    <w:rsid w:val="0012217B"/>
    <w:rsid w:val="001234C2"/>
    <w:rsid w:val="00124928"/>
    <w:rsid w:val="00124940"/>
    <w:rsid w:val="0012576A"/>
    <w:rsid w:val="001258FE"/>
    <w:rsid w:val="0012607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51E8"/>
    <w:rsid w:val="00165A10"/>
    <w:rsid w:val="001668A6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568E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D66"/>
    <w:rsid w:val="002A4AF5"/>
    <w:rsid w:val="002A5845"/>
    <w:rsid w:val="002A64AB"/>
    <w:rsid w:val="002A690B"/>
    <w:rsid w:val="002A778A"/>
    <w:rsid w:val="002B1C16"/>
    <w:rsid w:val="002B2F4D"/>
    <w:rsid w:val="002B588E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1A31"/>
    <w:rsid w:val="002F1F8F"/>
    <w:rsid w:val="002F214F"/>
    <w:rsid w:val="002F2A5B"/>
    <w:rsid w:val="002F3849"/>
    <w:rsid w:val="002F3CE8"/>
    <w:rsid w:val="002F5A8B"/>
    <w:rsid w:val="002F6CBA"/>
    <w:rsid w:val="002F783F"/>
    <w:rsid w:val="0030322B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573FC"/>
    <w:rsid w:val="0036367B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73F3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3F7DC8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4BA2"/>
    <w:rsid w:val="004156FF"/>
    <w:rsid w:val="00415E63"/>
    <w:rsid w:val="00417B6E"/>
    <w:rsid w:val="00420432"/>
    <w:rsid w:val="004212B3"/>
    <w:rsid w:val="00421C39"/>
    <w:rsid w:val="00422AF3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1812"/>
    <w:rsid w:val="00461B0E"/>
    <w:rsid w:val="00461E21"/>
    <w:rsid w:val="00462553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FD"/>
    <w:rsid w:val="004A33F0"/>
    <w:rsid w:val="004A3A67"/>
    <w:rsid w:val="004A46C1"/>
    <w:rsid w:val="004A505D"/>
    <w:rsid w:val="004A5089"/>
    <w:rsid w:val="004A5556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A63"/>
    <w:rsid w:val="004C2773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E94"/>
    <w:rsid w:val="004D64AC"/>
    <w:rsid w:val="004D673B"/>
    <w:rsid w:val="004D6887"/>
    <w:rsid w:val="004D7B6F"/>
    <w:rsid w:val="004E06C8"/>
    <w:rsid w:val="004E06DD"/>
    <w:rsid w:val="004E0C50"/>
    <w:rsid w:val="004E2D8D"/>
    <w:rsid w:val="004E2FA8"/>
    <w:rsid w:val="004E31B7"/>
    <w:rsid w:val="004E73C8"/>
    <w:rsid w:val="004F01FA"/>
    <w:rsid w:val="004F166D"/>
    <w:rsid w:val="004F48DA"/>
    <w:rsid w:val="004F76F9"/>
    <w:rsid w:val="004F7908"/>
    <w:rsid w:val="00500859"/>
    <w:rsid w:val="005020F9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5AA3"/>
    <w:rsid w:val="005260F9"/>
    <w:rsid w:val="00531363"/>
    <w:rsid w:val="00531706"/>
    <w:rsid w:val="005345E3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47686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D84"/>
    <w:rsid w:val="00575315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2899"/>
    <w:rsid w:val="00593D42"/>
    <w:rsid w:val="00593FF2"/>
    <w:rsid w:val="00594E50"/>
    <w:rsid w:val="00595D61"/>
    <w:rsid w:val="005963F5"/>
    <w:rsid w:val="0059650F"/>
    <w:rsid w:val="00596EE9"/>
    <w:rsid w:val="005A11F5"/>
    <w:rsid w:val="005A16CC"/>
    <w:rsid w:val="005A187B"/>
    <w:rsid w:val="005A1D50"/>
    <w:rsid w:val="005A2A4B"/>
    <w:rsid w:val="005A604F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72F4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20F2"/>
    <w:rsid w:val="006324AD"/>
    <w:rsid w:val="00633A73"/>
    <w:rsid w:val="0063689B"/>
    <w:rsid w:val="00636FD4"/>
    <w:rsid w:val="006374B3"/>
    <w:rsid w:val="00642E40"/>
    <w:rsid w:val="006434C4"/>
    <w:rsid w:val="00644CAD"/>
    <w:rsid w:val="006478DE"/>
    <w:rsid w:val="00647C0F"/>
    <w:rsid w:val="0065099A"/>
    <w:rsid w:val="0065177F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2620"/>
    <w:rsid w:val="00674F4E"/>
    <w:rsid w:val="006751FF"/>
    <w:rsid w:val="00680F5E"/>
    <w:rsid w:val="006832AA"/>
    <w:rsid w:val="00684955"/>
    <w:rsid w:val="00684E99"/>
    <w:rsid w:val="00684EC0"/>
    <w:rsid w:val="00686695"/>
    <w:rsid w:val="00686BDA"/>
    <w:rsid w:val="0069052E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20C2"/>
    <w:rsid w:val="006C3C55"/>
    <w:rsid w:val="006C720F"/>
    <w:rsid w:val="006C74BC"/>
    <w:rsid w:val="006C78F5"/>
    <w:rsid w:val="006C7A2D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878"/>
    <w:rsid w:val="00715FE6"/>
    <w:rsid w:val="007164E1"/>
    <w:rsid w:val="0071661E"/>
    <w:rsid w:val="00717D24"/>
    <w:rsid w:val="00720830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FED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C2845"/>
    <w:rsid w:val="007C2CEF"/>
    <w:rsid w:val="007C34ED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866"/>
    <w:rsid w:val="00803DDF"/>
    <w:rsid w:val="00804D6D"/>
    <w:rsid w:val="0080599E"/>
    <w:rsid w:val="00805F9F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1C0E"/>
    <w:rsid w:val="008231B1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5F56"/>
    <w:rsid w:val="008963B1"/>
    <w:rsid w:val="00896BBF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2CEC"/>
    <w:rsid w:val="008D593B"/>
    <w:rsid w:val="008D69C4"/>
    <w:rsid w:val="008D6B47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530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E1"/>
    <w:rsid w:val="00950569"/>
    <w:rsid w:val="00950D9E"/>
    <w:rsid w:val="009519A2"/>
    <w:rsid w:val="00951B52"/>
    <w:rsid w:val="00954254"/>
    <w:rsid w:val="00954AA1"/>
    <w:rsid w:val="00957611"/>
    <w:rsid w:val="00960016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D6698"/>
    <w:rsid w:val="009E2D17"/>
    <w:rsid w:val="009E4004"/>
    <w:rsid w:val="009E4007"/>
    <w:rsid w:val="009E579C"/>
    <w:rsid w:val="009E5A6D"/>
    <w:rsid w:val="009E5AF6"/>
    <w:rsid w:val="009E5C10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52CFF"/>
    <w:rsid w:val="00A52DC2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E1E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4D6B"/>
    <w:rsid w:val="00AB4D8A"/>
    <w:rsid w:val="00AB5277"/>
    <w:rsid w:val="00AB5AAF"/>
    <w:rsid w:val="00AB6F1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C7C"/>
    <w:rsid w:val="00AD5A2A"/>
    <w:rsid w:val="00AD614F"/>
    <w:rsid w:val="00AD7E80"/>
    <w:rsid w:val="00AE12E3"/>
    <w:rsid w:val="00AE133D"/>
    <w:rsid w:val="00AE40D3"/>
    <w:rsid w:val="00AE4C41"/>
    <w:rsid w:val="00AE5FF3"/>
    <w:rsid w:val="00AE611A"/>
    <w:rsid w:val="00AF14DE"/>
    <w:rsid w:val="00AF2FB7"/>
    <w:rsid w:val="00AF41E3"/>
    <w:rsid w:val="00AF614A"/>
    <w:rsid w:val="00B017E9"/>
    <w:rsid w:val="00B02FFE"/>
    <w:rsid w:val="00B0310F"/>
    <w:rsid w:val="00B03DB0"/>
    <w:rsid w:val="00B041BB"/>
    <w:rsid w:val="00B041E9"/>
    <w:rsid w:val="00B10696"/>
    <w:rsid w:val="00B10CF0"/>
    <w:rsid w:val="00B11602"/>
    <w:rsid w:val="00B1325D"/>
    <w:rsid w:val="00B1328A"/>
    <w:rsid w:val="00B13D44"/>
    <w:rsid w:val="00B142CE"/>
    <w:rsid w:val="00B20510"/>
    <w:rsid w:val="00B21ACD"/>
    <w:rsid w:val="00B24E59"/>
    <w:rsid w:val="00B257C3"/>
    <w:rsid w:val="00B30BCC"/>
    <w:rsid w:val="00B314DE"/>
    <w:rsid w:val="00B3441F"/>
    <w:rsid w:val="00B34734"/>
    <w:rsid w:val="00B36A92"/>
    <w:rsid w:val="00B3759B"/>
    <w:rsid w:val="00B37F09"/>
    <w:rsid w:val="00B4120D"/>
    <w:rsid w:val="00B41C7F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3B0"/>
    <w:rsid w:val="00B73B08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7255"/>
    <w:rsid w:val="00BD30FA"/>
    <w:rsid w:val="00BD32E4"/>
    <w:rsid w:val="00BD35DF"/>
    <w:rsid w:val="00BD635C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0313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58B"/>
    <w:rsid w:val="00C018C0"/>
    <w:rsid w:val="00C0422C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5F5"/>
    <w:rsid w:val="00C267F9"/>
    <w:rsid w:val="00C27064"/>
    <w:rsid w:val="00C27A91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322D"/>
    <w:rsid w:val="00C4441D"/>
    <w:rsid w:val="00C44740"/>
    <w:rsid w:val="00C45EC4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775E"/>
    <w:rsid w:val="00C80333"/>
    <w:rsid w:val="00C80609"/>
    <w:rsid w:val="00C808FB"/>
    <w:rsid w:val="00C81477"/>
    <w:rsid w:val="00C81E62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C2A07"/>
    <w:rsid w:val="00CC2FDA"/>
    <w:rsid w:val="00CC521D"/>
    <w:rsid w:val="00CC6D6F"/>
    <w:rsid w:val="00CC752E"/>
    <w:rsid w:val="00CD320A"/>
    <w:rsid w:val="00CD4AF9"/>
    <w:rsid w:val="00CD4EE6"/>
    <w:rsid w:val="00CD4FC0"/>
    <w:rsid w:val="00CD7282"/>
    <w:rsid w:val="00CD7800"/>
    <w:rsid w:val="00CE1A33"/>
    <w:rsid w:val="00CE1C80"/>
    <w:rsid w:val="00CE1EF9"/>
    <w:rsid w:val="00CE32B5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27D"/>
    <w:rsid w:val="00D153C7"/>
    <w:rsid w:val="00D15BC5"/>
    <w:rsid w:val="00D163D7"/>
    <w:rsid w:val="00D16679"/>
    <w:rsid w:val="00D16CC8"/>
    <w:rsid w:val="00D2233B"/>
    <w:rsid w:val="00D234BC"/>
    <w:rsid w:val="00D33902"/>
    <w:rsid w:val="00D35BBF"/>
    <w:rsid w:val="00D42A60"/>
    <w:rsid w:val="00D43C25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66C9"/>
    <w:rsid w:val="00D6164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3953"/>
    <w:rsid w:val="00D75952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A0870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63FC"/>
    <w:rsid w:val="00DC5469"/>
    <w:rsid w:val="00DC5A7B"/>
    <w:rsid w:val="00DC61F1"/>
    <w:rsid w:val="00DD2545"/>
    <w:rsid w:val="00DD2A1B"/>
    <w:rsid w:val="00DD5686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6DE9"/>
    <w:rsid w:val="00E105FF"/>
    <w:rsid w:val="00E14D18"/>
    <w:rsid w:val="00E14F86"/>
    <w:rsid w:val="00E1651A"/>
    <w:rsid w:val="00E169A5"/>
    <w:rsid w:val="00E17B91"/>
    <w:rsid w:val="00E213BC"/>
    <w:rsid w:val="00E22DDD"/>
    <w:rsid w:val="00E237E3"/>
    <w:rsid w:val="00E23C91"/>
    <w:rsid w:val="00E240E8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5F8F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6759"/>
    <w:rsid w:val="00E96E1F"/>
    <w:rsid w:val="00E96F71"/>
    <w:rsid w:val="00EA0945"/>
    <w:rsid w:val="00EA1374"/>
    <w:rsid w:val="00EA3ECA"/>
    <w:rsid w:val="00EA58E2"/>
    <w:rsid w:val="00EA657E"/>
    <w:rsid w:val="00EA688F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555E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3F7"/>
    <w:rsid w:val="00F06768"/>
    <w:rsid w:val="00F06E0A"/>
    <w:rsid w:val="00F101F1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709"/>
    <w:rsid w:val="00FA6A6D"/>
    <w:rsid w:val="00FA76F2"/>
    <w:rsid w:val="00FB04C7"/>
    <w:rsid w:val="00FB19B4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52119-0CDA-47DC-8103-34791B2E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Graham Smith</cp:lastModifiedBy>
  <cp:revision>2</cp:revision>
  <cp:lastPrinted>1901-01-01T05:00:00Z</cp:lastPrinted>
  <dcterms:created xsi:type="dcterms:W3CDTF">2021-03-10T16:28:00Z</dcterms:created>
  <dcterms:modified xsi:type="dcterms:W3CDTF">2021-03-10T16:28:00Z</dcterms:modified>
</cp:coreProperties>
</file>