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5775 Morehouse Dr.</w:t>
            </w:r>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3C228780" w:rsidR="00CC11F5" w:rsidRDefault="00433ED1" w:rsidP="00433ED1">
                            <w:pPr>
                              <w:pStyle w:val="ListParagraph"/>
                              <w:numPr>
                                <w:ilvl w:val="0"/>
                                <w:numId w:val="2"/>
                              </w:numPr>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3C228780" w:rsidR="00CC11F5" w:rsidRDefault="00433ED1" w:rsidP="00433ED1">
                      <w:pPr>
                        <w:pStyle w:val="ListParagraph"/>
                        <w:numPr>
                          <w:ilvl w:val="0"/>
                          <w:numId w:val="2"/>
                        </w:numPr>
                      </w:pPr>
                      <w:r>
                        <w:t>Rev 0: Initial version of the document.</w:t>
                      </w:r>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 .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Maximum allowed Nss_tot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HT-PHY, and doesn’t imply 80MHz HT support.</w:t>
            </w:r>
          </w:p>
          <w:p w14:paraId="6CF3A0AF" w14:textId="7384BB5B" w:rsidR="002E340A" w:rsidRPr="004F052E" w:rsidRDefault="002E340A" w:rsidP="005139D9">
            <w:pPr>
              <w:jc w:val="left"/>
              <w:rPr>
                <w:szCs w:val="22"/>
                <w:lang w:val="en-US"/>
              </w:rPr>
            </w:pPr>
          </w:p>
        </w:tc>
      </w:tr>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EHT Dup mode is supported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w:t>
            </w:r>
            <w:r w:rsidR="00611E3F" w:rsidRPr="00611E3F">
              <w:rPr>
                <w:szCs w:val="22"/>
                <w:highlight w:val="yellow"/>
                <w:lang w:val="en-US"/>
              </w:rPr>
              <w:lastRenderedPageBreak/>
              <w:t>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(i.e.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The required changes for this CID is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(i.e.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684DF401" w14:textId="130179A3" w:rsidR="00A37A24" w:rsidRPr="003E3658" w:rsidRDefault="003C11D7" w:rsidP="00A37A24">
            <w:pPr>
              <w:jc w:val="left"/>
              <w:rPr>
                <w:szCs w:val="22"/>
                <w:lang w:val="en-US"/>
              </w:rPr>
            </w:pPr>
            <w:r>
              <w:rPr>
                <w:szCs w:val="22"/>
                <w:highlight w:val="yellow"/>
                <w:lang w:val="en-US"/>
              </w:rPr>
              <w:t>Please make the changes as shown in 11/21-0360r</w:t>
            </w:r>
            <w:r w:rsidR="00082FBC">
              <w:rPr>
                <w:szCs w:val="22"/>
                <w:highlight w:val="yellow"/>
                <w:lang w:val="en-US"/>
              </w:rPr>
              <w:t>1</w:t>
            </w:r>
          </w:p>
        </w:tc>
      </w:tr>
    </w:tbl>
    <w:p w14:paraId="6616903B" w14:textId="72546341" w:rsidR="00F64A4E" w:rsidRDefault="00F64A4E"/>
    <w:p w14:paraId="77D3849F" w14:textId="7AE51D2B" w:rsidR="0059521A" w:rsidRPr="009B36A9" w:rsidRDefault="0059521A" w:rsidP="0059521A">
      <w:pPr>
        <w:pStyle w:val="NormalWeb"/>
        <w:spacing w:after="60" w:afterAutospacing="0"/>
        <w:jc w:val="both"/>
        <w:rPr>
          <w:sz w:val="22"/>
          <w:szCs w:val="22"/>
        </w:rPr>
      </w:pPr>
      <w:r w:rsidRPr="009B36A9">
        <w:rPr>
          <w:sz w:val="22"/>
          <w:szCs w:val="22"/>
          <w:highlight w:val="yellow"/>
        </w:rPr>
        <w:t xml:space="preserve">Instructions to the editor: Please make the following changes </w:t>
      </w:r>
      <w:r>
        <w:rPr>
          <w:sz w:val="22"/>
          <w:szCs w:val="22"/>
          <w:highlight w:val="yellow"/>
        </w:rPr>
        <w:t xml:space="preserve">as highlighted in red </w:t>
      </w:r>
      <w:r w:rsidRPr="009B36A9">
        <w:rPr>
          <w:sz w:val="22"/>
          <w:szCs w:val="22"/>
          <w:highlight w:val="yellow"/>
        </w:rPr>
        <w:t>to 36.1.1 (P154L3</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 xml:space="preserve">Single spatial stream EHT-MCS 14 in 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BPSK DCM should be BPSK_DCM to be consistent throught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w:t>
            </w:r>
            <w:r w:rsidR="00D52D06" w:rsidRPr="003E3658">
              <w:rPr>
                <w:szCs w:val="22"/>
                <w:highlight w:val="yellow"/>
                <w:lang w:val="en-US"/>
              </w:rPr>
              <w:lastRenderedPageBreak/>
              <w:t xml:space="preserve">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lastRenderedPageBreak/>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Since I don't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The term of RU and Single RU are used together in many places in the draft(not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To avoid confusion, suggest to unify them by either RU or Single RU in whole related places. If RU needs to be used for the representive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7C85BB7C" w14:textId="77777777" w:rsidR="00F50968" w:rsidRPr="003E3658" w:rsidRDefault="00F50968" w:rsidP="007A2CF4">
            <w:pPr>
              <w:jc w:val="left"/>
              <w:rPr>
                <w:szCs w:val="22"/>
                <w:lang w:val="en-US"/>
              </w:rPr>
            </w:pPr>
            <w:r w:rsidRPr="003E3658">
              <w:rPr>
                <w:szCs w:val="22"/>
                <w:highlight w:val="yellow"/>
                <w:lang w:val="en-US"/>
              </w:rPr>
              <w:t>Change this bullet to: "Single user transmission and reception of an EHT MU PPDU with a single RU or a single MRU in the entire PPDU bandwidth".</w:t>
            </w:r>
          </w:p>
        </w:tc>
      </w:tr>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In sentence "An RU or MRU using EHT-MCSs 10, 11, 12, and 13 in an EHT MU PPDU or an EHT TB PPDU", "12, and 13" should be replace with "12 or 13" since RU or MRU only need satisfiy one of the condition.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lastRenderedPageBreak/>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"LDPC coding (transmit and receive) in all supported EHT PPDU types, RU sizes, and number of spatial streams if the STA declares support for EHT-MCSs 10, 11, 12, and 13 (transmit and receive)". Does this mean that LDPC coding is not requried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lastRenderedPageBreak/>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MHz-only non-access-point (non-AP) extremely high throughput station (EHT STA): A non-AP EHT STA that indicates in the Supported Channel Width Set subfield in the EHT PHY Capabilities Information field in the EHT  Capabilities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25883E3" w14:textId="77777777" w:rsidR="00AC0CB4" w:rsidRPr="003E3658" w:rsidRDefault="00AC0CB4" w:rsidP="007A2CF4">
            <w:pPr>
              <w:jc w:val="left"/>
              <w:rPr>
                <w:szCs w:val="22"/>
                <w:lang w:val="en-US"/>
              </w:rPr>
            </w:pPr>
            <w:r w:rsidRPr="003E3658">
              <w:rPr>
                <w:szCs w:val="22"/>
                <w:lang w:val="en-US"/>
              </w:rPr>
              <w:t>ACCEPT.</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D80980A" w14:textId="77777777" w:rsidR="00AC0CB4" w:rsidRPr="003E3658" w:rsidRDefault="00AC0CB4" w:rsidP="007A2CF4">
            <w:pPr>
              <w:jc w:val="left"/>
              <w:rPr>
                <w:szCs w:val="22"/>
                <w:lang w:val="en-US"/>
              </w:rPr>
            </w:pPr>
            <w:r w:rsidRPr="003E3658">
              <w:rPr>
                <w:szCs w:val="22"/>
                <w:lang w:val="en-US"/>
              </w:rPr>
              <w:t>ACCEPT.</w:t>
            </w:r>
          </w:p>
        </w:tc>
      </w:tr>
    </w:tbl>
    <w:p w14:paraId="4304B8C7" w14:textId="77777777" w:rsidR="00CF0B99" w:rsidRDefault="00CF0B99"/>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Replace it with 20 Mhz-only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28C0EDD1" w14:textId="0C7042F8" w:rsidR="00082FBC"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 all EHT STA support </w:t>
            </w:r>
            <w:r w:rsidR="002A20E1">
              <w:rPr>
                <w:szCs w:val="22"/>
                <w:lang w:val="en-US"/>
              </w:rPr>
              <w:t xml:space="preserve">only </w:t>
            </w:r>
            <w:r>
              <w:rPr>
                <w:szCs w:val="22"/>
                <w:lang w:val="en-US"/>
              </w:rPr>
              <w:t xml:space="preserve">20MHz. </w:t>
            </w:r>
          </w:p>
          <w:p w14:paraId="5B30B9AB" w14:textId="77777777" w:rsidR="00082FBC" w:rsidRDefault="00082FBC" w:rsidP="00082FBC">
            <w:pPr>
              <w:jc w:val="left"/>
              <w:rPr>
                <w:szCs w:val="22"/>
                <w:highlight w:val="yellow"/>
                <w:lang w:val="en-US"/>
              </w:rPr>
            </w:pPr>
            <w:r w:rsidRPr="003E3658">
              <w:rPr>
                <w:szCs w:val="22"/>
                <w:highlight w:val="yellow"/>
                <w:lang w:val="en-US"/>
              </w:rPr>
              <w:t>Instruction to the editor:</w:t>
            </w:r>
          </w:p>
          <w:p w14:paraId="3BE855CF" w14:textId="5C102A8F" w:rsidR="00082FBC" w:rsidRDefault="00082FBC" w:rsidP="00082FBC">
            <w:pPr>
              <w:jc w:val="left"/>
              <w:rPr>
                <w:szCs w:val="22"/>
                <w:lang w:val="en-US"/>
              </w:rPr>
            </w:pPr>
            <w:r>
              <w:rPr>
                <w:szCs w:val="22"/>
                <w:highlight w:val="yellow"/>
                <w:lang w:val="en-US"/>
              </w:rPr>
              <w:t>Please make the changes as shown in 11/21-0360r</w:t>
            </w:r>
            <w:r w:rsidRPr="00082FBC">
              <w:rPr>
                <w:szCs w:val="22"/>
                <w:highlight w:val="yellow"/>
                <w:lang w:val="en-US"/>
              </w:rPr>
              <w:t>1</w:t>
            </w:r>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lastRenderedPageBreak/>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3A8E8126" w14:textId="1D5CDF38" w:rsidR="007C669E" w:rsidRP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w:t>
            </w:r>
            <w:r w:rsidR="00082FBC">
              <w:rPr>
                <w:szCs w:val="22"/>
                <w:highlight w:val="yellow"/>
                <w:lang w:val="en-US"/>
              </w:rPr>
              <w:t>1</w:t>
            </w:r>
          </w:p>
        </w:tc>
      </w:tr>
    </w:tbl>
    <w:p w14:paraId="08646FB7" w14:textId="18950D2F" w:rsidR="00CF0B99" w:rsidRDefault="00CF0B99"/>
    <w:p w14:paraId="000B74A5" w14:textId="2CA1B6CC" w:rsidR="007458D5" w:rsidRPr="000C033C" w:rsidRDefault="00800D04" w:rsidP="007458D5">
      <w:pPr>
        <w:pStyle w:val="NormalWeb"/>
        <w:spacing w:after="60" w:afterAutospacing="0"/>
        <w:jc w:val="both"/>
        <w:rPr>
          <w:sz w:val="22"/>
          <w:szCs w:val="22"/>
        </w:rPr>
      </w:pPr>
      <w:r w:rsidRPr="000C033C">
        <w:rPr>
          <w:sz w:val="22"/>
          <w:szCs w:val="22"/>
          <w:highlight w:val="yellow"/>
        </w:rPr>
        <w:t xml:space="preserve">Instructions to the editor: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r w:rsidR="009B36A9" w:rsidRPr="000C033C">
        <w:rPr>
          <w:color w:val="C00000"/>
          <w:sz w:val="21"/>
          <w:szCs w:val="21"/>
          <w:u w:val="single"/>
        </w:rPr>
        <w:t>non MU-MIMO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 xml:space="preserve">We will not change “STA” to “EHT STA” here because making </w:t>
            </w:r>
            <w:r w:rsidR="00591FA4">
              <w:rPr>
                <w:szCs w:val="22"/>
                <w:lang w:val="en-US"/>
              </w:rPr>
              <w:lastRenderedPageBreak/>
              <w:t>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02CE87A3"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not a 20 MHz-only non-AP</w:t>
            </w:r>
            <w:r w:rsidR="00185317">
              <w:rPr>
                <w:szCs w:val="22"/>
                <w:highlight w:val="yellow"/>
                <w:lang w:val="en-US"/>
              </w:rPr>
              <w:t xml:space="preserve">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"Transmission of an EHT MU PPDU to multiple users with a 2x EHT-LTF and 0.8 μs GI duration on the EHT-LTF and Data field OFDM symbols". EHT MU PPDU to a single user should also be included in LTF+GI comb support,  according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 xml:space="preserve">is already covered in the mandatory support of any STA (e.g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lastRenderedPageBreak/>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"Reception of an EHT MU PPDU to multiple users with a 2x EHT-LTF and 0.8 μs GI duration on the EHT-LTF and Data field OFDM symbols". EHT MU PPDU to a single user should also be included in LTF+GI comb support,  according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r>
              <w:rPr>
                <w:szCs w:val="22"/>
                <w:lang w:val="en-US"/>
              </w:rPr>
              <w:t>Similar to CID</w:t>
            </w:r>
            <w:r w:rsidR="00C5578D">
              <w:rPr>
                <w:szCs w:val="22"/>
                <w:lang w:val="en-US"/>
              </w:rPr>
              <w:t xml:space="preserve"> 3092. </w:t>
            </w:r>
          </w:p>
          <w:p w14:paraId="4B666047" w14:textId="2865ED56" w:rsidR="00652041" w:rsidRPr="003E3658" w:rsidRDefault="00652041" w:rsidP="007A2CF4">
            <w:pPr>
              <w:jc w:val="left"/>
              <w:rPr>
                <w:szCs w:val="22"/>
                <w:lang w:val="en-US"/>
              </w:rPr>
            </w:pPr>
            <w:r>
              <w:rPr>
                <w:szCs w:val="22"/>
                <w:lang w:val="en-US"/>
              </w:rPr>
              <w:t>The requirement for single user transmission is already mandatory</w:t>
            </w:r>
            <w:r w:rsidR="00464084">
              <w:rPr>
                <w:szCs w:val="22"/>
                <w:lang w:val="en-US"/>
              </w:rPr>
              <w:t xml:space="preserve"> for all STA. (L154L45).</w:t>
            </w:r>
          </w:p>
        </w:tc>
      </w:tr>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It is obvious that 20 MHz only STA can't support larger than 242 tone. And the bullet is for optional feature, we don't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r w:rsidRPr="003E3658">
              <w:rPr>
                <w:szCs w:val="22"/>
              </w:rPr>
              <w:t xml:space="preserve">Modify  "160 MHz channel width and RU and MRU size larger than 996 tone in the 5 GHz and 6 GHz bands (transmit and receive) except for a 20 MHz-only non-AP EHT STA, in which case </w:t>
            </w:r>
            <w:r w:rsidRPr="003E3658">
              <w:rPr>
                <w:szCs w:val="22"/>
              </w:rPr>
              <w:lastRenderedPageBreak/>
              <w:t>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lastRenderedPageBreak/>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w:t>
            </w:r>
            <w:r w:rsidR="00417089" w:rsidRPr="003E3658">
              <w:rPr>
                <w:szCs w:val="22"/>
                <w:lang w:val="en-US"/>
              </w:rPr>
              <w:lastRenderedPageBreak/>
              <w:t xml:space="preserve">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20A249AB" w14:textId="77777777" w:rsidR="00152181" w:rsidRPr="003B30C0" w:rsidRDefault="00152181" w:rsidP="00A4462D">
      <w:pPr>
        <w:jc w:val="left"/>
        <w:rPr>
          <w:b/>
          <w:sz w:val="24"/>
          <w:lang w:val="en-US"/>
        </w:rPr>
      </w:pPr>
    </w:p>
    <w:p w14:paraId="0CF0F406" w14:textId="77777777" w:rsidR="00152181" w:rsidRPr="00414100" w:rsidRDefault="00152181" w:rsidP="00A4462D">
      <w:pPr>
        <w:jc w:val="left"/>
        <w:rPr>
          <w:b/>
          <w:sz w:val="24"/>
        </w:rPr>
      </w:pPr>
    </w:p>
    <w:sectPr w:rsidR="00152181" w:rsidRPr="00414100" w:rsidSect="00E94F24">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0906C" w14:textId="77777777" w:rsidR="00536318" w:rsidRDefault="00536318" w:rsidP="008335A2">
      <w:r>
        <w:separator/>
      </w:r>
    </w:p>
  </w:endnote>
  <w:endnote w:type="continuationSeparator" w:id="0">
    <w:p w14:paraId="38AD24E1" w14:textId="77777777" w:rsidR="00536318" w:rsidRDefault="00536318"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0B1CA6">
    <w:pPr>
      <w:pStyle w:val="Footer"/>
      <w:tabs>
        <w:tab w:val="clear" w:pos="6480"/>
        <w:tab w:val="center" w:pos="4680"/>
        <w:tab w:val="right" w:pos="9360"/>
      </w:tabs>
    </w:pPr>
    <w:fldSimple w:instr=" SUBJECT  \* MERGEFORMAT ">
      <w:r w:rsidR="00CC11F5">
        <w:t>Submission</w:t>
      </w:r>
    </w:fldSimple>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fldSimple w:instr=" COMMENTS  \* MERGEFORMAT ">
      <w:r w:rsidR="00CA5763">
        <w:t>Kanke Wu</w:t>
      </w:r>
      <w:r w:rsidR="00CC11F5">
        <w:t xml:space="preserve"> (Qualcomm)</w:t>
      </w:r>
    </w:fldSimple>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9EB5C" w14:textId="77777777" w:rsidR="00536318" w:rsidRDefault="00536318" w:rsidP="008335A2">
      <w:r>
        <w:separator/>
      </w:r>
    </w:p>
  </w:footnote>
  <w:footnote w:type="continuationSeparator" w:id="0">
    <w:p w14:paraId="6AE5CAE3" w14:textId="77777777" w:rsidR="00536318" w:rsidRDefault="00536318"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4583616A" w:rsidR="00CC11F5" w:rsidRDefault="00A97EAC">
    <w:pPr>
      <w:pStyle w:val="Header"/>
      <w:tabs>
        <w:tab w:val="clear" w:pos="6480"/>
        <w:tab w:val="center" w:pos="4680"/>
        <w:tab w:val="right" w:pos="9360"/>
      </w:tabs>
    </w:pPr>
    <w:r>
      <w:t xml:space="preserve">March </w:t>
    </w:r>
    <w:r w:rsidR="00CC11F5">
      <w:t>2021</w:t>
    </w:r>
    <w:r w:rsidR="00CC11F5">
      <w:tab/>
    </w:r>
    <w:r w:rsidR="00CC11F5">
      <w:tab/>
    </w:r>
    <w:fldSimple w:instr=" TITLE  \* MERGEFORMAT ">
      <w:r w:rsidR="00CC11F5">
        <w:t>doc.: IEEE 802.11-</w:t>
      </w:r>
    </w:fldSimple>
    <w:r w:rsidR="00F8412B">
      <w:t>21/0360</w:t>
    </w:r>
    <w:r>
      <w:t>r</w:t>
    </w:r>
    <w:r w:rsidR="00082FB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2FBC"/>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71602"/>
    <w:rsid w:val="00185106"/>
    <w:rsid w:val="00185317"/>
    <w:rsid w:val="001A364A"/>
    <w:rsid w:val="001A3D04"/>
    <w:rsid w:val="001B5351"/>
    <w:rsid w:val="001B7CF7"/>
    <w:rsid w:val="001C426C"/>
    <w:rsid w:val="001C46E4"/>
    <w:rsid w:val="001D6BC9"/>
    <w:rsid w:val="001E1770"/>
    <w:rsid w:val="001F4D79"/>
    <w:rsid w:val="002129F7"/>
    <w:rsid w:val="002356E5"/>
    <w:rsid w:val="002535A2"/>
    <w:rsid w:val="00274A6D"/>
    <w:rsid w:val="0028784E"/>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F052E"/>
    <w:rsid w:val="00503622"/>
    <w:rsid w:val="00512ABF"/>
    <w:rsid w:val="005139D9"/>
    <w:rsid w:val="00536318"/>
    <w:rsid w:val="005375FC"/>
    <w:rsid w:val="00540099"/>
    <w:rsid w:val="00562C2E"/>
    <w:rsid w:val="005769F8"/>
    <w:rsid w:val="00580745"/>
    <w:rsid w:val="00585A95"/>
    <w:rsid w:val="00591FA4"/>
    <w:rsid w:val="00593BB1"/>
    <w:rsid w:val="0059521A"/>
    <w:rsid w:val="005C6F48"/>
    <w:rsid w:val="005E61B7"/>
    <w:rsid w:val="005E651E"/>
    <w:rsid w:val="005F23DF"/>
    <w:rsid w:val="005F24D9"/>
    <w:rsid w:val="005F4CAF"/>
    <w:rsid w:val="00605043"/>
    <w:rsid w:val="00611E3F"/>
    <w:rsid w:val="00622DB0"/>
    <w:rsid w:val="00652041"/>
    <w:rsid w:val="0066386B"/>
    <w:rsid w:val="006719B0"/>
    <w:rsid w:val="00673DB3"/>
    <w:rsid w:val="0067564E"/>
    <w:rsid w:val="00675854"/>
    <w:rsid w:val="0068141E"/>
    <w:rsid w:val="00692F6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918AD"/>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410B"/>
    <w:rsid w:val="00BA2814"/>
    <w:rsid w:val="00BC69D1"/>
    <w:rsid w:val="00BC7F49"/>
    <w:rsid w:val="00BD2C17"/>
    <w:rsid w:val="00BE52DD"/>
    <w:rsid w:val="00BF005F"/>
    <w:rsid w:val="00C20FE0"/>
    <w:rsid w:val="00C26871"/>
    <w:rsid w:val="00C430F4"/>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10</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127</cp:revision>
  <dcterms:created xsi:type="dcterms:W3CDTF">2021-03-02T18:26:00Z</dcterms:created>
  <dcterms:modified xsi:type="dcterms:W3CDTF">2021-03-09T01:14:00Z</dcterms:modified>
</cp:coreProperties>
</file>