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430" w14:textId="2BD31E38" w:rsidR="009C677F" w:rsidRPr="003055E6" w:rsidRDefault="00EA0C03" w:rsidP="00EA0C03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bh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Telecon</w:t>
            </w:r>
            <w:proofErr w:type="spellEnd"/>
            <w:r>
              <w:rPr>
                <w:lang w:val="en-US"/>
              </w:rPr>
              <w:t xml:space="preserve"> Meeting Minutes</w:t>
            </w:r>
            <w:r w:rsidR="00211FE9" w:rsidRPr="003055E6">
              <w:rPr>
                <w:lang w:val="en-US"/>
              </w:rPr>
              <w:br/>
            </w:r>
            <w:bookmarkStart w:id="0" w:name="_GoBack"/>
            <w:bookmarkEnd w:id="0"/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612CE47A" w:rsidR="009C677F" w:rsidRPr="003055E6" w:rsidRDefault="00F85F20" w:rsidP="000F6C86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2021</w:t>
            </w:r>
            <w:r w:rsidRPr="003055E6">
              <w:rPr>
                <w:b w:val="0"/>
                <w:sz w:val="20"/>
                <w:lang w:val="en-US"/>
              </w:rPr>
              <w:t>-0</w:t>
            </w:r>
            <w:r w:rsidR="000F6C86">
              <w:rPr>
                <w:b w:val="0"/>
                <w:sz w:val="20"/>
                <w:lang w:val="en-US"/>
              </w:rPr>
              <w:t>3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0F6C86">
              <w:rPr>
                <w:b w:val="0"/>
                <w:sz w:val="20"/>
                <w:lang w:val="en-US"/>
              </w:rPr>
              <w:t>01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FA0A6C" w:rsidRDefault="00FA0A6C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32380F3A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</w:t>
                            </w:r>
                            <w:proofErr w:type="spellStart"/>
                            <w:r w:rsidR="00EA0C03">
                              <w:rPr>
                                <w:color w:val="000000"/>
                              </w:rPr>
                              <w:t>bh</w:t>
                            </w:r>
                            <w:proofErr w:type="spellEnd"/>
                            <w:r w:rsidR="00EA0C03">
                              <w:rPr>
                                <w:color w:val="000000"/>
                              </w:rPr>
                              <w:t xml:space="preserve"> telecom meeting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A0C03">
                              <w:rPr>
                                <w:color w:val="000000"/>
                              </w:rPr>
                              <w:t xml:space="preserve">1 March 2021 </w:t>
                            </w:r>
                            <w:r>
                              <w:rPr>
                                <w:color w:val="000000"/>
                              </w:rPr>
                              <w:t xml:space="preserve">at </w:t>
                            </w:r>
                            <w:r w:rsidR="00EA0C03">
                              <w:rPr>
                                <w:color w:val="000000"/>
                              </w:rPr>
                              <w:t xml:space="preserve">11:00 hrs EDT, </w:t>
                            </w:r>
                          </w:p>
                          <w:p w14:paraId="52D69561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48DC5D5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FA0A6C" w:rsidRPr="001837E9" w:rsidRDefault="00FA0A6C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FA0A6C" w:rsidRDefault="00FA0A6C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32380F3A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</w:t>
                      </w:r>
                      <w:proofErr w:type="spellStart"/>
                      <w:r w:rsidR="00EA0C03">
                        <w:rPr>
                          <w:color w:val="000000"/>
                        </w:rPr>
                        <w:t>bh</w:t>
                      </w:r>
                      <w:proofErr w:type="spellEnd"/>
                      <w:r w:rsidR="00EA0C03">
                        <w:rPr>
                          <w:color w:val="000000"/>
                        </w:rPr>
                        <w:t xml:space="preserve"> telecom meeting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EA0C03">
                        <w:rPr>
                          <w:color w:val="000000"/>
                        </w:rPr>
                        <w:t xml:space="preserve">1 March 2021 </w:t>
                      </w:r>
                      <w:r>
                        <w:rPr>
                          <w:color w:val="000000"/>
                        </w:rPr>
                        <w:t xml:space="preserve">at </w:t>
                      </w:r>
                      <w:r w:rsidR="00EA0C03">
                        <w:rPr>
                          <w:color w:val="000000"/>
                        </w:rPr>
                        <w:t xml:space="preserve">11:00 hrs EDT, </w:t>
                      </w:r>
                    </w:p>
                    <w:p w14:paraId="52D69561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48DC5D5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FA0A6C" w:rsidRPr="001837E9" w:rsidRDefault="00FA0A6C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77777777" w:rsidR="009C677F" w:rsidRPr="003055E6" w:rsidRDefault="009C677F">
      <w:pPr>
        <w:rPr>
          <w:sz w:val="20"/>
          <w:lang w:val="en-US"/>
        </w:rPr>
      </w:pPr>
    </w:p>
    <w:p w14:paraId="01765044" w14:textId="5C0991C1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sz w:val="24"/>
          <w:szCs w:val="24"/>
          <w:lang w:val="en-US"/>
        </w:rPr>
        <w:t xml:space="preserve">Chair: </w:t>
      </w:r>
      <w:r w:rsidR="00D11B96">
        <w:rPr>
          <w:b/>
          <w:sz w:val="24"/>
          <w:szCs w:val="24"/>
          <w:lang w:val="en-US"/>
        </w:rPr>
        <w:t>Mark Hamilton</w:t>
      </w:r>
    </w:p>
    <w:p w14:paraId="32F1EDF6" w14:textId="77777777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sz w:val="24"/>
          <w:szCs w:val="24"/>
          <w:lang w:val="en-US"/>
        </w:rPr>
        <w:t xml:space="preserve">Acting Secretary: </w:t>
      </w:r>
      <w:r w:rsidR="00EF4CD2" w:rsidRPr="003055E6">
        <w:rPr>
          <w:b/>
          <w:sz w:val="24"/>
          <w:szCs w:val="24"/>
          <w:lang w:val="en-US"/>
        </w:rPr>
        <w:t>Graham Smith</w:t>
      </w:r>
    </w:p>
    <w:p w14:paraId="0642C51F" w14:textId="77777777" w:rsidR="009C677F" w:rsidRPr="003055E6" w:rsidRDefault="009C677F">
      <w:pPr>
        <w:rPr>
          <w:b/>
          <w:bCs/>
          <w:sz w:val="24"/>
          <w:szCs w:val="24"/>
          <w:lang w:val="en-US"/>
        </w:rPr>
      </w:pPr>
    </w:p>
    <w:p w14:paraId="4A90F191" w14:textId="0327698F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1. The teleconference was called to order by Chair </w:t>
      </w:r>
      <w:r w:rsidR="002C1BD8">
        <w:rPr>
          <w:b/>
          <w:bCs/>
          <w:sz w:val="24"/>
          <w:szCs w:val="24"/>
          <w:lang w:val="en-US"/>
        </w:rPr>
        <w:t>11</w:t>
      </w:r>
      <w:r w:rsidRPr="003055E6">
        <w:rPr>
          <w:b/>
          <w:bCs/>
          <w:sz w:val="24"/>
          <w:szCs w:val="24"/>
          <w:lang w:val="en-US"/>
        </w:rPr>
        <w:t xml:space="preserve">:00 hrs. EDT, </w:t>
      </w:r>
    </w:p>
    <w:p w14:paraId="35902BD2" w14:textId="709CA91E" w:rsidR="009C677F" w:rsidRPr="003055E6" w:rsidRDefault="00EF4CD2">
      <w:pPr>
        <w:rPr>
          <w:sz w:val="24"/>
          <w:szCs w:val="24"/>
          <w:lang w:val="en-US"/>
        </w:rPr>
      </w:pPr>
      <w:r w:rsidRPr="003055E6">
        <w:rPr>
          <w:bCs/>
          <w:sz w:val="24"/>
          <w:szCs w:val="24"/>
          <w:lang w:val="en-US"/>
        </w:rPr>
        <w:t xml:space="preserve">Graham </w:t>
      </w:r>
      <w:r w:rsidR="008D0F44" w:rsidRPr="003055E6">
        <w:rPr>
          <w:bCs/>
          <w:sz w:val="24"/>
          <w:szCs w:val="24"/>
          <w:lang w:val="en-US"/>
        </w:rPr>
        <w:t>Smith (</w:t>
      </w:r>
      <w:r w:rsidRPr="003055E6">
        <w:rPr>
          <w:bCs/>
          <w:sz w:val="24"/>
          <w:szCs w:val="24"/>
          <w:lang w:val="en-US"/>
        </w:rPr>
        <w:t>SRT)</w:t>
      </w:r>
      <w:r w:rsidR="00F85F20" w:rsidRPr="003055E6">
        <w:rPr>
          <w:bCs/>
          <w:sz w:val="24"/>
          <w:szCs w:val="24"/>
          <w:lang w:val="en-US"/>
        </w:rPr>
        <w:t xml:space="preserve"> volunteered to be acting secretary.</w:t>
      </w:r>
    </w:p>
    <w:p w14:paraId="76EDD4E1" w14:textId="77777777" w:rsidR="009C677F" w:rsidRPr="003055E6" w:rsidRDefault="009C677F">
      <w:pPr>
        <w:rPr>
          <w:b/>
          <w:bCs/>
          <w:sz w:val="24"/>
          <w:szCs w:val="24"/>
          <w:lang w:val="en-US"/>
        </w:rPr>
      </w:pPr>
    </w:p>
    <w:p w14:paraId="1D0CA16B" w14:textId="4559286D" w:rsidR="009C677F" w:rsidRPr="003055E6" w:rsidRDefault="00F85F20" w:rsidP="00EF4CD2">
      <w:pPr>
        <w:rPr>
          <w:rStyle w:val="Hyperlink"/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11/21/0264r2</w:t>
      </w:r>
    </w:p>
    <w:p w14:paraId="08994C15" w14:textId="77777777" w:rsidR="00A303BE" w:rsidRPr="003055E6" w:rsidRDefault="00A303BE">
      <w:pPr>
        <w:pStyle w:val="BodyText"/>
        <w:rPr>
          <w:sz w:val="24"/>
          <w:szCs w:val="24"/>
        </w:rPr>
      </w:pPr>
    </w:p>
    <w:p w14:paraId="560D4143" w14:textId="34FC7CCF" w:rsidR="00D11B96" w:rsidRDefault="00D11B96" w:rsidP="00D11B96">
      <w:pPr>
        <w:pStyle w:val="ListParagraph"/>
        <w:numPr>
          <w:ilvl w:val="0"/>
          <w:numId w:val="15"/>
        </w:numPr>
        <w:rPr>
          <w:b/>
          <w:bCs/>
        </w:rPr>
      </w:pPr>
      <w:r w:rsidRPr="00D11B96">
        <w:rPr>
          <w:b/>
          <w:bCs/>
        </w:rPr>
        <w:t>Policies and procedures were presented by the chair.</w:t>
      </w:r>
      <w:r w:rsidR="000F6C86">
        <w:rPr>
          <w:b/>
          <w:bCs/>
        </w:rPr>
        <w:t xml:space="preserve"> (</w:t>
      </w:r>
      <w:r w:rsidR="002C1BD8">
        <w:rPr>
          <w:b/>
          <w:bCs/>
        </w:rPr>
        <w:t>Slides 5 to 15)</w:t>
      </w:r>
    </w:p>
    <w:p w14:paraId="5DBE3CB6" w14:textId="7FA7C503" w:rsidR="00E527C2" w:rsidRDefault="00D11B96" w:rsidP="00D11B96">
      <w:pPr>
        <w:rPr>
          <w:bCs/>
        </w:rPr>
      </w:pPr>
      <w:r w:rsidRPr="003E7E73">
        <w:rPr>
          <w:bCs/>
          <w:highlight w:val="cyan"/>
        </w:rPr>
        <w:t>No Patent</w:t>
      </w:r>
      <w:r w:rsidRPr="002C1BD8">
        <w:rPr>
          <w:bCs/>
        </w:rPr>
        <w:t xml:space="preserve"> </w:t>
      </w:r>
      <w:r w:rsidR="002B6D7C">
        <w:rPr>
          <w:bCs/>
        </w:rPr>
        <w:t>declarations.</w:t>
      </w:r>
    </w:p>
    <w:p w14:paraId="3F86367A" w14:textId="43A763BC" w:rsidR="00E527C2" w:rsidRDefault="00E527C2" w:rsidP="00D11B96">
      <w:pPr>
        <w:rPr>
          <w:bCs/>
        </w:rPr>
      </w:pPr>
      <w:r>
        <w:rPr>
          <w:bCs/>
        </w:rPr>
        <w:t>Copyright policy slides were presented (Slides 11 and 12)</w:t>
      </w:r>
    </w:p>
    <w:p w14:paraId="6C598957" w14:textId="77777777" w:rsidR="002C1BD8" w:rsidRPr="002C1BD8" w:rsidRDefault="002C1BD8" w:rsidP="00D11B96">
      <w:pPr>
        <w:rPr>
          <w:bCs/>
        </w:rPr>
      </w:pPr>
    </w:p>
    <w:p w14:paraId="6CA3B16B" w14:textId="30572142" w:rsidR="009C677F" w:rsidRPr="003055E6" w:rsidRDefault="00F85F20">
      <w:pPr>
        <w:pStyle w:val="BodyText"/>
        <w:rPr>
          <w:sz w:val="24"/>
          <w:szCs w:val="24"/>
        </w:rPr>
      </w:pPr>
      <w:r w:rsidRPr="003055E6">
        <w:rPr>
          <w:sz w:val="24"/>
          <w:szCs w:val="24"/>
        </w:rPr>
        <w:t>See attendance list at the bottom of this document.</w:t>
      </w:r>
    </w:p>
    <w:p w14:paraId="5EDA351A" w14:textId="1CF4A08A" w:rsidR="009C677F" w:rsidRPr="003055E6" w:rsidRDefault="00F85F20" w:rsidP="00D11B96">
      <w:pPr>
        <w:pStyle w:val="BodyText"/>
        <w:numPr>
          <w:ilvl w:val="0"/>
          <w:numId w:val="15"/>
        </w:numPr>
        <w:rPr>
          <w:b/>
          <w:bCs/>
          <w:sz w:val="24"/>
          <w:szCs w:val="24"/>
        </w:rPr>
      </w:pPr>
      <w:r w:rsidRPr="003055E6">
        <w:rPr>
          <w:b/>
          <w:bCs/>
          <w:sz w:val="24"/>
          <w:szCs w:val="24"/>
        </w:rPr>
        <w:t>Agenda:</w:t>
      </w:r>
    </w:p>
    <w:p w14:paraId="000A0EF1" w14:textId="77777777" w:rsidR="00357D01" w:rsidRPr="00D11B96" w:rsidRDefault="00980ACC" w:rsidP="00D11B96">
      <w:pPr>
        <w:pStyle w:val="BodyText"/>
        <w:numPr>
          <w:ilvl w:val="0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>Attendance, noises/recording, meeting protocol reminders</w:t>
      </w:r>
    </w:p>
    <w:p w14:paraId="1CEBF291" w14:textId="77777777" w:rsidR="00357D01" w:rsidRPr="00D11B96" w:rsidRDefault="00980ACC" w:rsidP="00D11B96">
      <w:pPr>
        <w:pStyle w:val="BodyText"/>
        <w:numPr>
          <w:ilvl w:val="0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>Policies, duty to inform, participation rules</w:t>
      </w:r>
    </w:p>
    <w:p w14:paraId="22C5754D" w14:textId="77777777" w:rsidR="00357D01" w:rsidRPr="00D11B96" w:rsidRDefault="00980ACC" w:rsidP="00D11B96">
      <w:pPr>
        <w:pStyle w:val="BodyText"/>
        <w:numPr>
          <w:ilvl w:val="0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>Organization topics:</w:t>
      </w:r>
    </w:p>
    <w:p w14:paraId="0C31DD2C" w14:textId="77777777" w:rsidR="00357D01" w:rsidRPr="00D11B96" w:rsidRDefault="00980ACC" w:rsidP="00D11B96">
      <w:pPr>
        <w:pStyle w:val="BodyText"/>
        <w:numPr>
          <w:ilvl w:val="1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>Leadership positions – Chair; Vice Chair(s); Secretary; Editor</w:t>
      </w:r>
    </w:p>
    <w:p w14:paraId="6FFE9E6C" w14:textId="77777777" w:rsidR="00357D01" w:rsidRPr="00D11B96" w:rsidRDefault="00980ACC" w:rsidP="00D11B96">
      <w:pPr>
        <w:pStyle w:val="BodyText"/>
        <w:numPr>
          <w:ilvl w:val="1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>March Plenary plan: Tuesday, 13:30-15:30; Thursday 13:30-15:30</w:t>
      </w:r>
    </w:p>
    <w:p w14:paraId="16109357" w14:textId="77777777" w:rsidR="00357D01" w:rsidRPr="00D11B96" w:rsidRDefault="00980ACC" w:rsidP="00D11B96">
      <w:pPr>
        <w:pStyle w:val="BodyText"/>
        <w:numPr>
          <w:ilvl w:val="1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 xml:space="preserve">Teleconferences – to be discussed during March plenary – suggestions? </w:t>
      </w:r>
    </w:p>
    <w:p w14:paraId="14F13F0F" w14:textId="282BFCD0" w:rsidR="00357D01" w:rsidRPr="00D11B96" w:rsidRDefault="00980ACC" w:rsidP="00D11B96">
      <w:pPr>
        <w:pStyle w:val="BodyText"/>
        <w:numPr>
          <w:ilvl w:val="1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 xml:space="preserve">PAR/CSD: </w:t>
      </w:r>
      <w:hyperlink r:id="rId11" w:history="1">
        <w:r w:rsidRPr="00D11B96">
          <w:rPr>
            <w:rStyle w:val="Hyperlink"/>
            <w:b/>
            <w:bCs/>
            <w:sz w:val="24"/>
            <w:szCs w:val="24"/>
          </w:rPr>
          <w:t>11-20/1795r1</w:t>
        </w:r>
      </w:hyperlink>
      <w:r w:rsidRPr="00D11B96">
        <w:rPr>
          <w:b/>
          <w:bCs/>
          <w:sz w:val="24"/>
          <w:szCs w:val="24"/>
        </w:rPr>
        <w:t xml:space="preserve">; </w:t>
      </w:r>
      <w:hyperlink r:id="rId12" w:history="1">
        <w:r w:rsidRPr="00D11B96">
          <w:rPr>
            <w:rStyle w:val="Hyperlink"/>
            <w:b/>
            <w:bCs/>
            <w:sz w:val="24"/>
            <w:szCs w:val="24"/>
          </w:rPr>
          <w:t>11-20/1117r5</w:t>
        </w:r>
      </w:hyperlink>
    </w:p>
    <w:p w14:paraId="060CDCBF" w14:textId="1F0055D8" w:rsidR="00357D01" w:rsidRPr="00D11B96" w:rsidRDefault="00980ACC" w:rsidP="00D11B96">
      <w:pPr>
        <w:pStyle w:val="BodyText"/>
        <w:numPr>
          <w:ilvl w:val="1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>Work Plan</w:t>
      </w:r>
    </w:p>
    <w:p w14:paraId="367D4B00" w14:textId="77777777" w:rsidR="00357D01" w:rsidRPr="00D11B96" w:rsidRDefault="00980ACC" w:rsidP="00D11B96">
      <w:pPr>
        <w:pStyle w:val="BodyText"/>
        <w:numPr>
          <w:ilvl w:val="1"/>
          <w:numId w:val="14"/>
        </w:numPr>
        <w:rPr>
          <w:b/>
          <w:bCs/>
          <w:sz w:val="24"/>
          <w:szCs w:val="24"/>
        </w:rPr>
      </w:pPr>
      <w:r w:rsidRPr="00D11B96">
        <w:rPr>
          <w:b/>
          <w:bCs/>
          <w:sz w:val="24"/>
          <w:szCs w:val="24"/>
        </w:rPr>
        <w:t>Timeline estimate – develop during March plenary</w:t>
      </w:r>
    </w:p>
    <w:p w14:paraId="2499D10D" w14:textId="77777777" w:rsidR="00D11B96" w:rsidRDefault="00F85F20">
      <w:pPr>
        <w:pStyle w:val="BodyText"/>
        <w:rPr>
          <w:sz w:val="24"/>
          <w:szCs w:val="24"/>
        </w:rPr>
      </w:pPr>
      <w:r w:rsidRPr="003055E6">
        <w:rPr>
          <w:sz w:val="24"/>
          <w:szCs w:val="24"/>
        </w:rPr>
        <w:t xml:space="preserve">The Chair reviewed the agenda. </w:t>
      </w:r>
      <w:bookmarkStart w:id="1" w:name="_Hlk33105761"/>
    </w:p>
    <w:p w14:paraId="68286868" w14:textId="70DB3554" w:rsidR="009C677F" w:rsidRPr="003055E6" w:rsidRDefault="00F85F20">
      <w:pPr>
        <w:pStyle w:val="BodyText"/>
        <w:rPr>
          <w:sz w:val="24"/>
          <w:szCs w:val="24"/>
        </w:rPr>
      </w:pPr>
      <w:r w:rsidRPr="003055E6">
        <w:rPr>
          <w:sz w:val="24"/>
          <w:szCs w:val="24"/>
        </w:rPr>
        <w:t>The proposed agenda was approved without objection.</w:t>
      </w:r>
      <w:bookmarkEnd w:id="1"/>
    </w:p>
    <w:p w14:paraId="59F33094" w14:textId="60DD6F54" w:rsidR="00C71963" w:rsidRPr="002C1BD8" w:rsidRDefault="002C1BD8" w:rsidP="002C1BD8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 w:rsidRPr="002C1BD8">
        <w:rPr>
          <w:b/>
          <w:sz w:val="24"/>
          <w:szCs w:val="24"/>
        </w:rPr>
        <w:t xml:space="preserve">Leadership positions </w:t>
      </w:r>
    </w:p>
    <w:p w14:paraId="2A04CAA0" w14:textId="7F226577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Positions are open.  Anyone interested please nominate.</w:t>
      </w:r>
    </w:p>
    <w:p w14:paraId="659B92B8" w14:textId="11FF9040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Any opinions on number of Vice Chairs?  </w:t>
      </w:r>
    </w:p>
    <w:p w14:paraId="144DB135" w14:textId="2B620F00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Q – What are reasons for 1 or 2</w:t>
      </w:r>
    </w:p>
    <w:p w14:paraId="6BE63DA0" w14:textId="1347C066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Depends on the size of group.  1 or 2 for this group is acceptable.</w:t>
      </w:r>
    </w:p>
    <w:p w14:paraId="42ACB4E3" w14:textId="4A35D59F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Any objection to having 2 Vice chairs?  None </w:t>
      </w:r>
    </w:p>
    <w:p w14:paraId="0E5117F8" w14:textId="1EE03194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Nomination window will be closed at the first meeting in March Plenary, next week.</w:t>
      </w:r>
    </w:p>
    <w:p w14:paraId="19DABFC7" w14:textId="64B25F38" w:rsidR="002C1BD8" w:rsidRPr="002C1BD8" w:rsidRDefault="002C1BD8" w:rsidP="002C1BD8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proofErr w:type="spellStart"/>
      <w:r w:rsidRPr="002C1BD8">
        <w:rPr>
          <w:b/>
          <w:sz w:val="24"/>
          <w:szCs w:val="24"/>
        </w:rPr>
        <w:t>Telecons</w:t>
      </w:r>
      <w:proofErr w:type="spellEnd"/>
    </w:p>
    <w:p w14:paraId="29FBE274" w14:textId="3754A14D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No fixed slot yet.</w:t>
      </w:r>
    </w:p>
    <w:p w14:paraId="7B4CB9AE" w14:textId="79C83868" w:rsidR="002C1BD8" w:rsidRPr="00711E9F" w:rsidRDefault="002C1BD8" w:rsidP="002C1BD8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r w:rsidRPr="00711E9F">
        <w:rPr>
          <w:b/>
          <w:sz w:val="24"/>
          <w:szCs w:val="24"/>
        </w:rPr>
        <w:t>PAR and CSD</w:t>
      </w:r>
    </w:p>
    <w:p w14:paraId="1128D8DB" w14:textId="361575F7" w:rsidR="002C1BD8" w:rsidRDefault="002C1BD8" w:rsidP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Links provided.  No changes are known but will post to reflector when official versions available.</w:t>
      </w:r>
    </w:p>
    <w:p w14:paraId="5AA0BE64" w14:textId="72031D20" w:rsidR="00592DC1" w:rsidRDefault="00592DC1" w:rsidP="00592DC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Approved PAR: </w:t>
      </w:r>
    </w:p>
    <w:p w14:paraId="705B526E" w14:textId="34979A4D" w:rsidR="00592DC1" w:rsidRDefault="008319CF" w:rsidP="00592DC1">
      <w:pPr>
        <w:pStyle w:val="BodyText"/>
        <w:rPr>
          <w:sz w:val="24"/>
          <w:szCs w:val="24"/>
        </w:rPr>
      </w:pPr>
      <w:hyperlink r:id="rId13" w:anchor="pardetail/8770" w:history="1">
        <w:r w:rsidR="00FE3C9D" w:rsidRPr="00B21605">
          <w:rPr>
            <w:rStyle w:val="Hyperlink"/>
            <w:sz w:val="24"/>
            <w:szCs w:val="24"/>
          </w:rPr>
          <w:t>https://development.standards.ieee.org/myproject-web/public/view.html#pardetail/8770</w:t>
        </w:r>
      </w:hyperlink>
    </w:p>
    <w:p w14:paraId="6A1CF45B" w14:textId="77777777" w:rsidR="00FE3C9D" w:rsidRPr="00592DC1" w:rsidRDefault="00FE3C9D" w:rsidP="00592DC1">
      <w:pPr>
        <w:pStyle w:val="BodyText"/>
        <w:rPr>
          <w:sz w:val="24"/>
          <w:szCs w:val="24"/>
        </w:rPr>
      </w:pPr>
    </w:p>
    <w:p w14:paraId="576FD57B" w14:textId="3EC4729F" w:rsidR="002C1BD8" w:rsidRDefault="002C1BD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discussed slide 17, “</w:t>
      </w:r>
      <w:proofErr w:type="spellStart"/>
      <w:r>
        <w:rPr>
          <w:sz w:val="24"/>
          <w:szCs w:val="24"/>
        </w:rPr>
        <w:t>TGbh</w:t>
      </w:r>
      <w:proofErr w:type="spellEnd"/>
      <w:r>
        <w:rPr>
          <w:sz w:val="24"/>
          <w:szCs w:val="24"/>
        </w:rPr>
        <w:t xml:space="preserve"> PAR Scope” and went through it.  Certain methods for existing services may now not be possible or are effected.  We do not want to do anything that affects User privacy.  </w:t>
      </w:r>
      <w:r w:rsidR="003E7E73">
        <w:rPr>
          <w:sz w:val="24"/>
          <w:szCs w:val="24"/>
        </w:rPr>
        <w:t>Also</w:t>
      </w:r>
      <w:r>
        <w:rPr>
          <w:sz w:val="24"/>
          <w:szCs w:val="24"/>
        </w:rPr>
        <w:t xml:space="preserve"> drew attention to 11bi Privacy.  </w:t>
      </w:r>
    </w:p>
    <w:p w14:paraId="53B23D20" w14:textId="77777777" w:rsidR="003136BC" w:rsidRPr="003136BC" w:rsidRDefault="003136BC" w:rsidP="003136BC">
      <w:pPr>
        <w:pStyle w:val="BodyText"/>
        <w:rPr>
          <w:sz w:val="24"/>
          <w:szCs w:val="24"/>
        </w:rPr>
      </w:pPr>
      <w:r w:rsidRPr="003136BC">
        <w:rPr>
          <w:sz w:val="24"/>
          <w:szCs w:val="24"/>
        </w:rPr>
        <w:t>There is a need to:</w:t>
      </w:r>
    </w:p>
    <w:p w14:paraId="77DFC552" w14:textId="77777777" w:rsidR="00357D01" w:rsidRPr="003136BC" w:rsidRDefault="00980ACC" w:rsidP="003136BC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3136BC">
        <w:rPr>
          <w:sz w:val="24"/>
          <w:szCs w:val="24"/>
        </w:rPr>
        <w:t xml:space="preserve">Ensure that IEEE </w:t>
      </w:r>
      <w:proofErr w:type="spellStart"/>
      <w:r w:rsidRPr="003136BC">
        <w:rPr>
          <w:sz w:val="24"/>
          <w:szCs w:val="24"/>
        </w:rPr>
        <w:t>Std</w:t>
      </w:r>
      <w:proofErr w:type="spellEnd"/>
      <w:r w:rsidRPr="003136BC">
        <w:rPr>
          <w:sz w:val="24"/>
          <w:szCs w:val="24"/>
        </w:rPr>
        <w:t xml:space="preserve"> 802.11 provisions that refer to a STA MAC address remain valid when that MAC address is random or changes.</w:t>
      </w:r>
    </w:p>
    <w:p w14:paraId="5EA1CCAE" w14:textId="77777777" w:rsidR="00357D01" w:rsidRPr="003136BC" w:rsidRDefault="00980ACC" w:rsidP="003136BC">
      <w:pPr>
        <w:pStyle w:val="BodyText"/>
        <w:numPr>
          <w:ilvl w:val="0"/>
          <w:numId w:val="16"/>
        </w:numPr>
        <w:rPr>
          <w:sz w:val="24"/>
          <w:szCs w:val="24"/>
        </w:rPr>
      </w:pPr>
      <w:r w:rsidRPr="003136BC">
        <w:rPr>
          <w:sz w:val="24"/>
          <w:szCs w:val="24"/>
        </w:rPr>
        <w:t>Design mechanisms that enable an optimal user experience when the MAC address of a STA in an ESS is randomized or changes. These mechanisms should not decrease user privacy.</w:t>
      </w:r>
    </w:p>
    <w:p w14:paraId="523CFC48" w14:textId="0230D0B7" w:rsidR="003136BC" w:rsidRDefault="003136B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Chair’s intention is to try to keep focused on this scope.</w:t>
      </w:r>
    </w:p>
    <w:p w14:paraId="7DF7B177" w14:textId="28AA5A75" w:rsidR="003136BC" w:rsidRDefault="003136BC">
      <w:pPr>
        <w:pStyle w:val="BodyText"/>
        <w:rPr>
          <w:sz w:val="24"/>
          <w:szCs w:val="24"/>
        </w:rPr>
      </w:pPr>
    </w:p>
    <w:p w14:paraId="2A5CF613" w14:textId="153D79AE" w:rsidR="003136BC" w:rsidRPr="00FE3C9D" w:rsidRDefault="00FE3C9D" w:rsidP="00FE3C9D">
      <w:pPr>
        <w:pStyle w:val="BodyText"/>
        <w:numPr>
          <w:ilvl w:val="0"/>
          <w:numId w:val="15"/>
        </w:numPr>
        <w:rPr>
          <w:b/>
          <w:sz w:val="24"/>
          <w:szCs w:val="24"/>
        </w:rPr>
      </w:pPr>
      <w:proofErr w:type="spellStart"/>
      <w:r w:rsidRPr="00FE3C9D">
        <w:rPr>
          <w:b/>
          <w:sz w:val="24"/>
          <w:szCs w:val="24"/>
        </w:rPr>
        <w:t>Workplan</w:t>
      </w:r>
      <w:proofErr w:type="spellEnd"/>
    </w:p>
    <w:p w14:paraId="7271D070" w14:textId="39818698" w:rsidR="00FE3C9D" w:rsidRDefault="00FE3C9D" w:rsidP="00FE3C9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Slide 18</w:t>
      </w:r>
      <w:r w:rsidR="00931A0E">
        <w:rPr>
          <w:sz w:val="24"/>
          <w:szCs w:val="24"/>
        </w:rPr>
        <w:t>.  Chair’s high level approach.</w:t>
      </w:r>
    </w:p>
    <w:p w14:paraId="2269BFFD" w14:textId="2C333EA9" w:rsidR="00FE3C9D" w:rsidRDefault="00FE3C9D" w:rsidP="00FE3C9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Contribution driven and Issue Tracking.</w:t>
      </w:r>
    </w:p>
    <w:p w14:paraId="3DEAFF37" w14:textId="77777777" w:rsidR="00357D01" w:rsidRPr="00FE3C9D" w:rsidRDefault="00980ACC" w:rsidP="00FE3C9D">
      <w:pPr>
        <w:pStyle w:val="BodyText"/>
        <w:numPr>
          <w:ilvl w:val="0"/>
          <w:numId w:val="17"/>
        </w:numPr>
        <w:rPr>
          <w:sz w:val="24"/>
          <w:szCs w:val="24"/>
        </w:rPr>
      </w:pPr>
      <w:r w:rsidRPr="00FE3C9D">
        <w:rPr>
          <w:bCs/>
          <w:sz w:val="24"/>
          <w:szCs w:val="24"/>
        </w:rPr>
        <w:t xml:space="preserve">Gather requirements </w:t>
      </w:r>
      <w:r w:rsidRPr="00FE3C9D">
        <w:rPr>
          <w:sz w:val="24"/>
          <w:szCs w:val="24"/>
        </w:rPr>
        <w:t>(start with RCM/ARC materials, add to it)</w:t>
      </w:r>
    </w:p>
    <w:p w14:paraId="7B4DB652" w14:textId="77777777" w:rsidR="00357D01" w:rsidRPr="00FE3C9D" w:rsidRDefault="00980ACC" w:rsidP="00FE3C9D">
      <w:pPr>
        <w:pStyle w:val="BodyText"/>
        <w:numPr>
          <w:ilvl w:val="1"/>
          <w:numId w:val="17"/>
        </w:numPr>
        <w:rPr>
          <w:sz w:val="24"/>
          <w:szCs w:val="24"/>
        </w:rPr>
      </w:pPr>
      <w:r w:rsidRPr="00FE3C9D">
        <w:rPr>
          <w:sz w:val="24"/>
          <w:szCs w:val="24"/>
        </w:rPr>
        <w:t>Identify specific features/operations/services of 802.11 that are impacted by randomized and/or changing MAC addresses</w:t>
      </w:r>
    </w:p>
    <w:p w14:paraId="6F5863B8" w14:textId="77777777" w:rsidR="00357D01" w:rsidRPr="00FE3C9D" w:rsidRDefault="00980ACC" w:rsidP="00FE3C9D">
      <w:pPr>
        <w:pStyle w:val="BodyText"/>
        <w:numPr>
          <w:ilvl w:val="1"/>
          <w:numId w:val="17"/>
        </w:numPr>
        <w:rPr>
          <w:sz w:val="24"/>
          <w:szCs w:val="24"/>
        </w:rPr>
      </w:pPr>
      <w:r w:rsidRPr="00FE3C9D">
        <w:rPr>
          <w:sz w:val="24"/>
          <w:szCs w:val="24"/>
        </w:rPr>
        <w:t>“Real world” use case(s) for each would be helpful, to understand the impact and what/who is impacted</w:t>
      </w:r>
    </w:p>
    <w:p w14:paraId="2CF67478" w14:textId="77777777" w:rsidR="00357D01" w:rsidRPr="00FE3C9D" w:rsidRDefault="00980ACC" w:rsidP="00FE3C9D">
      <w:pPr>
        <w:pStyle w:val="BodyText"/>
        <w:numPr>
          <w:ilvl w:val="0"/>
          <w:numId w:val="17"/>
        </w:numPr>
        <w:rPr>
          <w:sz w:val="24"/>
          <w:szCs w:val="24"/>
        </w:rPr>
      </w:pPr>
      <w:r w:rsidRPr="00FE3C9D">
        <w:rPr>
          <w:bCs/>
          <w:sz w:val="24"/>
          <w:szCs w:val="24"/>
        </w:rPr>
        <w:t>Proposals for specification amendments to address/mitigate the impact</w:t>
      </w:r>
    </w:p>
    <w:p w14:paraId="05DEE55B" w14:textId="77777777" w:rsidR="00357D01" w:rsidRPr="00FE3C9D" w:rsidRDefault="00980ACC" w:rsidP="00FE3C9D">
      <w:pPr>
        <w:pStyle w:val="BodyText"/>
        <w:numPr>
          <w:ilvl w:val="1"/>
          <w:numId w:val="17"/>
        </w:numPr>
        <w:rPr>
          <w:sz w:val="24"/>
          <w:szCs w:val="24"/>
        </w:rPr>
      </w:pPr>
      <w:r w:rsidRPr="00FE3C9D">
        <w:rPr>
          <w:sz w:val="24"/>
          <w:szCs w:val="24"/>
        </w:rPr>
        <w:t>High-level/general overview of a solution is helpful, to start</w:t>
      </w:r>
    </w:p>
    <w:p w14:paraId="53118BA8" w14:textId="77777777" w:rsidR="00357D01" w:rsidRPr="00FE3C9D" w:rsidRDefault="00980ACC" w:rsidP="00FE3C9D">
      <w:pPr>
        <w:pStyle w:val="BodyText"/>
        <w:numPr>
          <w:ilvl w:val="1"/>
          <w:numId w:val="17"/>
        </w:numPr>
        <w:rPr>
          <w:sz w:val="24"/>
          <w:szCs w:val="24"/>
        </w:rPr>
      </w:pPr>
      <w:r w:rsidRPr="00FE3C9D">
        <w:rPr>
          <w:sz w:val="24"/>
          <w:szCs w:val="24"/>
        </w:rPr>
        <w:t>Specific text proposals needed</w:t>
      </w:r>
    </w:p>
    <w:p w14:paraId="7C769139" w14:textId="65C7FB33" w:rsidR="002C1BD8" w:rsidRDefault="00931A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Want to solve issues, not so much as look for new items.</w:t>
      </w:r>
    </w:p>
    <w:p w14:paraId="690920D0" w14:textId="683C2B98" w:rsidR="002C1BD8" w:rsidRDefault="00931A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Q – 11bh follows </w:t>
      </w:r>
      <w:r w:rsidR="003E7E73">
        <w:rPr>
          <w:sz w:val="24"/>
          <w:szCs w:val="24"/>
        </w:rPr>
        <w:t>11</w:t>
      </w:r>
      <w:r>
        <w:rPr>
          <w:sz w:val="24"/>
          <w:szCs w:val="24"/>
        </w:rPr>
        <w:t xml:space="preserve">be where some architecture changes, any need to liaise with </w:t>
      </w:r>
      <w:r w:rsidR="003E7E73">
        <w:rPr>
          <w:sz w:val="24"/>
          <w:szCs w:val="24"/>
        </w:rPr>
        <w:t>11</w:t>
      </w:r>
      <w:r>
        <w:rPr>
          <w:sz w:val="24"/>
          <w:szCs w:val="24"/>
        </w:rPr>
        <w:t>be to track any MAC changes?</w:t>
      </w:r>
    </w:p>
    <w:p w14:paraId="403FFBC1" w14:textId="4D56DACA" w:rsidR="00931A0E" w:rsidRDefault="00931A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Need to co-ordinate with any other group which may be impacting MAC addressing.  We must not break anything.  Obviously anything new in 11be is dealt with in 11be.</w:t>
      </w:r>
    </w:p>
    <w:p w14:paraId="069C61C3" w14:textId="778399A4" w:rsidR="002C1BD8" w:rsidRDefault="00931A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11bh should be a quick fix. There are many places where the MAC address is “misused”, do not assume we can “fix” everything.  Let’s point at better ways of doing something.</w:t>
      </w:r>
    </w:p>
    <w:p w14:paraId="0EAA1FB8" w14:textId="3258397D" w:rsidR="00931A0E" w:rsidRDefault="00931A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Look at “behaviors” and not always layer 2 issues</w:t>
      </w:r>
      <w:r w:rsidR="006B3D3D">
        <w:rPr>
          <w:sz w:val="24"/>
          <w:szCs w:val="24"/>
        </w:rPr>
        <w:t xml:space="preserve"> and should be solved elsewhere.</w:t>
      </w:r>
    </w:p>
    <w:p w14:paraId="7DA2338B" w14:textId="67B45BDC" w:rsidR="006B3D3D" w:rsidRDefault="006B3D3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Privacy laws have to be adhered to.  Need to liaise, RCM does have the potential to change adversely.  Must not break anything.</w:t>
      </w:r>
    </w:p>
    <w:p w14:paraId="0D3507CD" w14:textId="116E02D9" w:rsidR="006B3D3D" w:rsidRDefault="006B3D3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Sequencing of amendment.  11bh </w:t>
      </w:r>
      <w:r w:rsidR="003E7E73">
        <w:rPr>
          <w:sz w:val="24"/>
          <w:szCs w:val="24"/>
        </w:rPr>
        <w:t xml:space="preserve">started after </w:t>
      </w:r>
      <w:r>
        <w:rPr>
          <w:sz w:val="24"/>
          <w:szCs w:val="24"/>
        </w:rPr>
        <w:t>11be, BUT 11bh can finish before 11be and can publish before 11be.</w:t>
      </w:r>
    </w:p>
    <w:p w14:paraId="6896BF7A" w14:textId="5EDEED96" w:rsidR="006B3D3D" w:rsidRDefault="006B3D3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It was envisaged that 11bh completes ‘quickly’ to get any amendments into the field.  </w:t>
      </w:r>
    </w:p>
    <w:p w14:paraId="294D7C05" w14:textId="101983EF" w:rsidR="006B3D3D" w:rsidRDefault="00AB1E5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Group needs to decide the direction.  </w:t>
      </w:r>
    </w:p>
    <w:p w14:paraId="3DE70FE9" w14:textId="72AB7F09" w:rsidR="00AB1E50" w:rsidRDefault="00AB1E5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Discussion on device changing address pre and post association.  </w:t>
      </w:r>
    </w:p>
    <w:p w14:paraId="383576A1" w14:textId="3877D2E9" w:rsidR="00A261B1" w:rsidRDefault="00A261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Pr="00A261B1">
        <w:rPr>
          <w:sz w:val="24"/>
          <w:szCs w:val="24"/>
        </w:rPr>
        <w:t>8</w:t>
      </w:r>
      <w:r>
        <w:rPr>
          <w:sz w:val="24"/>
          <w:szCs w:val="24"/>
        </w:rPr>
        <w:t>.1 Additional Explanatory Notes</w:t>
      </w:r>
      <w:r w:rsidRPr="00A261B1">
        <w:rPr>
          <w:sz w:val="24"/>
          <w:szCs w:val="24"/>
        </w:rPr>
        <w:t xml:space="preserve">: 5.2.b: The IEEE </w:t>
      </w:r>
      <w:proofErr w:type="spellStart"/>
      <w:r w:rsidRPr="00A261B1">
        <w:rPr>
          <w:sz w:val="24"/>
          <w:szCs w:val="24"/>
        </w:rPr>
        <w:t>Std</w:t>
      </w:r>
      <w:proofErr w:type="spellEnd"/>
      <w:r w:rsidRPr="00A261B1">
        <w:rPr>
          <w:sz w:val="24"/>
          <w:szCs w:val="24"/>
        </w:rPr>
        <w:t xml:space="preserve"> 802.11TM-2020 re</w:t>
      </w:r>
      <w:r>
        <w:rPr>
          <w:sz w:val="24"/>
          <w:szCs w:val="24"/>
        </w:rPr>
        <w:t xml:space="preserve">quirements regarding changing a </w:t>
      </w:r>
      <w:r w:rsidRPr="00A261B1">
        <w:rPr>
          <w:sz w:val="24"/>
          <w:szCs w:val="24"/>
        </w:rPr>
        <w:t>MAC address will be maintained. A non-AP STA MAC address shall not change during an ESS connection.</w:t>
      </w:r>
      <w:r>
        <w:rPr>
          <w:sz w:val="24"/>
          <w:szCs w:val="24"/>
        </w:rPr>
        <w:t>”</w:t>
      </w:r>
    </w:p>
    <w:p w14:paraId="1DF0E379" w14:textId="1F5FAF4B" w:rsidR="00AB1E50" w:rsidRDefault="00AB1E5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This does violate standard.  Hope we do not go down a path where the standard may be violated.</w:t>
      </w:r>
    </w:p>
    <w:p w14:paraId="0ED520E7" w14:textId="15BACBEC" w:rsidR="00AB1E50" w:rsidRDefault="00A261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Not aware of anyone doing this.  No need to spend time on it.</w:t>
      </w:r>
      <w:r w:rsidR="000A59D0">
        <w:rPr>
          <w:sz w:val="24"/>
          <w:szCs w:val="24"/>
        </w:rPr>
        <w:t xml:space="preserve"> Re-associate using a different MAC address is not allowed.</w:t>
      </w:r>
    </w:p>
    <w:p w14:paraId="51F67E5A" w14:textId="44700471" w:rsidR="00A261B1" w:rsidRDefault="000A59D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Have looked at MAC address </w:t>
      </w:r>
      <w:r w:rsidR="003E7E73">
        <w:rPr>
          <w:sz w:val="24"/>
          <w:szCs w:val="24"/>
        </w:rPr>
        <w:t xml:space="preserve">configuration </w:t>
      </w:r>
      <w:r>
        <w:rPr>
          <w:sz w:val="24"/>
          <w:szCs w:val="24"/>
        </w:rPr>
        <w:t>on devices, and do see a timeout.</w:t>
      </w:r>
    </w:p>
    <w:p w14:paraId="086BE0C2" w14:textId="18673314" w:rsidR="000A59D0" w:rsidRDefault="000A59D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Scope has been set, the PAR.  Corner cases were delegated to 11bi.  </w:t>
      </w:r>
      <w:r w:rsidR="003E7E73">
        <w:rPr>
          <w:sz w:val="24"/>
          <w:szCs w:val="24"/>
        </w:rPr>
        <w:t xml:space="preserve">11bh </w:t>
      </w:r>
      <w:r>
        <w:rPr>
          <w:sz w:val="24"/>
          <w:szCs w:val="24"/>
        </w:rPr>
        <w:t>should be concentrated and be on a fast track.</w:t>
      </w:r>
    </w:p>
    <w:p w14:paraId="06E777D4" w14:textId="5E2C7C6D" w:rsidR="000A59D0" w:rsidRDefault="00711E9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Explanatory notes are not part of the Scope.</w:t>
      </w:r>
    </w:p>
    <w:p w14:paraId="6BAE3F68" w14:textId="3D38FB5A" w:rsidR="00711E9F" w:rsidRDefault="00786C1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Have seen APs holding onto “old” MAC addresses.</w:t>
      </w:r>
    </w:p>
    <w:p w14:paraId="4E0F8B4E" w14:textId="078E9820" w:rsidR="00786C19" w:rsidRDefault="00786C1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lot of discussion on this subject.  </w:t>
      </w:r>
    </w:p>
    <w:p w14:paraId="0FAEB1B1" w14:textId="77777777" w:rsidR="00CB206C" w:rsidRDefault="00CB206C">
      <w:pPr>
        <w:pStyle w:val="BodyText"/>
        <w:rPr>
          <w:sz w:val="24"/>
          <w:szCs w:val="24"/>
        </w:rPr>
      </w:pPr>
    </w:p>
    <w:p w14:paraId="3A494DF7" w14:textId="77777777" w:rsidR="00CB206C" w:rsidRDefault="00CB206C">
      <w:pPr>
        <w:pStyle w:val="BodyText"/>
        <w:rPr>
          <w:sz w:val="24"/>
          <w:szCs w:val="24"/>
        </w:rPr>
      </w:pPr>
    </w:p>
    <w:p w14:paraId="2A99289C" w14:textId="7BF60CA3" w:rsidR="006B3D3D" w:rsidRPr="00CB206C" w:rsidRDefault="00CB206C">
      <w:pPr>
        <w:pStyle w:val="BodyText"/>
        <w:rPr>
          <w:b/>
          <w:sz w:val="24"/>
          <w:szCs w:val="24"/>
        </w:rPr>
      </w:pPr>
      <w:r w:rsidRPr="00CB206C">
        <w:rPr>
          <w:b/>
          <w:sz w:val="24"/>
          <w:szCs w:val="24"/>
        </w:rPr>
        <w:t xml:space="preserve">Chair referred to 21/0332.  Tracking Document”. </w:t>
      </w:r>
    </w:p>
    <w:p w14:paraId="294FC705" w14:textId="1AE6A14F" w:rsidR="00CB206C" w:rsidRDefault="00CB206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Terminology, Use Cases, Technical details “under the hood” (what got broken), proposed solutions.</w:t>
      </w:r>
    </w:p>
    <w:p w14:paraId="7B7B7946" w14:textId="45A48AAC" w:rsidR="002C1BD8" w:rsidRDefault="00CB206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Intended to help us stay in scope.</w:t>
      </w:r>
    </w:p>
    <w:p w14:paraId="5468B9C8" w14:textId="2613C6E4" w:rsidR="00CB206C" w:rsidRDefault="000F6C8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- </w:t>
      </w:r>
      <w:r w:rsidR="00B86095">
        <w:rPr>
          <w:sz w:val="24"/>
          <w:szCs w:val="24"/>
        </w:rPr>
        <w:t>Please look off line and bring comments.</w:t>
      </w:r>
    </w:p>
    <w:p w14:paraId="56BEEFEC" w14:textId="3F859EAE" w:rsidR="00B86095" w:rsidRDefault="00B86095">
      <w:pPr>
        <w:pStyle w:val="BodyText"/>
        <w:rPr>
          <w:sz w:val="24"/>
          <w:szCs w:val="24"/>
        </w:rPr>
      </w:pPr>
    </w:p>
    <w:p w14:paraId="0425559A" w14:textId="7D0309C7" w:rsidR="00B86095" w:rsidRPr="00B86095" w:rsidRDefault="00B86095">
      <w:pPr>
        <w:pStyle w:val="BodyText"/>
        <w:rPr>
          <w:b/>
          <w:sz w:val="24"/>
          <w:szCs w:val="24"/>
        </w:rPr>
      </w:pPr>
      <w:r w:rsidRPr="00B86095">
        <w:rPr>
          <w:b/>
          <w:sz w:val="24"/>
          <w:szCs w:val="24"/>
        </w:rPr>
        <w:t>Meeting Adjoined at 12.00 noon.</w:t>
      </w:r>
    </w:p>
    <w:p w14:paraId="1A3C54B5" w14:textId="0DF53D0F" w:rsidR="002C1BD8" w:rsidRPr="003055E6" w:rsidRDefault="002C1BD8">
      <w:pPr>
        <w:pStyle w:val="BodyText"/>
        <w:rPr>
          <w:sz w:val="24"/>
          <w:szCs w:val="24"/>
        </w:rPr>
      </w:pPr>
    </w:p>
    <w:p w14:paraId="1D54E69A" w14:textId="32DFF615" w:rsidR="009C677F" w:rsidRDefault="000C404D">
      <w:pPr>
        <w:rPr>
          <w:b/>
          <w:bCs/>
          <w:sz w:val="24"/>
          <w:szCs w:val="24"/>
          <w:lang w:val="en-US"/>
        </w:rPr>
      </w:pPr>
      <w:r w:rsidRPr="00016F30">
        <w:rPr>
          <w:b/>
          <w:bCs/>
          <w:sz w:val="24"/>
          <w:szCs w:val="24"/>
          <w:lang w:val="en-US"/>
        </w:rPr>
        <w:t>Attendance</w:t>
      </w:r>
      <w:r w:rsidR="00ED1A86" w:rsidRPr="00016F30">
        <w:rPr>
          <w:b/>
          <w:bCs/>
          <w:sz w:val="24"/>
          <w:szCs w:val="24"/>
          <w:lang w:val="en-US"/>
        </w:rPr>
        <w:t xml:space="preserve"> from IMAT</w:t>
      </w:r>
      <w:r w:rsidRPr="00016F30">
        <w:rPr>
          <w:b/>
          <w:bCs/>
          <w:sz w:val="24"/>
          <w:szCs w:val="24"/>
          <w:lang w:val="en-US"/>
        </w:rPr>
        <w:t>:</w:t>
      </w:r>
    </w:p>
    <w:tbl>
      <w:tblPr>
        <w:tblW w:w="10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3220"/>
        <w:gridCol w:w="5085"/>
      </w:tblGrid>
      <w:tr w:rsidR="00CA5D19" w:rsidRPr="00CA5D19" w14:paraId="0A72A6C9" w14:textId="77777777" w:rsidTr="00CA5D1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DF0EB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06B18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95E25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D96E4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CA5D19" w:rsidRPr="00CA5D19" w14:paraId="33B95196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52D88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0A34F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5CC90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Aboulmagd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995C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CA5D19" w:rsidRPr="00CA5D19" w14:paraId="23556CC8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BC85F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2DF66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FB55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6DD53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IEEE Member / Self Employed</w:t>
            </w:r>
          </w:p>
        </w:tc>
      </w:tr>
      <w:tr w:rsidR="00CA5D19" w:rsidRPr="00CA5D19" w14:paraId="167247DF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AEDE7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5881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1C326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Bahn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873E0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IEEE STAFF</w:t>
            </w:r>
          </w:p>
        </w:tc>
      </w:tr>
      <w:tr w:rsidR="00CA5D19" w:rsidRPr="00CA5D19" w14:paraId="55C85DE2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BF447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71F75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EB946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DeLaOlivaDelgado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Antonio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6903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CA5D19" w:rsidRPr="00CA5D19" w14:paraId="63D6E2E9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68C55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5B9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F967A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Goto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Fumihide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CBE23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DENSO</w:t>
            </w:r>
          </w:p>
        </w:tc>
      </w:tr>
      <w:tr w:rsidR="00CA5D19" w:rsidRPr="00CA5D19" w14:paraId="731B6BF6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BE634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B2ADD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82F2F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7022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Ruckus/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CommScope</w:t>
            </w:r>
            <w:proofErr w:type="spellEnd"/>
          </w:p>
        </w:tc>
      </w:tr>
      <w:tr w:rsidR="00CA5D19" w:rsidRPr="00CA5D19" w14:paraId="48EB3D8E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9A09E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CF19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CDC1B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Harkins,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4D279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Hewlett Packard Enterprise (Aruba Networks)</w:t>
            </w:r>
          </w:p>
        </w:tc>
      </w:tr>
      <w:tr w:rsidR="00CA5D19" w:rsidRPr="00CA5D19" w14:paraId="472A62E6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54303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87612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8248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Henry, Jerome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0D3CE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CA5D19" w:rsidRPr="00CA5D19" w14:paraId="7B9CD123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0DBF5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32E0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8BAB2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F32C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Intel Corporation</w:t>
            </w:r>
          </w:p>
        </w:tc>
      </w:tr>
      <w:tr w:rsidR="00CA5D19" w:rsidRPr="00CA5D19" w14:paraId="553372CC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036C8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2754A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8188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Kain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81CB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USDoT</w:t>
            </w:r>
            <w:proofErr w:type="spellEnd"/>
          </w:p>
        </w:tc>
      </w:tr>
      <w:tr w:rsidR="00CA5D19" w:rsidRPr="00CA5D19" w14:paraId="6B5A4E67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EAEE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C78BD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0C10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Kandala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FA1F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SAMSUNG</w:t>
            </w:r>
          </w:p>
        </w:tc>
      </w:tr>
      <w:tr w:rsidR="00CA5D19" w:rsidRPr="00CA5D19" w14:paraId="28DDD226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A8C7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D8860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5998E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Kang,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9C6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Apple, Inc.</w:t>
            </w:r>
          </w:p>
        </w:tc>
      </w:tr>
      <w:tr w:rsidR="00CA5D19" w:rsidRPr="00CA5D19" w14:paraId="247DF35F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B965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C3D5F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B2BA4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Kneckt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Jarkko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63362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Apple, Inc.</w:t>
            </w:r>
          </w:p>
        </w:tc>
      </w:tr>
      <w:tr w:rsidR="00CA5D19" w:rsidRPr="00CA5D19" w14:paraId="5CF4C1EB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E42E8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96504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54722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Lu,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6C6C7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Guangdong OPPO Mobile Telecommunications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Corp.,Ltd</w:t>
            </w:r>
            <w:proofErr w:type="spellEnd"/>
          </w:p>
        </w:tc>
      </w:tr>
      <w:tr w:rsidR="00CA5D19" w:rsidRPr="00CA5D19" w14:paraId="2B7A148A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0378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0F4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BFDB8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Lumbatis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Kurt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12BCC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CommScope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CA5D19" w:rsidRPr="00CA5D19" w14:paraId="14ADFFFF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2CD66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E7EAD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E644E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Malinen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Jouni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AB351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CA5D19" w:rsidRPr="00CA5D19" w14:paraId="590AFDCA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29DBE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A8680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6955F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Marks, Roger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322F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EthAirNet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Associates</w:t>
            </w:r>
          </w:p>
        </w:tc>
      </w:tr>
      <w:tr w:rsidR="00CA5D19" w:rsidRPr="00CA5D19" w14:paraId="17ABBB6B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7263C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2808C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A4FE7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830F9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Ericsson AB</w:t>
            </w:r>
          </w:p>
        </w:tc>
      </w:tr>
      <w:tr w:rsidR="00CA5D19" w:rsidRPr="00CA5D19" w14:paraId="78C12202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1AE1F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A239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18B5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B3D6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CA5D19" w:rsidRPr="00CA5D19" w14:paraId="188FB4EE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9DF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D9BA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A90BC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Morioka, Hitoshi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F3FCF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Koden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Techno Info K.K.</w:t>
            </w:r>
          </w:p>
        </w:tc>
      </w:tr>
      <w:tr w:rsidR="00CA5D19" w:rsidRPr="00CA5D19" w14:paraId="1BD633A3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CC1EF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8E5DC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70250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0854A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Infineon Technologies</w:t>
            </w:r>
          </w:p>
        </w:tc>
      </w:tr>
      <w:tr w:rsidR="00CA5D19" w:rsidRPr="00CA5D19" w14:paraId="749F86DC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C032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4F8B0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2618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33C5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Samsung Research America</w:t>
            </w:r>
          </w:p>
        </w:tc>
      </w:tr>
      <w:tr w:rsidR="00CA5D19" w:rsidRPr="00CA5D19" w14:paraId="2655CDC4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5A647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AB1E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4FA7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18485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CA5D19" w:rsidRPr="00CA5D19" w14:paraId="51F7F10C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9DD0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0497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EC809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CB711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CA5D19" w:rsidRPr="00CA5D19" w14:paraId="434A23C3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74C73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CB19E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6CC11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Rosdahl,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FA7E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Qualcomm Technologies, Inc.</w:t>
            </w:r>
          </w:p>
        </w:tc>
      </w:tr>
      <w:tr w:rsidR="00CA5D19" w:rsidRPr="00CA5D19" w14:paraId="49980BB3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C290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D62B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310E1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Shafin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B58B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Samsung Research America</w:t>
            </w:r>
          </w:p>
        </w:tc>
      </w:tr>
      <w:tr w:rsidR="00CA5D19" w:rsidRPr="00CA5D19" w14:paraId="6CCB3D78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59EFA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0CB9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E3EFB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32410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CA5D19" w:rsidRPr="00CA5D19" w14:paraId="79E44EB5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259F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1683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E5996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F9998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Intel Corporation</w:t>
            </w:r>
          </w:p>
        </w:tc>
      </w:tr>
      <w:tr w:rsidR="00CA5D19" w:rsidRPr="00CA5D19" w14:paraId="693F5150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C6493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B27C1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F47A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FAC3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Hewlett Packard Enterprise</w:t>
            </w:r>
          </w:p>
        </w:tc>
      </w:tr>
      <w:tr w:rsidR="00CA5D19" w:rsidRPr="00CA5D19" w14:paraId="00EA27ED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5566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BF86D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66DA7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Torab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Jahromi</w:t>
            </w:r>
            <w:proofErr w:type="spellEnd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Payam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9637B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Facebook</w:t>
            </w:r>
          </w:p>
        </w:tc>
      </w:tr>
      <w:tr w:rsidR="00CA5D19" w:rsidRPr="00CA5D19" w14:paraId="7958C6AE" w14:textId="77777777" w:rsidTr="00CA5D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A5217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C0F87" w14:textId="77777777" w:rsidR="00CA5D19" w:rsidRPr="00CA5D19" w:rsidRDefault="00CA5D19" w:rsidP="00CA5D1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C84D8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500D" w14:textId="77777777" w:rsidR="00CA5D19" w:rsidRPr="00CA5D19" w:rsidRDefault="00CA5D19" w:rsidP="00CA5D19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5D19">
              <w:rPr>
                <w:rFonts w:ascii="Calibri" w:hAnsi="Calibri" w:cs="Calibri"/>
                <w:color w:val="000000"/>
                <w:szCs w:val="22"/>
                <w:lang w:val="en-US"/>
              </w:rPr>
              <w:t>NSA-CSD</w:t>
            </w:r>
          </w:p>
        </w:tc>
      </w:tr>
    </w:tbl>
    <w:p w14:paraId="54F05D9E" w14:textId="77777777" w:rsidR="00CA5D19" w:rsidRPr="00016F30" w:rsidRDefault="00CA5D19">
      <w:pPr>
        <w:rPr>
          <w:b/>
          <w:bCs/>
          <w:sz w:val="24"/>
          <w:szCs w:val="24"/>
          <w:lang w:val="en-US"/>
        </w:rPr>
      </w:pPr>
    </w:p>
    <w:sectPr w:rsidR="00CA5D19" w:rsidRPr="00016F30" w:rsidSect="00FA0A6C">
      <w:headerReference w:type="default" r:id="rId14"/>
      <w:footerReference w:type="default" r:id="rId15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550E" w16cex:dateUtc="2021-03-01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148E7" w16cid:durableId="23E7550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CC22" w14:textId="77777777" w:rsidR="008319CF" w:rsidRDefault="008319CF">
      <w:r>
        <w:separator/>
      </w:r>
    </w:p>
  </w:endnote>
  <w:endnote w:type="continuationSeparator" w:id="0">
    <w:p w14:paraId="6B9BF3B8" w14:textId="77777777" w:rsidR="008319CF" w:rsidRDefault="008319CF">
      <w:r>
        <w:continuationSeparator/>
      </w:r>
    </w:p>
  </w:endnote>
  <w:endnote w:type="continuationNotice" w:id="1">
    <w:p w14:paraId="67F5F874" w14:textId="77777777" w:rsidR="008319CF" w:rsidRDefault="00831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0D263E58" w:rsidR="00FA0A6C" w:rsidRDefault="00FA0A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6C1E39">
      <w:rPr>
        <w:noProof/>
      </w:rPr>
      <w:t>5</w:t>
    </w:r>
    <w:r>
      <w:fldChar w:fldCharType="end"/>
    </w:r>
    <w:r>
      <w:tab/>
      <w:t>Graham Smith (SR Technologies)</w:t>
    </w:r>
  </w:p>
  <w:p w14:paraId="6818C9BD" w14:textId="77777777" w:rsidR="00FA0A6C" w:rsidRDefault="00FA0A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91C8A" w14:textId="77777777" w:rsidR="008319CF" w:rsidRDefault="008319CF">
      <w:r>
        <w:separator/>
      </w:r>
    </w:p>
  </w:footnote>
  <w:footnote w:type="continuationSeparator" w:id="0">
    <w:p w14:paraId="3AB2A88E" w14:textId="77777777" w:rsidR="008319CF" w:rsidRDefault="008319CF">
      <w:r>
        <w:continuationSeparator/>
      </w:r>
    </w:p>
  </w:footnote>
  <w:footnote w:type="continuationNotice" w:id="1">
    <w:p w14:paraId="5C3E2631" w14:textId="77777777" w:rsidR="008319CF" w:rsidRDefault="008319C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2A9F2DAA" w:rsidR="00FA0A6C" w:rsidRDefault="00116755">
    <w:pPr>
      <w:pStyle w:val="Header"/>
      <w:tabs>
        <w:tab w:val="clear" w:pos="6480"/>
        <w:tab w:val="center" w:pos="4680"/>
        <w:tab w:val="right" w:pos="9360"/>
      </w:tabs>
    </w:pPr>
    <w:r>
      <w:t>March 1, 2021</w:t>
    </w:r>
    <w:r w:rsidR="00FA0A6C">
      <w:ptab w:relativeTo="margin" w:alignment="right" w:leader="none"/>
    </w:r>
    <w:r w:rsidR="00FA0A6C">
      <w:t>doc.: IEEE 802.11-2</w:t>
    </w:r>
    <w:r>
      <w:t>1</w:t>
    </w:r>
    <w:r w:rsidR="00FA0A6C">
      <w:t>/</w:t>
    </w:r>
    <w:r w:rsidR="006C1E39">
      <w:t>0355</w:t>
    </w:r>
    <w:r w:rsidR="00DD45B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88E"/>
    <w:multiLevelType w:val="hybridMultilevel"/>
    <w:tmpl w:val="D25A4A84"/>
    <w:lvl w:ilvl="0" w:tplc="2E40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ABF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FED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2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2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B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8A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40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D5BC1"/>
    <w:multiLevelType w:val="hybridMultilevel"/>
    <w:tmpl w:val="8454F450"/>
    <w:lvl w:ilvl="0" w:tplc="2AAE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60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03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A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4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A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4C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E9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C728E"/>
    <w:multiLevelType w:val="hybridMultilevel"/>
    <w:tmpl w:val="5D08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7359"/>
    <w:multiLevelType w:val="hybridMultilevel"/>
    <w:tmpl w:val="412492E0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EC7C7C"/>
    <w:multiLevelType w:val="multilevel"/>
    <w:tmpl w:val="EDC2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B281B"/>
    <w:multiLevelType w:val="hybridMultilevel"/>
    <w:tmpl w:val="9C4A6028"/>
    <w:lvl w:ilvl="0" w:tplc="51A8EC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42F3AE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81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C27B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461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4897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640D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7839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CE3B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33F69C1"/>
    <w:multiLevelType w:val="multilevel"/>
    <w:tmpl w:val="B76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5B4D"/>
    <w:multiLevelType w:val="hybridMultilevel"/>
    <w:tmpl w:val="E604E874"/>
    <w:lvl w:ilvl="0" w:tplc="5FF47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76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65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0B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0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42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0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4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C24AA9"/>
    <w:multiLevelType w:val="hybridMultilevel"/>
    <w:tmpl w:val="FE76AFEA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B98"/>
    <w:multiLevelType w:val="hybridMultilevel"/>
    <w:tmpl w:val="F312B1F4"/>
    <w:lvl w:ilvl="0" w:tplc="829AD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64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04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46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634789"/>
    <w:multiLevelType w:val="hybridMultilevel"/>
    <w:tmpl w:val="119CE1BC"/>
    <w:lvl w:ilvl="0" w:tplc="CE66C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2B30"/>
    <w:multiLevelType w:val="multilevel"/>
    <w:tmpl w:val="FC66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F61B4"/>
    <w:multiLevelType w:val="hybridMultilevel"/>
    <w:tmpl w:val="0C78D990"/>
    <w:lvl w:ilvl="0" w:tplc="2BC2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6C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63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63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45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EE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E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3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EE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612FE"/>
    <w:multiLevelType w:val="hybridMultilevel"/>
    <w:tmpl w:val="B12EE6AE"/>
    <w:lvl w:ilvl="0" w:tplc="2B8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3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A6FE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87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A72AAF"/>
    <w:multiLevelType w:val="hybridMultilevel"/>
    <w:tmpl w:val="8CC62458"/>
    <w:lvl w:ilvl="0" w:tplc="B8B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E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9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C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2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7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A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A630C5"/>
    <w:multiLevelType w:val="hybridMultilevel"/>
    <w:tmpl w:val="82543A86"/>
    <w:lvl w:ilvl="0" w:tplc="8516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A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C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8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A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0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8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3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16F30"/>
    <w:rsid w:val="000575EA"/>
    <w:rsid w:val="0006724E"/>
    <w:rsid w:val="000809E1"/>
    <w:rsid w:val="000A59D0"/>
    <w:rsid w:val="000C404D"/>
    <w:rsid w:val="000D6703"/>
    <w:rsid w:val="000F6C86"/>
    <w:rsid w:val="001055DE"/>
    <w:rsid w:val="00110050"/>
    <w:rsid w:val="00116755"/>
    <w:rsid w:val="00122AF9"/>
    <w:rsid w:val="0013120D"/>
    <w:rsid w:val="00155F53"/>
    <w:rsid w:val="00161C01"/>
    <w:rsid w:val="00165189"/>
    <w:rsid w:val="00177E7C"/>
    <w:rsid w:val="001837E9"/>
    <w:rsid w:val="00194D07"/>
    <w:rsid w:val="001F4BAE"/>
    <w:rsid w:val="00211FE9"/>
    <w:rsid w:val="002479F4"/>
    <w:rsid w:val="00287AD1"/>
    <w:rsid w:val="00293098"/>
    <w:rsid w:val="0029771A"/>
    <w:rsid w:val="002B6D7C"/>
    <w:rsid w:val="002C1BD8"/>
    <w:rsid w:val="002E1558"/>
    <w:rsid w:val="002F0216"/>
    <w:rsid w:val="003037E5"/>
    <w:rsid w:val="00304CC9"/>
    <w:rsid w:val="003055E6"/>
    <w:rsid w:val="003136BC"/>
    <w:rsid w:val="00317DED"/>
    <w:rsid w:val="00330EF7"/>
    <w:rsid w:val="00332F4C"/>
    <w:rsid w:val="0034226C"/>
    <w:rsid w:val="00345E5A"/>
    <w:rsid w:val="00357D01"/>
    <w:rsid w:val="0037186D"/>
    <w:rsid w:val="003937B3"/>
    <w:rsid w:val="003960BD"/>
    <w:rsid w:val="003A3E46"/>
    <w:rsid w:val="003A7A67"/>
    <w:rsid w:val="003C502A"/>
    <w:rsid w:val="003E2806"/>
    <w:rsid w:val="003E7E73"/>
    <w:rsid w:val="00422E60"/>
    <w:rsid w:val="00443920"/>
    <w:rsid w:val="00451C19"/>
    <w:rsid w:val="00461E78"/>
    <w:rsid w:val="00473004"/>
    <w:rsid w:val="004927EB"/>
    <w:rsid w:val="004A3E41"/>
    <w:rsid w:val="004C5738"/>
    <w:rsid w:val="004D4C20"/>
    <w:rsid w:val="004E39A4"/>
    <w:rsid w:val="004F0F79"/>
    <w:rsid w:val="004F1858"/>
    <w:rsid w:val="0051240D"/>
    <w:rsid w:val="00541CB1"/>
    <w:rsid w:val="005517D1"/>
    <w:rsid w:val="00592DC1"/>
    <w:rsid w:val="005B05A1"/>
    <w:rsid w:val="005C2F78"/>
    <w:rsid w:val="005D5A37"/>
    <w:rsid w:val="005E20F0"/>
    <w:rsid w:val="005E5804"/>
    <w:rsid w:val="00621235"/>
    <w:rsid w:val="0062237D"/>
    <w:rsid w:val="00651650"/>
    <w:rsid w:val="00661F19"/>
    <w:rsid w:val="0068752A"/>
    <w:rsid w:val="006A1400"/>
    <w:rsid w:val="006B3D3D"/>
    <w:rsid w:val="006C1E39"/>
    <w:rsid w:val="00711E9F"/>
    <w:rsid w:val="00716142"/>
    <w:rsid w:val="00755AFB"/>
    <w:rsid w:val="00786C19"/>
    <w:rsid w:val="007B07D5"/>
    <w:rsid w:val="007B36E2"/>
    <w:rsid w:val="007B7121"/>
    <w:rsid w:val="007E41B6"/>
    <w:rsid w:val="007F5693"/>
    <w:rsid w:val="00804A15"/>
    <w:rsid w:val="00822225"/>
    <w:rsid w:val="008319CF"/>
    <w:rsid w:val="00857423"/>
    <w:rsid w:val="00887289"/>
    <w:rsid w:val="00893B21"/>
    <w:rsid w:val="00897DEB"/>
    <w:rsid w:val="008C2A57"/>
    <w:rsid w:val="008D0F44"/>
    <w:rsid w:val="00905201"/>
    <w:rsid w:val="00931A0E"/>
    <w:rsid w:val="009367B6"/>
    <w:rsid w:val="00941FC8"/>
    <w:rsid w:val="00954506"/>
    <w:rsid w:val="00956941"/>
    <w:rsid w:val="00980ACC"/>
    <w:rsid w:val="009878E7"/>
    <w:rsid w:val="009B6539"/>
    <w:rsid w:val="009C677F"/>
    <w:rsid w:val="009F5A3E"/>
    <w:rsid w:val="009F67AF"/>
    <w:rsid w:val="00A07253"/>
    <w:rsid w:val="00A13782"/>
    <w:rsid w:val="00A261B1"/>
    <w:rsid w:val="00A303BE"/>
    <w:rsid w:val="00A311C0"/>
    <w:rsid w:val="00A42027"/>
    <w:rsid w:val="00A90E48"/>
    <w:rsid w:val="00AB1E50"/>
    <w:rsid w:val="00AD5E80"/>
    <w:rsid w:val="00AE1782"/>
    <w:rsid w:val="00B634E9"/>
    <w:rsid w:val="00B73C3A"/>
    <w:rsid w:val="00B83BE6"/>
    <w:rsid w:val="00B86095"/>
    <w:rsid w:val="00BD2163"/>
    <w:rsid w:val="00C06C39"/>
    <w:rsid w:val="00C12941"/>
    <w:rsid w:val="00C204D3"/>
    <w:rsid w:val="00C33218"/>
    <w:rsid w:val="00C33F24"/>
    <w:rsid w:val="00C354A1"/>
    <w:rsid w:val="00C56BCE"/>
    <w:rsid w:val="00C71963"/>
    <w:rsid w:val="00C8028D"/>
    <w:rsid w:val="00C85CBD"/>
    <w:rsid w:val="00CA5D19"/>
    <w:rsid w:val="00CB206C"/>
    <w:rsid w:val="00CB4D2C"/>
    <w:rsid w:val="00CB6F94"/>
    <w:rsid w:val="00CB7B7D"/>
    <w:rsid w:val="00CD07F2"/>
    <w:rsid w:val="00CE0224"/>
    <w:rsid w:val="00CE19D1"/>
    <w:rsid w:val="00CF3248"/>
    <w:rsid w:val="00D04A21"/>
    <w:rsid w:val="00D11B96"/>
    <w:rsid w:val="00D51577"/>
    <w:rsid w:val="00D65BA1"/>
    <w:rsid w:val="00D71F1F"/>
    <w:rsid w:val="00DA7C62"/>
    <w:rsid w:val="00DD45BF"/>
    <w:rsid w:val="00E06632"/>
    <w:rsid w:val="00E31CBA"/>
    <w:rsid w:val="00E527C2"/>
    <w:rsid w:val="00E64E02"/>
    <w:rsid w:val="00E874E9"/>
    <w:rsid w:val="00EA0C03"/>
    <w:rsid w:val="00EC4A10"/>
    <w:rsid w:val="00ED1A86"/>
    <w:rsid w:val="00EE2D73"/>
    <w:rsid w:val="00EE664D"/>
    <w:rsid w:val="00EF4CD2"/>
    <w:rsid w:val="00F06CB8"/>
    <w:rsid w:val="00F85F20"/>
    <w:rsid w:val="00FA0A6C"/>
    <w:rsid w:val="00FD1C78"/>
    <w:rsid w:val="00FD6D81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ment.standards.ieee.org/myproject-web/public/view.htm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117-05-0rcm-rcm-sg-proposed-rcm-csd-draft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795-01-0rcm-updated-bh-par-for-review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C20C2-E33F-4CEC-8384-9E55C066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Graham Smith</cp:lastModifiedBy>
  <cp:revision>7</cp:revision>
  <cp:lastPrinted>1900-01-01T07:00:00Z</cp:lastPrinted>
  <dcterms:created xsi:type="dcterms:W3CDTF">2021-03-01T19:17:00Z</dcterms:created>
  <dcterms:modified xsi:type="dcterms:W3CDTF">2021-03-02T14:41:00Z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