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80640A"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 xml:space="preserve">ML </w:t>
            </w:r>
            <w:r w:rsidR="002F14AB">
              <w:t>retransmission</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76049" w14:paraId="4BFB1577" w14:textId="77777777" w:rsidTr="00243052">
        <w:trPr>
          <w:jc w:val="center"/>
        </w:trPr>
        <w:tc>
          <w:tcPr>
            <w:tcW w:w="1615" w:type="dxa"/>
            <w:vAlign w:val="center"/>
          </w:tcPr>
          <w:p w14:paraId="3E62A14A" w14:textId="48562720"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3FFB6316" w:rsidR="005B7ADB" w:rsidRDefault="005B7ADB" w:rsidP="00744854">
                            <w:pPr>
                              <w:pStyle w:val="ListParagraph"/>
                              <w:numPr>
                                <w:ilvl w:val="0"/>
                                <w:numId w:val="3"/>
                              </w:numPr>
                              <w:contextualSpacing w:val="0"/>
                              <w:rPr>
                                <w:lang w:eastAsia="ko-KR"/>
                              </w:rPr>
                            </w:pPr>
                            <w:r>
                              <w:rPr>
                                <w:rFonts w:hint="eastAsia"/>
                                <w:lang w:eastAsia="ko-KR"/>
                              </w:rPr>
                              <w:t xml:space="preserve">CIDs: </w:t>
                            </w:r>
                            <w:r w:rsidR="002F14AB">
                              <w:rPr>
                                <w:lang w:eastAsia="ko-KR"/>
                              </w:rPr>
                              <w:t xml:space="preserve">1064, </w:t>
                            </w:r>
                            <w:r w:rsidR="00F50238">
                              <w:rPr>
                                <w:lang w:eastAsia="ko-KR"/>
                              </w:rPr>
                              <w:t xml:space="preserve">1687, </w:t>
                            </w:r>
                            <w:r w:rsidR="002F14AB">
                              <w:rPr>
                                <w:lang w:eastAsia="ko-KR"/>
                              </w:rPr>
                              <w:t>2503, 2598, 2714, 3338, 3381</w:t>
                            </w:r>
                            <w:r w:rsidR="00F50238">
                              <w:rPr>
                                <w:lang w:eastAsia="ko-KR"/>
                              </w:rPr>
                              <w:t>, 3382</w:t>
                            </w:r>
                            <w:r w:rsidR="002F14AB" w:rsidRPr="002F14AB">
                              <w:rPr>
                                <w:rFonts w:eastAsia="SimSun"/>
                                <w:lang w:eastAsia="ko-KR"/>
                              </w:rPr>
                              <w:t xml:space="preserve"> </w:t>
                            </w:r>
                            <w:r w:rsidR="006B5313" w:rsidRPr="002F14AB">
                              <w:rPr>
                                <w:rFonts w:eastAsia="SimSun"/>
                                <w:lang w:eastAsia="zh-CN"/>
                              </w:rPr>
                              <w:t>(</w:t>
                            </w:r>
                            <w:r w:rsidR="00F50238">
                              <w:rPr>
                                <w:rFonts w:eastAsia="SimSun"/>
                                <w:lang w:eastAsia="zh-CN"/>
                              </w:rPr>
                              <w:t>8</w:t>
                            </w:r>
                            <w:r w:rsidR="003F4509">
                              <w:rPr>
                                <w:rFonts w:eastAsia="SimSun"/>
                                <w:lang w:eastAsia="zh-CN"/>
                              </w:rPr>
                              <w:t xml:space="preserve"> </w:t>
                            </w:r>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3FFB6316" w:rsidR="005B7ADB" w:rsidRDefault="005B7ADB" w:rsidP="00744854">
                      <w:pPr>
                        <w:pStyle w:val="ListParagraph"/>
                        <w:numPr>
                          <w:ilvl w:val="0"/>
                          <w:numId w:val="3"/>
                        </w:numPr>
                        <w:contextualSpacing w:val="0"/>
                        <w:rPr>
                          <w:lang w:eastAsia="ko-KR"/>
                        </w:rPr>
                      </w:pPr>
                      <w:r>
                        <w:rPr>
                          <w:rFonts w:hint="eastAsia"/>
                          <w:lang w:eastAsia="ko-KR"/>
                        </w:rPr>
                        <w:t xml:space="preserve">CIDs: </w:t>
                      </w:r>
                      <w:r w:rsidR="002F14AB">
                        <w:rPr>
                          <w:lang w:eastAsia="ko-KR"/>
                        </w:rPr>
                        <w:t xml:space="preserve">1064, </w:t>
                      </w:r>
                      <w:r w:rsidR="00F50238">
                        <w:rPr>
                          <w:lang w:eastAsia="ko-KR"/>
                        </w:rPr>
                        <w:t xml:space="preserve">1687, </w:t>
                      </w:r>
                      <w:r w:rsidR="002F14AB">
                        <w:rPr>
                          <w:lang w:eastAsia="ko-KR"/>
                        </w:rPr>
                        <w:t>2503, 2598, 2714, 3338, 3381</w:t>
                      </w:r>
                      <w:r w:rsidR="00F50238">
                        <w:rPr>
                          <w:lang w:eastAsia="ko-KR"/>
                        </w:rPr>
                        <w:t>, 3382</w:t>
                      </w:r>
                      <w:r w:rsidR="002F14AB" w:rsidRPr="002F14AB">
                        <w:rPr>
                          <w:rFonts w:eastAsia="SimSun"/>
                          <w:lang w:eastAsia="ko-KR"/>
                        </w:rPr>
                        <w:t xml:space="preserve"> </w:t>
                      </w:r>
                      <w:r w:rsidR="006B5313" w:rsidRPr="002F14AB">
                        <w:rPr>
                          <w:rFonts w:eastAsia="SimSun"/>
                          <w:lang w:eastAsia="zh-CN"/>
                        </w:rPr>
                        <w:t>(</w:t>
                      </w:r>
                      <w:r w:rsidR="00F50238">
                        <w:rPr>
                          <w:rFonts w:eastAsia="SimSun"/>
                          <w:lang w:eastAsia="zh-CN"/>
                        </w:rPr>
                        <w:t>8</w:t>
                      </w:r>
                      <w:r w:rsidR="003F4509">
                        <w:rPr>
                          <w:rFonts w:eastAsia="SimSun"/>
                          <w:lang w:eastAsia="zh-CN"/>
                        </w:rPr>
                        <w:t xml:space="preserve"> </w:t>
                      </w:r>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0" w:name="_Hlk65516199"/>
            <w:bookmarkStart w:id="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2A0593" w:rsidRPr="00966382" w14:paraId="59762130" w14:textId="77777777" w:rsidTr="00776049">
        <w:trPr>
          <w:trHeight w:val="243"/>
        </w:trPr>
        <w:tc>
          <w:tcPr>
            <w:tcW w:w="709" w:type="dxa"/>
          </w:tcPr>
          <w:p w14:paraId="0BCC3194" w14:textId="4018BFFD" w:rsidR="002A0593" w:rsidRPr="004E675E" w:rsidRDefault="002A0593" w:rsidP="002A0593">
            <w:pPr>
              <w:jc w:val="right"/>
              <w:rPr>
                <w:rFonts w:ascii="Arial" w:hAnsi="Arial" w:cs="Arial"/>
                <w:sz w:val="20"/>
                <w:szCs w:val="20"/>
                <w:lang w:val="en-SG"/>
              </w:rPr>
            </w:pPr>
            <w:r w:rsidRPr="004E675E">
              <w:rPr>
                <w:rFonts w:ascii="Arial" w:hAnsi="Arial" w:cs="Arial"/>
                <w:sz w:val="20"/>
                <w:szCs w:val="20"/>
              </w:rPr>
              <w:t>1064</w:t>
            </w:r>
          </w:p>
        </w:tc>
        <w:tc>
          <w:tcPr>
            <w:tcW w:w="1276" w:type="dxa"/>
          </w:tcPr>
          <w:p w14:paraId="3396AC25" w14:textId="108A11B3" w:rsidR="002A0593" w:rsidRPr="004E675E" w:rsidRDefault="002A0593" w:rsidP="002A0593">
            <w:pPr>
              <w:jc w:val="left"/>
              <w:rPr>
                <w:rFonts w:ascii="Arial" w:hAnsi="Arial" w:cs="Arial"/>
                <w:sz w:val="20"/>
                <w:szCs w:val="20"/>
              </w:rPr>
            </w:pPr>
            <w:r w:rsidRPr="004E675E">
              <w:rPr>
                <w:rFonts w:ascii="Arial" w:hAnsi="Arial" w:cs="Arial"/>
                <w:sz w:val="20"/>
                <w:szCs w:val="20"/>
              </w:rPr>
              <w:t>Abhishek Patil</w:t>
            </w:r>
          </w:p>
        </w:tc>
        <w:tc>
          <w:tcPr>
            <w:tcW w:w="922" w:type="dxa"/>
          </w:tcPr>
          <w:p w14:paraId="3656D5D1" w14:textId="1BD5A9C4" w:rsidR="002A0593" w:rsidRPr="004E675E" w:rsidRDefault="002A0593" w:rsidP="002A0593">
            <w:pPr>
              <w:rPr>
                <w:rFonts w:ascii="Arial" w:hAnsi="Arial" w:cs="Arial"/>
                <w:sz w:val="20"/>
                <w:szCs w:val="20"/>
              </w:rPr>
            </w:pPr>
            <w:r w:rsidRPr="004E675E">
              <w:rPr>
                <w:rFonts w:ascii="Arial" w:hAnsi="Arial" w:cs="Arial"/>
                <w:sz w:val="20"/>
                <w:szCs w:val="20"/>
              </w:rPr>
              <w:t>35.3.6.3</w:t>
            </w:r>
          </w:p>
        </w:tc>
        <w:tc>
          <w:tcPr>
            <w:tcW w:w="720" w:type="dxa"/>
          </w:tcPr>
          <w:p w14:paraId="3C558C9E" w14:textId="6EDE7E58" w:rsidR="002A0593" w:rsidRPr="004E675E" w:rsidRDefault="002A0593" w:rsidP="002A0593">
            <w:pPr>
              <w:rPr>
                <w:rFonts w:ascii="Arial" w:hAnsi="Arial" w:cs="Arial"/>
                <w:sz w:val="20"/>
                <w:szCs w:val="20"/>
              </w:rPr>
            </w:pPr>
            <w:r w:rsidRPr="004E675E">
              <w:rPr>
                <w:rFonts w:ascii="Arial" w:hAnsi="Arial" w:cs="Arial"/>
                <w:sz w:val="20"/>
                <w:szCs w:val="20"/>
              </w:rPr>
              <w:t>135</w:t>
            </w:r>
          </w:p>
        </w:tc>
        <w:tc>
          <w:tcPr>
            <w:tcW w:w="768" w:type="dxa"/>
          </w:tcPr>
          <w:p w14:paraId="39004D22" w14:textId="68A1F45F" w:rsidR="002A0593" w:rsidRPr="004E675E" w:rsidRDefault="002A0593" w:rsidP="002A0593">
            <w:pPr>
              <w:rPr>
                <w:rFonts w:ascii="Arial" w:hAnsi="Arial" w:cs="Arial"/>
                <w:sz w:val="20"/>
                <w:szCs w:val="20"/>
              </w:rPr>
            </w:pPr>
            <w:r w:rsidRPr="004E675E">
              <w:rPr>
                <w:rFonts w:ascii="Arial" w:hAnsi="Arial" w:cs="Arial"/>
                <w:sz w:val="20"/>
                <w:szCs w:val="20"/>
              </w:rPr>
              <w:t>6</w:t>
            </w:r>
          </w:p>
        </w:tc>
        <w:tc>
          <w:tcPr>
            <w:tcW w:w="1662" w:type="dxa"/>
          </w:tcPr>
          <w:p w14:paraId="5B9BF2FB" w14:textId="295688DF" w:rsidR="002A0593" w:rsidRPr="004E675E" w:rsidRDefault="002A0593" w:rsidP="002A0593">
            <w:pPr>
              <w:rPr>
                <w:rFonts w:ascii="Arial" w:hAnsi="Arial" w:cs="Arial"/>
                <w:sz w:val="20"/>
                <w:szCs w:val="20"/>
              </w:rPr>
            </w:pPr>
            <w:r w:rsidRPr="004E675E">
              <w:rPr>
                <w:rFonts w:ascii="Arial" w:hAnsi="Arial" w:cs="Arial"/>
                <w:sz w:val="20"/>
                <w:szCs w:val="20"/>
              </w:rPr>
              <w:t xml:space="preserve">Subclause on retransmission procedure is a misfit under Link </w:t>
            </w:r>
            <w:proofErr w:type="spellStart"/>
            <w:r w:rsidRPr="004E675E">
              <w:rPr>
                <w:rFonts w:ascii="Arial" w:hAnsi="Arial" w:cs="Arial"/>
                <w:sz w:val="20"/>
                <w:szCs w:val="20"/>
              </w:rPr>
              <w:t>Mgmt</w:t>
            </w:r>
            <w:proofErr w:type="spellEnd"/>
            <w:r w:rsidRPr="004E675E">
              <w:rPr>
                <w:rFonts w:ascii="Arial" w:hAnsi="Arial" w:cs="Arial"/>
                <w:sz w:val="20"/>
                <w:szCs w:val="20"/>
              </w:rPr>
              <w:t xml:space="preserve"> topic.</w:t>
            </w:r>
          </w:p>
        </w:tc>
        <w:tc>
          <w:tcPr>
            <w:tcW w:w="2307" w:type="dxa"/>
          </w:tcPr>
          <w:p w14:paraId="08C57B07" w14:textId="77CD88CF" w:rsidR="002A0593" w:rsidRPr="004E675E" w:rsidRDefault="002A0593" w:rsidP="002A0593">
            <w:pPr>
              <w:rPr>
                <w:rFonts w:ascii="Arial" w:hAnsi="Arial" w:cs="Arial"/>
                <w:sz w:val="20"/>
                <w:szCs w:val="20"/>
              </w:rPr>
            </w:pPr>
            <w:r w:rsidRPr="004E675E">
              <w:rPr>
                <w:rFonts w:ascii="Arial" w:hAnsi="Arial" w:cs="Arial"/>
                <w:sz w:val="20"/>
                <w:szCs w:val="20"/>
              </w:rPr>
              <w:t>Move the contents of this subclause as the last paragraph of 35.3.7.1.1 and delete subclause 35.3.6.3. Also delete NOTE 2 at P135L42.</w:t>
            </w:r>
          </w:p>
        </w:tc>
        <w:tc>
          <w:tcPr>
            <w:tcW w:w="2126" w:type="dxa"/>
          </w:tcPr>
          <w:p w14:paraId="1B0D67FA" w14:textId="77777777" w:rsidR="002A0593" w:rsidRPr="00966382" w:rsidRDefault="002A0593" w:rsidP="002A0593">
            <w:pPr>
              <w:rPr>
                <w:rFonts w:ascii="Arial" w:hAnsi="Arial" w:cs="Arial"/>
                <w:b/>
                <w:sz w:val="20"/>
                <w:szCs w:val="20"/>
              </w:rPr>
            </w:pPr>
            <w:r w:rsidRPr="00966382">
              <w:rPr>
                <w:rFonts w:ascii="Arial" w:hAnsi="Arial" w:cs="Arial"/>
                <w:b/>
                <w:sz w:val="20"/>
                <w:szCs w:val="20"/>
              </w:rPr>
              <w:t>Revised.</w:t>
            </w:r>
          </w:p>
          <w:p w14:paraId="6C5AB0A4" w14:textId="77777777" w:rsidR="002A0593" w:rsidRPr="00966382" w:rsidRDefault="002A0593" w:rsidP="002A0593">
            <w:pPr>
              <w:rPr>
                <w:rFonts w:ascii="Arial" w:hAnsi="Arial" w:cs="Arial"/>
                <w:sz w:val="20"/>
                <w:szCs w:val="20"/>
              </w:rPr>
            </w:pPr>
          </w:p>
          <w:p w14:paraId="6E378713" w14:textId="121FF599" w:rsidR="002A0593" w:rsidRPr="00966382" w:rsidRDefault="002A0593" w:rsidP="002A0593">
            <w:pPr>
              <w:rPr>
                <w:rFonts w:ascii="Arial" w:hAnsi="Arial" w:cs="Arial"/>
                <w:sz w:val="20"/>
                <w:szCs w:val="20"/>
              </w:rPr>
            </w:pPr>
            <w:r>
              <w:rPr>
                <w:rFonts w:ascii="Arial" w:hAnsi="Arial" w:cs="Arial"/>
                <w:sz w:val="20"/>
                <w:szCs w:val="20"/>
              </w:rPr>
              <w:t xml:space="preserve">Agree with the comment that </w:t>
            </w:r>
            <w:proofErr w:type="spellStart"/>
            <w:r w:rsidR="004E675E">
              <w:rPr>
                <w:rFonts w:ascii="Arial" w:hAnsi="Arial" w:cs="Arial"/>
                <w:sz w:val="20"/>
                <w:szCs w:val="20"/>
              </w:rPr>
              <w:t>subcalsue</w:t>
            </w:r>
            <w:proofErr w:type="spellEnd"/>
            <w:r w:rsidR="004E675E">
              <w:rPr>
                <w:rFonts w:ascii="Arial" w:hAnsi="Arial" w:cs="Arial"/>
                <w:sz w:val="20"/>
                <w:szCs w:val="20"/>
              </w:rPr>
              <w:t xml:space="preserve"> for ML retransmission is </w:t>
            </w:r>
            <w:proofErr w:type="spellStart"/>
            <w:r w:rsidR="007E6F73">
              <w:rPr>
                <w:rFonts w:ascii="Arial" w:hAnsi="Arial" w:cs="Arial"/>
                <w:sz w:val="20"/>
                <w:szCs w:val="20"/>
              </w:rPr>
              <w:t>is</w:t>
            </w:r>
            <w:proofErr w:type="spellEnd"/>
            <w:r w:rsidR="007E6F73">
              <w:rPr>
                <w:rFonts w:ascii="Arial" w:hAnsi="Arial" w:cs="Arial"/>
                <w:sz w:val="20"/>
                <w:szCs w:val="20"/>
              </w:rPr>
              <w:t xml:space="preserve"> a misfit under Link Management but </w:t>
            </w:r>
            <w:r w:rsidR="004E675E">
              <w:rPr>
                <w:rFonts w:ascii="Arial" w:hAnsi="Arial" w:cs="Arial"/>
                <w:sz w:val="20"/>
                <w:szCs w:val="20"/>
              </w:rPr>
              <w:t xml:space="preserve">35.3.7.1 ML </w:t>
            </w:r>
            <w:proofErr w:type="spellStart"/>
            <w:r w:rsidR="004E675E">
              <w:rPr>
                <w:rFonts w:ascii="Arial" w:hAnsi="Arial" w:cs="Arial"/>
                <w:sz w:val="20"/>
                <w:szCs w:val="20"/>
              </w:rPr>
              <w:t>BlockAck</w:t>
            </w:r>
            <w:proofErr w:type="spellEnd"/>
            <w:r w:rsidR="004E675E">
              <w:rPr>
                <w:rFonts w:ascii="Arial" w:hAnsi="Arial" w:cs="Arial"/>
                <w:sz w:val="20"/>
                <w:szCs w:val="20"/>
              </w:rPr>
              <w:t xml:space="preserve"> Procedure</w:t>
            </w:r>
            <w:r w:rsidR="007E6F73">
              <w:rPr>
                <w:rFonts w:ascii="Arial" w:hAnsi="Arial" w:cs="Arial"/>
                <w:sz w:val="20"/>
                <w:szCs w:val="20"/>
              </w:rPr>
              <w:t xml:space="preserve"> is also not the right subclause to move to since ML retransmission is not directly related to ML </w:t>
            </w:r>
            <w:proofErr w:type="spellStart"/>
            <w:r w:rsidR="007E6F73">
              <w:rPr>
                <w:rFonts w:ascii="Arial" w:hAnsi="Arial" w:cs="Arial"/>
                <w:sz w:val="20"/>
                <w:szCs w:val="20"/>
              </w:rPr>
              <w:t>BlockAck</w:t>
            </w:r>
            <w:proofErr w:type="spellEnd"/>
            <w:r w:rsidR="007E6F73">
              <w:rPr>
                <w:rFonts w:ascii="Arial" w:hAnsi="Arial" w:cs="Arial"/>
                <w:sz w:val="20"/>
                <w:szCs w:val="20"/>
              </w:rPr>
              <w:t xml:space="preserve"> procedure</w:t>
            </w:r>
            <w:r>
              <w:rPr>
                <w:rFonts w:ascii="Arial" w:hAnsi="Arial" w:cs="Arial"/>
                <w:sz w:val="20"/>
                <w:szCs w:val="20"/>
              </w:rPr>
              <w:t>.</w:t>
            </w:r>
            <w:r w:rsidR="004E675E">
              <w:rPr>
                <w:rFonts w:ascii="Arial" w:hAnsi="Arial" w:cs="Arial"/>
                <w:sz w:val="20"/>
                <w:szCs w:val="20"/>
              </w:rPr>
              <w:t xml:space="preserve"> </w:t>
            </w:r>
            <w:r w:rsidR="007E6F73">
              <w:rPr>
                <w:rFonts w:ascii="Arial" w:hAnsi="Arial" w:cs="Arial"/>
                <w:sz w:val="20"/>
                <w:szCs w:val="20"/>
              </w:rPr>
              <w:t xml:space="preserve">The ML retransmission subclause is moved under 35.3.13 (Multi-link channel access) following the style of baseline where </w:t>
            </w:r>
            <w:r w:rsidR="007E6F73" w:rsidRPr="007E6F73">
              <w:rPr>
                <w:rFonts w:ascii="Arial" w:hAnsi="Arial" w:cs="Arial"/>
                <w:sz w:val="20"/>
                <w:szCs w:val="20"/>
              </w:rPr>
              <w:t xml:space="preserve">10.23.2.12 </w:t>
            </w:r>
            <w:r w:rsidR="007E6F73">
              <w:rPr>
                <w:rFonts w:ascii="Arial" w:hAnsi="Arial" w:cs="Arial"/>
                <w:sz w:val="20"/>
                <w:szCs w:val="20"/>
              </w:rPr>
              <w:t>(</w:t>
            </w:r>
            <w:r w:rsidR="007E6F73" w:rsidRPr="007E6F73">
              <w:rPr>
                <w:rFonts w:ascii="Arial" w:hAnsi="Arial" w:cs="Arial"/>
                <w:sz w:val="20"/>
                <w:szCs w:val="20"/>
              </w:rPr>
              <w:t>Retransmit procedures</w:t>
            </w:r>
            <w:r w:rsidR="007E6F73">
              <w:rPr>
                <w:rFonts w:ascii="Arial" w:hAnsi="Arial" w:cs="Arial"/>
                <w:sz w:val="20"/>
                <w:szCs w:val="20"/>
              </w:rPr>
              <w:t>) is under 10.23.2 (EDCA)</w:t>
            </w:r>
            <w:r w:rsidR="004E675E">
              <w:rPr>
                <w:rFonts w:ascii="Arial" w:hAnsi="Arial" w:cs="Arial"/>
                <w:sz w:val="20"/>
                <w:szCs w:val="20"/>
              </w:rPr>
              <w:t>. Also agree that the NOTE 2 is not required since the NOTE 2 is captured in the normative text.</w:t>
            </w:r>
          </w:p>
          <w:p w14:paraId="6345DBB6" w14:textId="77777777" w:rsidR="002A0593" w:rsidRPr="00966382" w:rsidRDefault="002A0593" w:rsidP="002A0593">
            <w:pPr>
              <w:rPr>
                <w:rFonts w:ascii="Arial" w:hAnsi="Arial" w:cs="Arial"/>
                <w:sz w:val="20"/>
                <w:szCs w:val="20"/>
              </w:rPr>
            </w:pPr>
            <w:r w:rsidRPr="00966382">
              <w:rPr>
                <w:rFonts w:ascii="Arial" w:hAnsi="Arial" w:cs="Arial"/>
                <w:sz w:val="20"/>
                <w:szCs w:val="20"/>
              </w:rPr>
              <w:t xml:space="preserve"> </w:t>
            </w:r>
          </w:p>
          <w:p w14:paraId="0A0AC00B" w14:textId="4FC7BFE8" w:rsidR="002A0593" w:rsidRPr="00966382" w:rsidRDefault="002A0593" w:rsidP="002A0593">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sidR="004E675E">
              <w:rPr>
                <w:rFonts w:ascii="Arial" w:hAnsi="Arial" w:cs="Arial"/>
                <w:sz w:val="20"/>
                <w:szCs w:val="20"/>
              </w:rPr>
              <w:t>0302</w:t>
            </w:r>
            <w:r w:rsidRPr="00966382">
              <w:rPr>
                <w:rFonts w:ascii="Arial" w:hAnsi="Arial" w:cs="Arial"/>
                <w:sz w:val="20"/>
                <w:szCs w:val="20"/>
              </w:rPr>
              <w:t>r0 under all headings that include CID</w:t>
            </w:r>
            <w:r>
              <w:rPr>
                <w:rFonts w:ascii="Arial" w:hAnsi="Arial" w:cs="Arial"/>
                <w:sz w:val="20"/>
                <w:szCs w:val="20"/>
              </w:rPr>
              <w:t xml:space="preserve"> 1</w:t>
            </w:r>
            <w:r w:rsidR="004E675E">
              <w:rPr>
                <w:rFonts w:ascii="Arial" w:hAnsi="Arial" w:cs="Arial"/>
                <w:sz w:val="20"/>
                <w:szCs w:val="20"/>
              </w:rPr>
              <w:t>064</w:t>
            </w:r>
            <w:r w:rsidRPr="00966382">
              <w:rPr>
                <w:rFonts w:ascii="Arial" w:hAnsi="Arial" w:cs="Arial"/>
                <w:sz w:val="20"/>
                <w:szCs w:val="20"/>
              </w:rPr>
              <w:t>.</w:t>
            </w:r>
          </w:p>
        </w:tc>
      </w:tr>
      <w:tr w:rsidR="00F50238" w:rsidRPr="00966382" w14:paraId="4D92E1B2" w14:textId="77777777" w:rsidTr="00F50238">
        <w:trPr>
          <w:trHeight w:val="2755"/>
        </w:trPr>
        <w:tc>
          <w:tcPr>
            <w:tcW w:w="709" w:type="dxa"/>
          </w:tcPr>
          <w:p w14:paraId="79D55308" w14:textId="5ACE8FA3" w:rsidR="00F50238" w:rsidRPr="00F50238" w:rsidRDefault="00F50238" w:rsidP="00F50238">
            <w:pPr>
              <w:jc w:val="right"/>
              <w:rPr>
                <w:rFonts w:ascii="Arial" w:hAnsi="Arial" w:cs="Arial"/>
                <w:sz w:val="20"/>
                <w:szCs w:val="20"/>
              </w:rPr>
            </w:pPr>
            <w:r w:rsidRPr="00F50238">
              <w:rPr>
                <w:rFonts w:ascii="Arial" w:hAnsi="Arial" w:cs="Arial"/>
                <w:sz w:val="20"/>
                <w:szCs w:val="20"/>
              </w:rPr>
              <w:lastRenderedPageBreak/>
              <w:t>1687</w:t>
            </w:r>
          </w:p>
        </w:tc>
        <w:tc>
          <w:tcPr>
            <w:tcW w:w="1276" w:type="dxa"/>
          </w:tcPr>
          <w:p w14:paraId="07DF420F" w14:textId="41694D29" w:rsidR="00F50238" w:rsidRPr="00F50238" w:rsidRDefault="00F50238" w:rsidP="00F50238">
            <w:pPr>
              <w:jc w:val="left"/>
              <w:rPr>
                <w:rFonts w:ascii="Arial" w:hAnsi="Arial" w:cs="Arial"/>
                <w:sz w:val="20"/>
                <w:szCs w:val="20"/>
              </w:rPr>
            </w:pPr>
            <w:r w:rsidRPr="00F50238">
              <w:rPr>
                <w:rFonts w:ascii="Arial" w:hAnsi="Arial" w:cs="Arial"/>
                <w:sz w:val="20"/>
                <w:szCs w:val="20"/>
              </w:rPr>
              <w:t>GEORGE CHERIAN</w:t>
            </w:r>
          </w:p>
        </w:tc>
        <w:tc>
          <w:tcPr>
            <w:tcW w:w="922" w:type="dxa"/>
          </w:tcPr>
          <w:p w14:paraId="1AF5FF82" w14:textId="7FC1FBC7" w:rsidR="00F50238" w:rsidRPr="00F50238" w:rsidRDefault="00F50238" w:rsidP="00F50238">
            <w:pPr>
              <w:rPr>
                <w:rFonts w:ascii="Arial" w:hAnsi="Arial" w:cs="Arial"/>
                <w:sz w:val="20"/>
                <w:szCs w:val="20"/>
              </w:rPr>
            </w:pPr>
            <w:r w:rsidRPr="00F50238">
              <w:rPr>
                <w:rFonts w:ascii="Arial" w:hAnsi="Arial" w:cs="Arial"/>
                <w:sz w:val="20"/>
                <w:szCs w:val="20"/>
              </w:rPr>
              <w:t>35.3.7.1.1</w:t>
            </w:r>
          </w:p>
        </w:tc>
        <w:tc>
          <w:tcPr>
            <w:tcW w:w="720" w:type="dxa"/>
          </w:tcPr>
          <w:p w14:paraId="6A57F1B2" w14:textId="4FE4F1FC" w:rsidR="00F50238" w:rsidRPr="00F50238" w:rsidRDefault="00F50238" w:rsidP="00F50238">
            <w:pPr>
              <w:rPr>
                <w:rFonts w:ascii="Arial" w:hAnsi="Arial" w:cs="Arial"/>
                <w:sz w:val="20"/>
                <w:szCs w:val="20"/>
              </w:rPr>
            </w:pPr>
            <w:r w:rsidRPr="00F50238">
              <w:rPr>
                <w:rFonts w:ascii="Arial" w:hAnsi="Arial" w:cs="Arial"/>
                <w:sz w:val="20"/>
                <w:szCs w:val="20"/>
              </w:rPr>
              <w:t>135</w:t>
            </w:r>
          </w:p>
        </w:tc>
        <w:tc>
          <w:tcPr>
            <w:tcW w:w="768" w:type="dxa"/>
          </w:tcPr>
          <w:p w14:paraId="4AE020D7" w14:textId="1D243195" w:rsidR="00F50238" w:rsidRPr="00F50238" w:rsidRDefault="00F50238" w:rsidP="00F50238">
            <w:pPr>
              <w:rPr>
                <w:rFonts w:ascii="Arial" w:hAnsi="Arial" w:cs="Arial"/>
                <w:sz w:val="20"/>
                <w:szCs w:val="20"/>
              </w:rPr>
            </w:pPr>
            <w:r w:rsidRPr="00F50238">
              <w:rPr>
                <w:rFonts w:ascii="Arial" w:hAnsi="Arial" w:cs="Arial"/>
                <w:sz w:val="20"/>
                <w:szCs w:val="20"/>
              </w:rPr>
              <w:t>42</w:t>
            </w:r>
          </w:p>
        </w:tc>
        <w:tc>
          <w:tcPr>
            <w:tcW w:w="1662" w:type="dxa"/>
          </w:tcPr>
          <w:p w14:paraId="5CCACDB9" w14:textId="77777777" w:rsidR="00F50238" w:rsidRPr="00F50238" w:rsidRDefault="00F50238" w:rsidP="00F50238">
            <w:pPr>
              <w:rPr>
                <w:rFonts w:ascii="Arial" w:hAnsi="Arial" w:cs="Arial"/>
                <w:sz w:val="20"/>
                <w:szCs w:val="20"/>
              </w:rPr>
            </w:pPr>
            <w:r w:rsidRPr="00F50238">
              <w:rPr>
                <w:rFonts w:ascii="Arial" w:hAnsi="Arial" w:cs="Arial"/>
                <w:sz w:val="20"/>
                <w:szCs w:val="20"/>
              </w:rPr>
              <w:t>"NOTE 2--QoS Data frames that are not fragments might be (re)transmitted on any link(s) where the corresponding TID is mapped to.".</w:t>
            </w:r>
          </w:p>
          <w:p w14:paraId="6B431F13" w14:textId="77777777" w:rsidR="00F50238" w:rsidRPr="00F50238" w:rsidRDefault="00F50238" w:rsidP="00F50238">
            <w:pPr>
              <w:rPr>
                <w:rFonts w:ascii="Arial" w:hAnsi="Arial" w:cs="Arial"/>
                <w:sz w:val="20"/>
                <w:szCs w:val="20"/>
              </w:rPr>
            </w:pPr>
          </w:p>
          <w:p w14:paraId="090C1930" w14:textId="77777777" w:rsidR="00F50238" w:rsidRPr="00F50238" w:rsidRDefault="00F50238" w:rsidP="00F50238">
            <w:pPr>
              <w:rPr>
                <w:rFonts w:ascii="Arial" w:hAnsi="Arial" w:cs="Arial"/>
                <w:sz w:val="20"/>
                <w:szCs w:val="20"/>
              </w:rPr>
            </w:pPr>
            <w:r w:rsidRPr="00F50238">
              <w:rPr>
                <w:rFonts w:ascii="Arial" w:hAnsi="Arial" w:cs="Arial"/>
                <w:sz w:val="20"/>
                <w:szCs w:val="20"/>
              </w:rPr>
              <w:t>Modify as follows:</w:t>
            </w:r>
          </w:p>
          <w:p w14:paraId="302EEE87" w14:textId="77777777" w:rsidR="00F50238" w:rsidRPr="00F50238" w:rsidRDefault="00F50238" w:rsidP="00F50238">
            <w:pPr>
              <w:rPr>
                <w:rFonts w:ascii="Arial" w:hAnsi="Arial" w:cs="Arial"/>
                <w:sz w:val="20"/>
                <w:szCs w:val="20"/>
              </w:rPr>
            </w:pPr>
          </w:p>
          <w:p w14:paraId="1358B685" w14:textId="13816B57" w:rsidR="00F50238" w:rsidRPr="00F50238" w:rsidRDefault="00F50238" w:rsidP="00F50238">
            <w:pPr>
              <w:rPr>
                <w:rFonts w:ascii="Arial" w:hAnsi="Arial" w:cs="Arial"/>
                <w:sz w:val="20"/>
                <w:szCs w:val="20"/>
              </w:rPr>
            </w:pPr>
            <w:r w:rsidRPr="00F50238">
              <w:rPr>
                <w:rFonts w:ascii="Arial" w:hAnsi="Arial" w:cs="Arial"/>
                <w:sz w:val="20"/>
                <w:szCs w:val="20"/>
              </w:rPr>
              <w:t>NOTE 2--QoS Data frames can be (re)transmitted on any link(s) where the corresponding TID is mapped to.</w:t>
            </w:r>
          </w:p>
        </w:tc>
        <w:tc>
          <w:tcPr>
            <w:tcW w:w="2307" w:type="dxa"/>
          </w:tcPr>
          <w:p w14:paraId="4D5EBAB2" w14:textId="4359DAD0" w:rsidR="00F50238" w:rsidRPr="00F50238" w:rsidRDefault="00F50238" w:rsidP="00F50238">
            <w:pPr>
              <w:rPr>
                <w:rFonts w:ascii="Arial" w:hAnsi="Arial" w:cs="Arial"/>
                <w:sz w:val="20"/>
                <w:szCs w:val="20"/>
              </w:rPr>
            </w:pPr>
            <w:r w:rsidRPr="00F50238">
              <w:rPr>
                <w:rFonts w:ascii="Arial" w:hAnsi="Arial" w:cs="Arial"/>
                <w:sz w:val="20"/>
                <w:szCs w:val="20"/>
              </w:rPr>
              <w:t>As in the comment</w:t>
            </w:r>
          </w:p>
        </w:tc>
        <w:tc>
          <w:tcPr>
            <w:tcW w:w="2126" w:type="dxa"/>
          </w:tcPr>
          <w:p w14:paraId="2FE9B0A9" w14:textId="4D00C20D" w:rsidR="00AA227D" w:rsidRPr="00966382" w:rsidRDefault="00AA227D" w:rsidP="00AA227D">
            <w:pPr>
              <w:rPr>
                <w:rFonts w:ascii="Arial" w:hAnsi="Arial" w:cs="Arial"/>
                <w:b/>
                <w:sz w:val="20"/>
                <w:szCs w:val="20"/>
              </w:rPr>
            </w:pPr>
            <w:r w:rsidRPr="00966382">
              <w:rPr>
                <w:rFonts w:ascii="Arial" w:hAnsi="Arial" w:cs="Arial"/>
                <w:b/>
                <w:sz w:val="20"/>
                <w:szCs w:val="20"/>
              </w:rPr>
              <w:t>Re</w:t>
            </w:r>
            <w:r w:rsidR="0017130C">
              <w:rPr>
                <w:rFonts w:ascii="Arial" w:hAnsi="Arial" w:cs="Arial"/>
                <w:b/>
                <w:sz w:val="20"/>
                <w:szCs w:val="20"/>
              </w:rPr>
              <w:t>jected</w:t>
            </w:r>
            <w:r w:rsidRPr="00966382">
              <w:rPr>
                <w:rFonts w:ascii="Arial" w:hAnsi="Arial" w:cs="Arial"/>
                <w:b/>
                <w:sz w:val="20"/>
                <w:szCs w:val="20"/>
              </w:rPr>
              <w:t>.</w:t>
            </w:r>
          </w:p>
          <w:p w14:paraId="332B0B8D" w14:textId="77777777" w:rsidR="00AA227D" w:rsidRPr="00966382" w:rsidRDefault="00AA227D" w:rsidP="00AA227D">
            <w:pPr>
              <w:rPr>
                <w:rFonts w:ascii="Arial" w:hAnsi="Arial" w:cs="Arial"/>
                <w:sz w:val="20"/>
                <w:szCs w:val="20"/>
              </w:rPr>
            </w:pPr>
          </w:p>
          <w:p w14:paraId="4D7DF420" w14:textId="77777777" w:rsidR="00F50238" w:rsidRDefault="00AA227D" w:rsidP="00AA227D">
            <w:pPr>
              <w:rPr>
                <w:rFonts w:ascii="Arial" w:hAnsi="Arial" w:cs="Arial"/>
                <w:sz w:val="20"/>
                <w:szCs w:val="20"/>
              </w:rPr>
            </w:pPr>
            <w:r>
              <w:rPr>
                <w:rFonts w:ascii="Arial" w:hAnsi="Arial" w:cs="Arial"/>
                <w:sz w:val="20"/>
                <w:szCs w:val="20"/>
              </w:rPr>
              <w:t>While we agree with the comment, the referred NOTE 2 has been deleted as part of resolution of CID 1064.</w:t>
            </w:r>
          </w:p>
          <w:p w14:paraId="70FCC12A" w14:textId="77777777" w:rsidR="00AA227D" w:rsidRDefault="00AA227D" w:rsidP="00AA227D">
            <w:pPr>
              <w:rPr>
                <w:rFonts w:ascii="Arial" w:hAnsi="Arial" w:cs="Arial"/>
                <w:sz w:val="20"/>
                <w:szCs w:val="20"/>
              </w:rPr>
            </w:pPr>
          </w:p>
          <w:p w14:paraId="462D2936" w14:textId="2C1CD86A" w:rsidR="00AA227D" w:rsidRPr="00F50238" w:rsidRDefault="00AA227D" w:rsidP="00AA227D">
            <w:pPr>
              <w:rPr>
                <w:rFonts w:ascii="Arial" w:hAnsi="Arial" w:cs="Arial"/>
                <w:sz w:val="20"/>
                <w:szCs w:val="20"/>
              </w:rPr>
            </w:pPr>
          </w:p>
        </w:tc>
      </w:tr>
      <w:bookmarkEnd w:id="0"/>
      <w:tr w:rsidR="002C5F1C" w:rsidRPr="00966382" w14:paraId="25986C05" w14:textId="77777777" w:rsidTr="00776049">
        <w:trPr>
          <w:trHeight w:val="243"/>
        </w:trPr>
        <w:tc>
          <w:tcPr>
            <w:tcW w:w="709" w:type="dxa"/>
          </w:tcPr>
          <w:p w14:paraId="452047B8" w14:textId="29CBA51A" w:rsidR="002C5F1C" w:rsidRDefault="002C5F1C" w:rsidP="002C5F1C">
            <w:pPr>
              <w:jc w:val="right"/>
              <w:rPr>
                <w:rFonts w:ascii="Arial" w:hAnsi="Arial" w:cs="Arial"/>
                <w:sz w:val="20"/>
              </w:rPr>
            </w:pPr>
            <w:r>
              <w:rPr>
                <w:rFonts w:ascii="Arial" w:hAnsi="Arial" w:cs="Arial"/>
                <w:sz w:val="20"/>
                <w:szCs w:val="20"/>
              </w:rPr>
              <w:t>2503</w:t>
            </w:r>
          </w:p>
        </w:tc>
        <w:tc>
          <w:tcPr>
            <w:tcW w:w="1276" w:type="dxa"/>
          </w:tcPr>
          <w:p w14:paraId="026C38E3" w14:textId="0489B229" w:rsidR="002C5F1C" w:rsidRDefault="002C5F1C" w:rsidP="002C5F1C">
            <w:pPr>
              <w:jc w:val="left"/>
              <w:rPr>
                <w:rFonts w:ascii="Arial" w:hAnsi="Arial" w:cs="Arial"/>
                <w:sz w:val="20"/>
              </w:rPr>
            </w:pPr>
            <w:r>
              <w:rPr>
                <w:rFonts w:ascii="Arial" w:hAnsi="Arial" w:cs="Arial"/>
                <w:sz w:val="20"/>
                <w:szCs w:val="20"/>
              </w:rPr>
              <w:t>Po-Kai Huang</w:t>
            </w:r>
          </w:p>
        </w:tc>
        <w:tc>
          <w:tcPr>
            <w:tcW w:w="922" w:type="dxa"/>
          </w:tcPr>
          <w:p w14:paraId="0CCF042E" w14:textId="31848EF6" w:rsidR="002C5F1C" w:rsidRDefault="002C5F1C" w:rsidP="002C5F1C">
            <w:pPr>
              <w:rPr>
                <w:rFonts w:ascii="Arial" w:hAnsi="Arial" w:cs="Arial"/>
                <w:sz w:val="20"/>
              </w:rPr>
            </w:pPr>
            <w:r>
              <w:rPr>
                <w:rFonts w:ascii="Arial" w:hAnsi="Arial" w:cs="Arial"/>
                <w:sz w:val="20"/>
                <w:szCs w:val="20"/>
              </w:rPr>
              <w:t>35.3.6.3</w:t>
            </w:r>
          </w:p>
        </w:tc>
        <w:tc>
          <w:tcPr>
            <w:tcW w:w="720" w:type="dxa"/>
          </w:tcPr>
          <w:p w14:paraId="7CE01687" w14:textId="456D3275" w:rsidR="002C5F1C" w:rsidRDefault="002C5F1C" w:rsidP="002C5F1C">
            <w:pPr>
              <w:rPr>
                <w:rFonts w:ascii="Arial" w:hAnsi="Arial" w:cs="Arial"/>
                <w:sz w:val="20"/>
              </w:rPr>
            </w:pPr>
            <w:r>
              <w:rPr>
                <w:rFonts w:ascii="Arial" w:hAnsi="Arial" w:cs="Arial"/>
                <w:sz w:val="20"/>
                <w:szCs w:val="20"/>
              </w:rPr>
              <w:t>135</w:t>
            </w:r>
          </w:p>
        </w:tc>
        <w:tc>
          <w:tcPr>
            <w:tcW w:w="768" w:type="dxa"/>
          </w:tcPr>
          <w:p w14:paraId="3BCD2442" w14:textId="09358A19" w:rsidR="002C5F1C" w:rsidRDefault="002C5F1C" w:rsidP="002C5F1C">
            <w:pPr>
              <w:rPr>
                <w:rFonts w:ascii="Arial" w:hAnsi="Arial" w:cs="Arial"/>
                <w:sz w:val="20"/>
              </w:rPr>
            </w:pPr>
            <w:r>
              <w:rPr>
                <w:rFonts w:ascii="Arial" w:hAnsi="Arial" w:cs="Arial"/>
                <w:sz w:val="20"/>
                <w:szCs w:val="20"/>
              </w:rPr>
              <w:t>6</w:t>
            </w:r>
          </w:p>
        </w:tc>
        <w:tc>
          <w:tcPr>
            <w:tcW w:w="1662" w:type="dxa"/>
          </w:tcPr>
          <w:p w14:paraId="47F4BFD5" w14:textId="2309AD08" w:rsidR="002C5F1C" w:rsidRDefault="002C5F1C" w:rsidP="002C5F1C">
            <w:pPr>
              <w:rPr>
                <w:rFonts w:ascii="Arial" w:hAnsi="Arial" w:cs="Arial"/>
                <w:sz w:val="20"/>
              </w:rPr>
            </w:pPr>
            <w:r>
              <w:rPr>
                <w:rFonts w:ascii="Arial" w:hAnsi="Arial" w:cs="Arial"/>
                <w:sz w:val="20"/>
                <w:szCs w:val="20"/>
              </w:rPr>
              <w:t xml:space="preserve">Retransmission in other links should be a desirable </w:t>
            </w:r>
            <w:proofErr w:type="spellStart"/>
            <w:r>
              <w:rPr>
                <w:rFonts w:ascii="Arial" w:hAnsi="Arial" w:cs="Arial"/>
                <w:sz w:val="20"/>
                <w:szCs w:val="20"/>
              </w:rPr>
              <w:t>behavior</w:t>
            </w:r>
            <w:proofErr w:type="spellEnd"/>
            <w:r>
              <w:rPr>
                <w:rFonts w:ascii="Arial" w:hAnsi="Arial" w:cs="Arial"/>
                <w:sz w:val="20"/>
                <w:szCs w:val="20"/>
              </w:rPr>
              <w:t xml:space="preserve"> but there </w:t>
            </w:r>
            <w:proofErr w:type="gramStart"/>
            <w:r>
              <w:rPr>
                <w:rFonts w:ascii="Arial" w:hAnsi="Arial" w:cs="Arial"/>
                <w:sz w:val="20"/>
                <w:szCs w:val="20"/>
              </w:rPr>
              <w:t>are</w:t>
            </w:r>
            <w:proofErr w:type="gramEnd"/>
            <w:r>
              <w:rPr>
                <w:rFonts w:ascii="Arial" w:hAnsi="Arial" w:cs="Arial"/>
                <w:sz w:val="20"/>
                <w:szCs w:val="20"/>
              </w:rPr>
              <w:t xml:space="preserve"> limitation like different maximum MPDU length in different link that may prevent this </w:t>
            </w:r>
            <w:proofErr w:type="spellStart"/>
            <w:r>
              <w:rPr>
                <w:rFonts w:ascii="Arial" w:hAnsi="Arial" w:cs="Arial"/>
                <w:sz w:val="20"/>
                <w:szCs w:val="20"/>
              </w:rPr>
              <w:t>behavior</w:t>
            </w:r>
            <w:proofErr w:type="spellEnd"/>
            <w:r>
              <w:rPr>
                <w:rFonts w:ascii="Arial" w:hAnsi="Arial" w:cs="Arial"/>
                <w:sz w:val="20"/>
                <w:szCs w:val="20"/>
              </w:rPr>
              <w:t xml:space="preserve"> and limit the MLD benefits. We should have STAs of an MLD to have common maximum MPDU length in different link.</w:t>
            </w:r>
          </w:p>
        </w:tc>
        <w:tc>
          <w:tcPr>
            <w:tcW w:w="2307" w:type="dxa"/>
          </w:tcPr>
          <w:p w14:paraId="13702FA4" w14:textId="453FD69C" w:rsidR="002C5F1C" w:rsidRDefault="002C5F1C" w:rsidP="002C5F1C">
            <w:pPr>
              <w:rPr>
                <w:rFonts w:ascii="Arial" w:hAnsi="Arial" w:cs="Arial"/>
                <w:sz w:val="20"/>
              </w:rPr>
            </w:pPr>
            <w:r>
              <w:rPr>
                <w:rFonts w:ascii="Arial" w:hAnsi="Arial" w:cs="Arial"/>
                <w:sz w:val="20"/>
                <w:szCs w:val="20"/>
              </w:rPr>
              <w:t>Add the following. Each STA in a MLD has common capabilities for the maximum MPDU length, and the capability for the maximum MPDU length of HE and EHT PPDU across links includes the following values: 3895, 7991, 11454.</w:t>
            </w:r>
          </w:p>
        </w:tc>
        <w:tc>
          <w:tcPr>
            <w:tcW w:w="2126" w:type="dxa"/>
          </w:tcPr>
          <w:p w14:paraId="7E29AE6E" w14:textId="77777777" w:rsidR="002C5F1C" w:rsidRPr="00966382" w:rsidRDefault="002C5F1C" w:rsidP="002C5F1C">
            <w:pPr>
              <w:rPr>
                <w:rFonts w:ascii="Arial" w:hAnsi="Arial" w:cs="Arial"/>
                <w:b/>
                <w:sz w:val="20"/>
                <w:szCs w:val="20"/>
              </w:rPr>
            </w:pPr>
            <w:r w:rsidRPr="00966382">
              <w:rPr>
                <w:rFonts w:ascii="Arial" w:hAnsi="Arial" w:cs="Arial"/>
                <w:b/>
                <w:sz w:val="20"/>
                <w:szCs w:val="20"/>
              </w:rPr>
              <w:t>Revised.</w:t>
            </w:r>
          </w:p>
          <w:p w14:paraId="2015A37B" w14:textId="77777777" w:rsidR="002C5F1C" w:rsidRPr="00966382" w:rsidRDefault="002C5F1C" w:rsidP="002C5F1C">
            <w:pPr>
              <w:rPr>
                <w:rFonts w:ascii="Arial" w:hAnsi="Arial" w:cs="Arial"/>
                <w:sz w:val="20"/>
                <w:szCs w:val="20"/>
              </w:rPr>
            </w:pPr>
          </w:p>
          <w:p w14:paraId="792D6059" w14:textId="04386FF0" w:rsidR="002C5F1C" w:rsidRPr="00966382" w:rsidRDefault="002C5F1C" w:rsidP="002C5F1C">
            <w:pPr>
              <w:rPr>
                <w:rFonts w:ascii="Arial" w:hAnsi="Arial" w:cs="Arial"/>
                <w:sz w:val="20"/>
                <w:szCs w:val="20"/>
              </w:rPr>
            </w:pPr>
            <w:r>
              <w:rPr>
                <w:rFonts w:ascii="Arial" w:hAnsi="Arial" w:cs="Arial"/>
                <w:sz w:val="20"/>
                <w:szCs w:val="20"/>
              </w:rPr>
              <w:t xml:space="preserve">Agree with the comment that if different links have different maximum MPDU length constraints, retransmissions of a larger MPDU may not be possible in a link with a smaller maximum MPDU length constraint. However, </w:t>
            </w:r>
            <w:r w:rsidR="000D5C70">
              <w:rPr>
                <w:rFonts w:ascii="Arial" w:hAnsi="Arial" w:cs="Arial"/>
                <w:sz w:val="20"/>
                <w:szCs w:val="20"/>
              </w:rPr>
              <w:t xml:space="preserve">11be has not yet agreed that all STAs in an MLD have the same common maximum MPDU length constraint. </w:t>
            </w:r>
            <w:r w:rsidR="005742D7">
              <w:rPr>
                <w:rFonts w:ascii="Arial" w:hAnsi="Arial" w:cs="Arial"/>
                <w:sz w:val="20"/>
                <w:szCs w:val="20"/>
              </w:rPr>
              <w:t xml:space="preserve">The text is modified to capture that retransmissions on another link are also subjected to </w:t>
            </w:r>
            <w:r w:rsidR="0031062E">
              <w:rPr>
                <w:rFonts w:ascii="Arial" w:hAnsi="Arial" w:cs="Arial"/>
                <w:sz w:val="20"/>
                <w:szCs w:val="20"/>
              </w:rPr>
              <w:t xml:space="preserve">transmission </w:t>
            </w:r>
            <w:r w:rsidR="005742D7">
              <w:rPr>
                <w:rFonts w:ascii="Arial" w:hAnsi="Arial" w:cs="Arial"/>
                <w:sz w:val="20"/>
                <w:szCs w:val="20"/>
              </w:rPr>
              <w:t>restrictions on the link</w:t>
            </w:r>
            <w:r w:rsidR="000D5C70">
              <w:rPr>
                <w:rFonts w:ascii="Arial" w:hAnsi="Arial" w:cs="Arial"/>
                <w:sz w:val="20"/>
                <w:szCs w:val="20"/>
              </w:rPr>
              <w:t xml:space="preserve"> </w:t>
            </w:r>
            <w:proofErr w:type="gramStart"/>
            <w:r w:rsidR="0031062E">
              <w:rPr>
                <w:rFonts w:ascii="Arial" w:hAnsi="Arial" w:cs="Arial"/>
                <w:sz w:val="20"/>
                <w:szCs w:val="20"/>
              </w:rPr>
              <w:t>and also</w:t>
            </w:r>
            <w:proofErr w:type="gramEnd"/>
            <w:r w:rsidR="0031062E">
              <w:rPr>
                <w:rFonts w:ascii="Arial" w:hAnsi="Arial" w:cs="Arial"/>
                <w:sz w:val="20"/>
                <w:szCs w:val="20"/>
              </w:rPr>
              <w:t xml:space="preserve"> </w:t>
            </w:r>
            <w:r w:rsidR="00200B1E">
              <w:rPr>
                <w:rFonts w:ascii="Arial" w:hAnsi="Arial" w:cs="Arial"/>
                <w:sz w:val="20"/>
                <w:szCs w:val="20"/>
              </w:rPr>
              <w:t>add a NOTE</w:t>
            </w:r>
            <w:r w:rsidR="0031062E">
              <w:rPr>
                <w:rFonts w:ascii="Arial" w:hAnsi="Arial" w:cs="Arial"/>
                <w:sz w:val="20"/>
                <w:szCs w:val="20"/>
              </w:rPr>
              <w:t xml:space="preserve"> to clarify</w:t>
            </w:r>
            <w:r w:rsidR="00200B1E">
              <w:rPr>
                <w:rFonts w:ascii="Arial" w:hAnsi="Arial" w:cs="Arial"/>
                <w:sz w:val="20"/>
                <w:szCs w:val="20"/>
              </w:rPr>
              <w:t xml:space="preserve"> </w:t>
            </w:r>
            <w:r w:rsidR="000D5C70">
              <w:rPr>
                <w:rFonts w:ascii="Arial" w:hAnsi="Arial" w:cs="Arial"/>
                <w:sz w:val="20"/>
                <w:szCs w:val="20"/>
              </w:rPr>
              <w:t>that the maximum MPDU length constraint of that link</w:t>
            </w:r>
            <w:r w:rsidR="0031062E">
              <w:rPr>
                <w:rFonts w:ascii="Arial" w:hAnsi="Arial" w:cs="Arial"/>
                <w:sz w:val="20"/>
                <w:szCs w:val="20"/>
              </w:rPr>
              <w:t xml:space="preserve"> is one example of such restrictions</w:t>
            </w:r>
            <w:r w:rsidR="000D5C70">
              <w:rPr>
                <w:rFonts w:ascii="Arial" w:hAnsi="Arial" w:cs="Arial"/>
                <w:sz w:val="20"/>
                <w:szCs w:val="20"/>
              </w:rPr>
              <w:t>.</w:t>
            </w:r>
            <w:r w:rsidR="0031062E">
              <w:rPr>
                <w:rFonts w:ascii="Arial" w:hAnsi="Arial" w:cs="Arial"/>
                <w:sz w:val="20"/>
                <w:szCs w:val="20"/>
              </w:rPr>
              <w:t xml:space="preserve"> We note that similar </w:t>
            </w:r>
            <w:r w:rsidR="0031062E">
              <w:rPr>
                <w:rFonts w:ascii="Arial" w:hAnsi="Arial" w:cs="Arial"/>
                <w:sz w:val="20"/>
                <w:szCs w:val="20"/>
              </w:rPr>
              <w:lastRenderedPageBreak/>
              <w:t xml:space="preserve">expression is also used in </w:t>
            </w:r>
            <w:r w:rsidR="0031062E" w:rsidRPr="0031062E">
              <w:rPr>
                <w:rFonts w:ascii="Arial" w:hAnsi="Arial" w:cs="Arial"/>
                <w:sz w:val="20"/>
                <w:szCs w:val="20"/>
              </w:rPr>
              <w:t>35.3.6.1 TID-to-link mapping</w:t>
            </w:r>
            <w:r w:rsidR="0031062E">
              <w:rPr>
                <w:rFonts w:ascii="Arial" w:hAnsi="Arial" w:cs="Arial"/>
                <w:sz w:val="20"/>
                <w:szCs w:val="20"/>
              </w:rPr>
              <w:t>.</w:t>
            </w:r>
          </w:p>
          <w:p w14:paraId="5CD63F26" w14:textId="77777777" w:rsidR="002C5F1C" w:rsidRPr="00966382" w:rsidRDefault="002C5F1C" w:rsidP="002C5F1C">
            <w:pPr>
              <w:rPr>
                <w:rFonts w:ascii="Arial" w:hAnsi="Arial" w:cs="Arial"/>
                <w:sz w:val="20"/>
                <w:szCs w:val="20"/>
              </w:rPr>
            </w:pPr>
            <w:r w:rsidRPr="00966382">
              <w:rPr>
                <w:rFonts w:ascii="Arial" w:hAnsi="Arial" w:cs="Arial"/>
                <w:sz w:val="20"/>
                <w:szCs w:val="20"/>
              </w:rPr>
              <w:t xml:space="preserve"> </w:t>
            </w:r>
          </w:p>
          <w:p w14:paraId="51E05136" w14:textId="0DC359C0" w:rsidR="002C5F1C" w:rsidRPr="00966382" w:rsidRDefault="002C5F1C" w:rsidP="002C5F1C">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sidR="000D5C70">
              <w:rPr>
                <w:rFonts w:ascii="Arial" w:hAnsi="Arial" w:cs="Arial"/>
                <w:sz w:val="20"/>
                <w:szCs w:val="20"/>
              </w:rPr>
              <w:t>0302</w:t>
            </w:r>
            <w:r w:rsidRPr="00966382">
              <w:rPr>
                <w:rFonts w:ascii="Arial" w:hAnsi="Arial" w:cs="Arial"/>
                <w:sz w:val="20"/>
                <w:szCs w:val="20"/>
              </w:rPr>
              <w:t>r0 under all headings that include CID</w:t>
            </w:r>
            <w:r>
              <w:rPr>
                <w:rFonts w:ascii="Arial" w:hAnsi="Arial" w:cs="Arial"/>
                <w:sz w:val="20"/>
                <w:szCs w:val="20"/>
              </w:rPr>
              <w:t xml:space="preserve"> </w:t>
            </w:r>
            <w:r w:rsidR="000D5C70">
              <w:rPr>
                <w:rFonts w:ascii="Arial" w:hAnsi="Arial" w:cs="Arial"/>
                <w:sz w:val="20"/>
                <w:szCs w:val="20"/>
              </w:rPr>
              <w:t>2503</w:t>
            </w:r>
            <w:r w:rsidRPr="00966382">
              <w:rPr>
                <w:rFonts w:ascii="Arial" w:hAnsi="Arial" w:cs="Arial"/>
                <w:sz w:val="20"/>
                <w:szCs w:val="20"/>
              </w:rPr>
              <w:t>.</w:t>
            </w:r>
          </w:p>
        </w:tc>
      </w:tr>
      <w:tr w:rsidR="002C5F1C" w:rsidRPr="00966382" w14:paraId="4FCB5DCD" w14:textId="77777777" w:rsidTr="00776049">
        <w:trPr>
          <w:trHeight w:val="243"/>
        </w:trPr>
        <w:tc>
          <w:tcPr>
            <w:tcW w:w="709" w:type="dxa"/>
          </w:tcPr>
          <w:p w14:paraId="6374C8C4" w14:textId="65FFA185" w:rsidR="002C5F1C" w:rsidRDefault="002C5F1C" w:rsidP="002C5F1C">
            <w:pPr>
              <w:jc w:val="right"/>
              <w:rPr>
                <w:rFonts w:ascii="Arial" w:hAnsi="Arial" w:cs="Arial"/>
                <w:sz w:val="20"/>
              </w:rPr>
            </w:pPr>
            <w:r>
              <w:rPr>
                <w:rFonts w:ascii="Arial" w:hAnsi="Arial" w:cs="Arial"/>
                <w:sz w:val="20"/>
                <w:szCs w:val="20"/>
              </w:rPr>
              <w:lastRenderedPageBreak/>
              <w:t>2598</w:t>
            </w:r>
          </w:p>
        </w:tc>
        <w:tc>
          <w:tcPr>
            <w:tcW w:w="1276" w:type="dxa"/>
          </w:tcPr>
          <w:p w14:paraId="1246F5F3" w14:textId="1AE44D40" w:rsidR="002C5F1C" w:rsidRDefault="002C5F1C" w:rsidP="002C5F1C">
            <w:pPr>
              <w:jc w:val="left"/>
              <w:rPr>
                <w:rFonts w:ascii="Arial" w:hAnsi="Arial" w:cs="Arial"/>
                <w:sz w:val="20"/>
              </w:rPr>
            </w:pPr>
            <w:r>
              <w:rPr>
                <w:rFonts w:ascii="Arial" w:hAnsi="Arial" w:cs="Arial"/>
                <w:sz w:val="20"/>
                <w:szCs w:val="20"/>
              </w:rPr>
              <w:t>Rojan Chitrakar</w:t>
            </w:r>
          </w:p>
        </w:tc>
        <w:tc>
          <w:tcPr>
            <w:tcW w:w="922" w:type="dxa"/>
          </w:tcPr>
          <w:p w14:paraId="47563096" w14:textId="4374533C" w:rsidR="002C5F1C" w:rsidRDefault="002C5F1C" w:rsidP="002C5F1C">
            <w:pPr>
              <w:rPr>
                <w:rFonts w:ascii="Arial" w:hAnsi="Arial" w:cs="Arial"/>
                <w:sz w:val="20"/>
              </w:rPr>
            </w:pPr>
            <w:r>
              <w:rPr>
                <w:rFonts w:ascii="Arial" w:hAnsi="Arial" w:cs="Arial"/>
                <w:sz w:val="20"/>
                <w:szCs w:val="20"/>
              </w:rPr>
              <w:t>35.3.6.3</w:t>
            </w:r>
          </w:p>
        </w:tc>
        <w:tc>
          <w:tcPr>
            <w:tcW w:w="720" w:type="dxa"/>
          </w:tcPr>
          <w:p w14:paraId="5092C501" w14:textId="60AA0D78" w:rsidR="002C5F1C" w:rsidRDefault="002C5F1C" w:rsidP="002C5F1C">
            <w:pPr>
              <w:rPr>
                <w:rFonts w:ascii="Arial" w:hAnsi="Arial" w:cs="Arial"/>
                <w:sz w:val="20"/>
              </w:rPr>
            </w:pPr>
            <w:r>
              <w:rPr>
                <w:rFonts w:ascii="Arial" w:hAnsi="Arial" w:cs="Arial"/>
                <w:sz w:val="20"/>
                <w:szCs w:val="20"/>
              </w:rPr>
              <w:t>135</w:t>
            </w:r>
          </w:p>
        </w:tc>
        <w:tc>
          <w:tcPr>
            <w:tcW w:w="768" w:type="dxa"/>
          </w:tcPr>
          <w:p w14:paraId="299CA163" w14:textId="76D3AB47" w:rsidR="002C5F1C" w:rsidRDefault="002C5F1C" w:rsidP="002C5F1C">
            <w:pPr>
              <w:rPr>
                <w:rFonts w:ascii="Arial" w:hAnsi="Arial" w:cs="Arial"/>
                <w:sz w:val="20"/>
              </w:rPr>
            </w:pPr>
            <w:r>
              <w:rPr>
                <w:rFonts w:ascii="Arial" w:hAnsi="Arial" w:cs="Arial"/>
                <w:sz w:val="20"/>
                <w:szCs w:val="20"/>
              </w:rPr>
              <w:t>8</w:t>
            </w:r>
          </w:p>
        </w:tc>
        <w:tc>
          <w:tcPr>
            <w:tcW w:w="1662" w:type="dxa"/>
          </w:tcPr>
          <w:p w14:paraId="78E82DA0" w14:textId="3D18FC2F" w:rsidR="002C5F1C" w:rsidRDefault="002C5F1C" w:rsidP="002C5F1C">
            <w:pPr>
              <w:rPr>
                <w:rFonts w:ascii="Arial" w:hAnsi="Arial" w:cs="Arial"/>
                <w:sz w:val="20"/>
              </w:rPr>
            </w:pPr>
            <w:r>
              <w:rPr>
                <w:rFonts w:ascii="Arial" w:hAnsi="Arial" w:cs="Arial"/>
                <w:sz w:val="20"/>
                <w:szCs w:val="20"/>
              </w:rPr>
              <w:t>The PN used to protect a frame should not be incremented when the frame is re-transmitted by the MLD on another link to prevent the frame being dropped as replayed frame by the receiving MLD.</w:t>
            </w:r>
          </w:p>
        </w:tc>
        <w:tc>
          <w:tcPr>
            <w:tcW w:w="2307" w:type="dxa"/>
          </w:tcPr>
          <w:p w14:paraId="7E2B4B15" w14:textId="028F64EE" w:rsidR="002C5F1C" w:rsidRDefault="002C5F1C" w:rsidP="002C5F1C">
            <w:pPr>
              <w:rPr>
                <w:rFonts w:ascii="Arial" w:hAnsi="Arial" w:cs="Arial"/>
                <w:sz w:val="20"/>
              </w:rPr>
            </w:pPr>
            <w:r>
              <w:rPr>
                <w:rFonts w:ascii="Arial" w:hAnsi="Arial" w:cs="Arial"/>
                <w:sz w:val="20"/>
                <w:szCs w:val="20"/>
              </w:rPr>
              <w:t>Clarify that the PN used to protect a frame shall not be incremented when the frame is re-transmitted by the MLD on another link.</w:t>
            </w:r>
          </w:p>
        </w:tc>
        <w:tc>
          <w:tcPr>
            <w:tcW w:w="2126" w:type="dxa"/>
          </w:tcPr>
          <w:p w14:paraId="0A4B8530" w14:textId="77777777" w:rsidR="00200B1E" w:rsidRPr="00966382" w:rsidRDefault="00200B1E" w:rsidP="00200B1E">
            <w:pPr>
              <w:rPr>
                <w:rFonts w:ascii="Arial" w:hAnsi="Arial" w:cs="Arial"/>
                <w:b/>
                <w:sz w:val="20"/>
                <w:szCs w:val="20"/>
              </w:rPr>
            </w:pPr>
            <w:r w:rsidRPr="00966382">
              <w:rPr>
                <w:rFonts w:ascii="Arial" w:hAnsi="Arial" w:cs="Arial"/>
                <w:b/>
                <w:sz w:val="20"/>
                <w:szCs w:val="20"/>
              </w:rPr>
              <w:t>Revised.</w:t>
            </w:r>
          </w:p>
          <w:p w14:paraId="0E4147F9" w14:textId="77777777" w:rsidR="00200B1E" w:rsidRPr="00966382" w:rsidRDefault="00200B1E" w:rsidP="00200B1E">
            <w:pPr>
              <w:rPr>
                <w:rFonts w:ascii="Arial" w:hAnsi="Arial" w:cs="Arial"/>
                <w:sz w:val="20"/>
                <w:szCs w:val="20"/>
              </w:rPr>
            </w:pPr>
          </w:p>
          <w:p w14:paraId="7972E482" w14:textId="64D1E9D2" w:rsidR="00200B1E" w:rsidRPr="00966382" w:rsidRDefault="00200B1E" w:rsidP="00200B1E">
            <w:pPr>
              <w:rPr>
                <w:rFonts w:ascii="Arial" w:hAnsi="Arial" w:cs="Arial"/>
                <w:sz w:val="20"/>
                <w:szCs w:val="20"/>
              </w:rPr>
            </w:pPr>
            <w:r>
              <w:rPr>
                <w:rFonts w:ascii="Arial" w:hAnsi="Arial" w:cs="Arial"/>
                <w:sz w:val="20"/>
                <w:szCs w:val="20"/>
              </w:rPr>
              <w:t>Agree with the comment that t</w:t>
            </w:r>
            <w:r w:rsidRPr="00200B1E">
              <w:rPr>
                <w:rFonts w:ascii="Arial" w:hAnsi="Arial" w:cs="Arial"/>
                <w:sz w:val="20"/>
                <w:szCs w:val="20"/>
              </w:rPr>
              <w:t>he PN used to protect a frame should not be incremented when the frame is re-transmitted by the MLD on another link</w:t>
            </w:r>
            <w:r>
              <w:rPr>
                <w:rFonts w:ascii="Arial" w:hAnsi="Arial" w:cs="Arial"/>
                <w:sz w:val="20"/>
                <w:szCs w:val="20"/>
              </w:rPr>
              <w:t>. However, the normative behaviour should be covered in clause 12. Here, we add a NOTE and refer the readers to clause 12.</w:t>
            </w:r>
          </w:p>
          <w:p w14:paraId="47B55340" w14:textId="77777777" w:rsidR="00200B1E" w:rsidRPr="00966382" w:rsidRDefault="00200B1E" w:rsidP="00200B1E">
            <w:pPr>
              <w:rPr>
                <w:rFonts w:ascii="Arial" w:hAnsi="Arial" w:cs="Arial"/>
                <w:sz w:val="20"/>
                <w:szCs w:val="20"/>
              </w:rPr>
            </w:pPr>
            <w:r w:rsidRPr="00966382">
              <w:rPr>
                <w:rFonts w:ascii="Arial" w:hAnsi="Arial" w:cs="Arial"/>
                <w:sz w:val="20"/>
                <w:szCs w:val="20"/>
              </w:rPr>
              <w:t xml:space="preserve"> </w:t>
            </w:r>
          </w:p>
          <w:p w14:paraId="5DEC5D7D" w14:textId="09ECF8FB" w:rsidR="002C5F1C" w:rsidRPr="00966382" w:rsidRDefault="00200B1E" w:rsidP="00200B1E">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0302</w:t>
            </w:r>
            <w:r w:rsidRPr="00966382">
              <w:rPr>
                <w:rFonts w:ascii="Arial" w:hAnsi="Arial" w:cs="Arial"/>
                <w:sz w:val="20"/>
                <w:szCs w:val="20"/>
              </w:rPr>
              <w:t>r0 under all headings that include CID</w:t>
            </w:r>
            <w:r>
              <w:rPr>
                <w:rFonts w:ascii="Arial" w:hAnsi="Arial" w:cs="Arial"/>
                <w:sz w:val="20"/>
                <w:szCs w:val="20"/>
              </w:rPr>
              <w:t xml:space="preserve"> 2598</w:t>
            </w:r>
            <w:r w:rsidRPr="00966382">
              <w:rPr>
                <w:rFonts w:ascii="Arial" w:hAnsi="Arial" w:cs="Arial"/>
                <w:sz w:val="20"/>
                <w:szCs w:val="20"/>
              </w:rPr>
              <w:t>.</w:t>
            </w:r>
          </w:p>
        </w:tc>
      </w:tr>
      <w:tr w:rsidR="002C5F1C" w:rsidRPr="00966382" w14:paraId="2B5092BA" w14:textId="77777777" w:rsidTr="00776049">
        <w:trPr>
          <w:trHeight w:val="243"/>
        </w:trPr>
        <w:tc>
          <w:tcPr>
            <w:tcW w:w="709" w:type="dxa"/>
          </w:tcPr>
          <w:p w14:paraId="09FA8F14" w14:textId="315EB835" w:rsidR="002C5F1C" w:rsidRDefault="002C5F1C" w:rsidP="002C5F1C">
            <w:pPr>
              <w:jc w:val="right"/>
              <w:rPr>
                <w:rFonts w:ascii="Arial" w:hAnsi="Arial" w:cs="Arial"/>
                <w:sz w:val="20"/>
              </w:rPr>
            </w:pPr>
            <w:r>
              <w:rPr>
                <w:rFonts w:ascii="Arial" w:hAnsi="Arial" w:cs="Arial"/>
                <w:sz w:val="20"/>
                <w:szCs w:val="20"/>
              </w:rPr>
              <w:t>2714</w:t>
            </w:r>
          </w:p>
        </w:tc>
        <w:tc>
          <w:tcPr>
            <w:tcW w:w="1276" w:type="dxa"/>
          </w:tcPr>
          <w:p w14:paraId="6C4F9D0C" w14:textId="19CD9502" w:rsidR="002C5F1C" w:rsidRDefault="002C5F1C" w:rsidP="002C5F1C">
            <w:pPr>
              <w:jc w:val="left"/>
              <w:rPr>
                <w:rFonts w:ascii="Arial" w:hAnsi="Arial" w:cs="Arial"/>
                <w:sz w:val="20"/>
              </w:rPr>
            </w:pPr>
            <w:r>
              <w:rPr>
                <w:rFonts w:ascii="Arial" w:hAnsi="Arial" w:cs="Arial"/>
                <w:sz w:val="20"/>
                <w:szCs w:val="20"/>
              </w:rPr>
              <w:t>Ryuichi Hirata</w:t>
            </w:r>
          </w:p>
        </w:tc>
        <w:tc>
          <w:tcPr>
            <w:tcW w:w="922" w:type="dxa"/>
          </w:tcPr>
          <w:p w14:paraId="4548CAB2" w14:textId="7EDA39B3" w:rsidR="002C5F1C" w:rsidRDefault="002C5F1C" w:rsidP="002C5F1C">
            <w:pPr>
              <w:rPr>
                <w:rFonts w:ascii="Arial" w:hAnsi="Arial" w:cs="Arial"/>
                <w:sz w:val="20"/>
              </w:rPr>
            </w:pPr>
            <w:r>
              <w:rPr>
                <w:rFonts w:ascii="Arial" w:hAnsi="Arial" w:cs="Arial"/>
                <w:sz w:val="20"/>
                <w:szCs w:val="20"/>
              </w:rPr>
              <w:t>35.3.6.3</w:t>
            </w:r>
          </w:p>
        </w:tc>
        <w:tc>
          <w:tcPr>
            <w:tcW w:w="720" w:type="dxa"/>
          </w:tcPr>
          <w:p w14:paraId="1494F9E4" w14:textId="14E48F47" w:rsidR="002C5F1C" w:rsidRDefault="002C5F1C" w:rsidP="002C5F1C">
            <w:pPr>
              <w:rPr>
                <w:rFonts w:ascii="Arial" w:hAnsi="Arial" w:cs="Arial"/>
                <w:sz w:val="20"/>
              </w:rPr>
            </w:pPr>
            <w:r>
              <w:rPr>
                <w:rFonts w:ascii="Arial" w:hAnsi="Arial" w:cs="Arial"/>
                <w:sz w:val="20"/>
                <w:szCs w:val="20"/>
              </w:rPr>
              <w:t>135</w:t>
            </w:r>
          </w:p>
        </w:tc>
        <w:tc>
          <w:tcPr>
            <w:tcW w:w="768" w:type="dxa"/>
          </w:tcPr>
          <w:p w14:paraId="32435088" w14:textId="1F594507" w:rsidR="002C5F1C" w:rsidRDefault="002C5F1C" w:rsidP="002C5F1C">
            <w:pPr>
              <w:rPr>
                <w:rFonts w:ascii="Arial" w:hAnsi="Arial" w:cs="Arial"/>
                <w:sz w:val="20"/>
              </w:rPr>
            </w:pPr>
            <w:r>
              <w:rPr>
                <w:rFonts w:ascii="Arial" w:hAnsi="Arial" w:cs="Arial"/>
                <w:sz w:val="20"/>
                <w:szCs w:val="20"/>
              </w:rPr>
              <w:t>8</w:t>
            </w:r>
          </w:p>
        </w:tc>
        <w:tc>
          <w:tcPr>
            <w:tcW w:w="1662" w:type="dxa"/>
          </w:tcPr>
          <w:p w14:paraId="5B754DCB" w14:textId="521FA75F" w:rsidR="002C5F1C" w:rsidRDefault="002C5F1C" w:rsidP="002C5F1C">
            <w:pPr>
              <w:rPr>
                <w:rFonts w:ascii="Arial" w:hAnsi="Arial" w:cs="Arial"/>
                <w:sz w:val="20"/>
              </w:rPr>
            </w:pPr>
            <w:r>
              <w:rPr>
                <w:rFonts w:ascii="Arial" w:hAnsi="Arial" w:cs="Arial"/>
                <w:sz w:val="20"/>
                <w:szCs w:val="20"/>
              </w:rPr>
              <w:t xml:space="preserve">An MLD may be unable to attempt retransmission on </w:t>
            </w:r>
            <w:proofErr w:type="gramStart"/>
            <w:r>
              <w:rPr>
                <w:rFonts w:ascii="Arial" w:hAnsi="Arial" w:cs="Arial"/>
                <w:sz w:val="20"/>
                <w:szCs w:val="20"/>
              </w:rPr>
              <w:t>other</w:t>
            </w:r>
            <w:proofErr w:type="gramEnd"/>
            <w:r>
              <w:rPr>
                <w:rFonts w:ascii="Arial" w:hAnsi="Arial" w:cs="Arial"/>
                <w:sz w:val="20"/>
                <w:szCs w:val="20"/>
              </w:rPr>
              <w:t xml:space="preserve"> link if other link entered doze state.</w:t>
            </w:r>
          </w:p>
        </w:tc>
        <w:tc>
          <w:tcPr>
            <w:tcW w:w="2307" w:type="dxa"/>
          </w:tcPr>
          <w:p w14:paraId="3E363D29" w14:textId="2364C819" w:rsidR="002C5F1C" w:rsidRDefault="002C5F1C" w:rsidP="002C5F1C">
            <w:pPr>
              <w:rPr>
                <w:rFonts w:ascii="Arial" w:hAnsi="Arial" w:cs="Arial"/>
                <w:sz w:val="20"/>
              </w:rPr>
            </w:pPr>
            <w:r>
              <w:rPr>
                <w:rFonts w:ascii="Arial" w:hAnsi="Arial" w:cs="Arial"/>
                <w:sz w:val="20"/>
                <w:szCs w:val="20"/>
              </w:rPr>
              <w:t xml:space="preserve">Solve this issue. This could be solved by defining indication of pending retransmission of the frame transmitted on </w:t>
            </w:r>
            <w:proofErr w:type="gramStart"/>
            <w:r>
              <w:rPr>
                <w:rFonts w:ascii="Arial" w:hAnsi="Arial" w:cs="Arial"/>
                <w:sz w:val="20"/>
                <w:szCs w:val="20"/>
              </w:rPr>
              <w:t>other</w:t>
            </w:r>
            <w:proofErr w:type="gramEnd"/>
            <w:r>
              <w:rPr>
                <w:rFonts w:ascii="Arial" w:hAnsi="Arial" w:cs="Arial"/>
                <w:sz w:val="20"/>
                <w:szCs w:val="20"/>
              </w:rPr>
              <w:t xml:space="preserve"> link.</w:t>
            </w:r>
          </w:p>
        </w:tc>
        <w:tc>
          <w:tcPr>
            <w:tcW w:w="2126" w:type="dxa"/>
          </w:tcPr>
          <w:p w14:paraId="1180C9F3" w14:textId="77777777" w:rsidR="0031062E" w:rsidRPr="00966382" w:rsidRDefault="0031062E" w:rsidP="0031062E">
            <w:pPr>
              <w:rPr>
                <w:rFonts w:ascii="Arial" w:hAnsi="Arial" w:cs="Arial"/>
                <w:b/>
                <w:sz w:val="20"/>
                <w:szCs w:val="20"/>
              </w:rPr>
            </w:pPr>
            <w:r w:rsidRPr="00966382">
              <w:rPr>
                <w:rFonts w:ascii="Arial" w:hAnsi="Arial" w:cs="Arial"/>
                <w:b/>
                <w:sz w:val="20"/>
                <w:szCs w:val="20"/>
              </w:rPr>
              <w:t>Revised.</w:t>
            </w:r>
          </w:p>
          <w:p w14:paraId="14D019D7" w14:textId="77777777" w:rsidR="0031062E" w:rsidRPr="00966382" w:rsidRDefault="0031062E" w:rsidP="0031062E">
            <w:pPr>
              <w:rPr>
                <w:rFonts w:ascii="Arial" w:hAnsi="Arial" w:cs="Arial"/>
                <w:sz w:val="20"/>
                <w:szCs w:val="20"/>
              </w:rPr>
            </w:pPr>
          </w:p>
          <w:p w14:paraId="0E7C072E" w14:textId="0F8B79F7" w:rsidR="0031062E" w:rsidRPr="00966382" w:rsidRDefault="0031062E" w:rsidP="0031062E">
            <w:pPr>
              <w:rPr>
                <w:rFonts w:ascii="Arial" w:hAnsi="Arial" w:cs="Arial"/>
                <w:sz w:val="20"/>
                <w:szCs w:val="20"/>
              </w:rPr>
            </w:pPr>
            <w:r>
              <w:rPr>
                <w:rFonts w:ascii="Arial" w:hAnsi="Arial" w:cs="Arial"/>
                <w:sz w:val="20"/>
                <w:szCs w:val="20"/>
              </w:rPr>
              <w:t>Agree with the comment that retransmissions of a frame on a link is subject to the power state of the STA operating on the link.</w:t>
            </w:r>
            <w:r w:rsidR="00145329">
              <w:rPr>
                <w:rFonts w:ascii="Arial" w:hAnsi="Arial" w:cs="Arial"/>
                <w:sz w:val="20"/>
                <w:szCs w:val="20"/>
              </w:rPr>
              <w:t xml:space="preserve"> However, existing power save mechanisms can already</w:t>
            </w:r>
            <w:r w:rsidR="00E35B21">
              <w:rPr>
                <w:rFonts w:ascii="Arial" w:hAnsi="Arial" w:cs="Arial"/>
                <w:sz w:val="20"/>
                <w:szCs w:val="20"/>
              </w:rPr>
              <w:t xml:space="preserve"> cover such cases.</w:t>
            </w:r>
            <w:r>
              <w:rPr>
                <w:rFonts w:ascii="Arial" w:hAnsi="Arial" w:cs="Arial"/>
                <w:sz w:val="20"/>
                <w:szCs w:val="20"/>
              </w:rPr>
              <w:t xml:space="preserve"> The text is modified to capture such restrictions and we also add a NOTE to clarify that the power state of STAs is one example of such restrictions. We note that similar expression is also used in </w:t>
            </w:r>
            <w:r w:rsidRPr="0031062E">
              <w:rPr>
                <w:rFonts w:ascii="Arial" w:hAnsi="Arial" w:cs="Arial"/>
                <w:sz w:val="20"/>
                <w:szCs w:val="20"/>
              </w:rPr>
              <w:t>35.3.6.1 TID-to-link mapping</w:t>
            </w:r>
            <w:r>
              <w:rPr>
                <w:rFonts w:ascii="Arial" w:hAnsi="Arial" w:cs="Arial"/>
                <w:sz w:val="20"/>
                <w:szCs w:val="20"/>
              </w:rPr>
              <w:t>.</w:t>
            </w:r>
          </w:p>
          <w:p w14:paraId="472C1A6C" w14:textId="77777777" w:rsidR="0031062E" w:rsidRPr="00966382" w:rsidRDefault="0031062E" w:rsidP="0031062E">
            <w:pPr>
              <w:rPr>
                <w:rFonts w:ascii="Arial" w:hAnsi="Arial" w:cs="Arial"/>
                <w:sz w:val="20"/>
                <w:szCs w:val="20"/>
              </w:rPr>
            </w:pPr>
            <w:r w:rsidRPr="00966382">
              <w:rPr>
                <w:rFonts w:ascii="Arial" w:hAnsi="Arial" w:cs="Arial"/>
                <w:sz w:val="20"/>
                <w:szCs w:val="20"/>
              </w:rPr>
              <w:lastRenderedPageBreak/>
              <w:t xml:space="preserve"> </w:t>
            </w:r>
          </w:p>
          <w:p w14:paraId="41D5349F" w14:textId="637A5748" w:rsidR="002C5F1C" w:rsidRPr="00966382" w:rsidRDefault="0031062E" w:rsidP="0031062E">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0302</w:t>
            </w:r>
            <w:r w:rsidRPr="00966382">
              <w:rPr>
                <w:rFonts w:ascii="Arial" w:hAnsi="Arial" w:cs="Arial"/>
                <w:sz w:val="20"/>
                <w:szCs w:val="20"/>
              </w:rPr>
              <w:t>r0 under all headings that include CID</w:t>
            </w:r>
            <w:r>
              <w:rPr>
                <w:rFonts w:ascii="Arial" w:hAnsi="Arial" w:cs="Arial"/>
                <w:sz w:val="20"/>
                <w:szCs w:val="20"/>
              </w:rPr>
              <w:t xml:space="preserve"> 2714</w:t>
            </w:r>
            <w:r w:rsidRPr="00966382">
              <w:rPr>
                <w:rFonts w:ascii="Arial" w:hAnsi="Arial" w:cs="Arial"/>
                <w:sz w:val="20"/>
                <w:szCs w:val="20"/>
              </w:rPr>
              <w:t>.</w:t>
            </w:r>
          </w:p>
        </w:tc>
      </w:tr>
      <w:tr w:rsidR="002C5F1C" w:rsidRPr="00966382" w14:paraId="3A9484CD" w14:textId="77777777" w:rsidTr="00776049">
        <w:trPr>
          <w:trHeight w:val="243"/>
        </w:trPr>
        <w:tc>
          <w:tcPr>
            <w:tcW w:w="709" w:type="dxa"/>
          </w:tcPr>
          <w:p w14:paraId="4D19B0AD" w14:textId="3EB9D3CB" w:rsidR="002C5F1C" w:rsidRDefault="002C5F1C" w:rsidP="002C5F1C">
            <w:pPr>
              <w:jc w:val="right"/>
              <w:rPr>
                <w:rFonts w:ascii="Arial" w:hAnsi="Arial" w:cs="Arial"/>
                <w:sz w:val="20"/>
              </w:rPr>
            </w:pPr>
            <w:r>
              <w:rPr>
                <w:rFonts w:ascii="Arial" w:hAnsi="Arial" w:cs="Arial"/>
                <w:sz w:val="20"/>
                <w:szCs w:val="20"/>
              </w:rPr>
              <w:lastRenderedPageBreak/>
              <w:t>3338</w:t>
            </w:r>
          </w:p>
        </w:tc>
        <w:tc>
          <w:tcPr>
            <w:tcW w:w="1276" w:type="dxa"/>
          </w:tcPr>
          <w:p w14:paraId="6D9BC525" w14:textId="79FED9B3" w:rsidR="002C5F1C" w:rsidRDefault="002C5F1C" w:rsidP="002C5F1C">
            <w:pPr>
              <w:jc w:val="left"/>
              <w:rPr>
                <w:rFonts w:ascii="Arial" w:hAnsi="Arial" w:cs="Arial"/>
                <w:sz w:val="20"/>
              </w:rPr>
            </w:pPr>
            <w:r>
              <w:rPr>
                <w:rFonts w:ascii="Arial" w:hAnsi="Arial" w:cs="Arial"/>
                <w:sz w:val="20"/>
                <w:szCs w:val="20"/>
              </w:rPr>
              <w:t>Yusuke Tanaka</w:t>
            </w:r>
          </w:p>
        </w:tc>
        <w:tc>
          <w:tcPr>
            <w:tcW w:w="922" w:type="dxa"/>
          </w:tcPr>
          <w:p w14:paraId="0BE716A7" w14:textId="40F2A8C1" w:rsidR="002C5F1C" w:rsidRDefault="002C5F1C" w:rsidP="002C5F1C">
            <w:pPr>
              <w:rPr>
                <w:rFonts w:ascii="Arial" w:hAnsi="Arial" w:cs="Arial"/>
                <w:sz w:val="20"/>
              </w:rPr>
            </w:pPr>
            <w:r>
              <w:rPr>
                <w:rFonts w:ascii="Arial" w:hAnsi="Arial" w:cs="Arial"/>
                <w:sz w:val="20"/>
                <w:szCs w:val="20"/>
              </w:rPr>
              <w:t>35.3.6.3</w:t>
            </w:r>
          </w:p>
        </w:tc>
        <w:tc>
          <w:tcPr>
            <w:tcW w:w="720" w:type="dxa"/>
          </w:tcPr>
          <w:p w14:paraId="3B5CC209" w14:textId="3840D05A" w:rsidR="002C5F1C" w:rsidRDefault="002C5F1C" w:rsidP="002C5F1C">
            <w:pPr>
              <w:rPr>
                <w:rFonts w:ascii="Arial" w:hAnsi="Arial" w:cs="Arial"/>
                <w:sz w:val="20"/>
              </w:rPr>
            </w:pPr>
            <w:r>
              <w:rPr>
                <w:rFonts w:ascii="Arial" w:hAnsi="Arial" w:cs="Arial"/>
                <w:sz w:val="20"/>
                <w:szCs w:val="20"/>
              </w:rPr>
              <w:t>135</w:t>
            </w:r>
          </w:p>
        </w:tc>
        <w:tc>
          <w:tcPr>
            <w:tcW w:w="768" w:type="dxa"/>
          </w:tcPr>
          <w:p w14:paraId="708CA40A" w14:textId="2985D72D" w:rsidR="002C5F1C" w:rsidRDefault="002C5F1C" w:rsidP="002C5F1C">
            <w:pPr>
              <w:rPr>
                <w:rFonts w:ascii="Arial" w:hAnsi="Arial" w:cs="Arial"/>
                <w:sz w:val="20"/>
              </w:rPr>
            </w:pPr>
            <w:r>
              <w:rPr>
                <w:rFonts w:ascii="Arial" w:hAnsi="Arial" w:cs="Arial"/>
                <w:sz w:val="20"/>
                <w:szCs w:val="20"/>
              </w:rPr>
              <w:t>10</w:t>
            </w:r>
          </w:p>
        </w:tc>
        <w:tc>
          <w:tcPr>
            <w:tcW w:w="1662" w:type="dxa"/>
          </w:tcPr>
          <w:p w14:paraId="5E7E0C7E" w14:textId="6C5D36BA" w:rsidR="002C5F1C" w:rsidRDefault="002C5F1C" w:rsidP="002C5F1C">
            <w:pPr>
              <w:rPr>
                <w:rFonts w:ascii="Arial" w:hAnsi="Arial" w:cs="Arial"/>
                <w:sz w:val="20"/>
              </w:rPr>
            </w:pPr>
            <w:r>
              <w:rPr>
                <w:rFonts w:ascii="Arial" w:hAnsi="Arial" w:cs="Arial"/>
                <w:sz w:val="20"/>
                <w:szCs w:val="20"/>
              </w:rPr>
              <w:t>The spec texts allow retransmission on any links, but the receiver doesn't know whether and in which link retransmission will be attempted, so the receiver can't put any link into sleep state.</w:t>
            </w:r>
          </w:p>
        </w:tc>
        <w:tc>
          <w:tcPr>
            <w:tcW w:w="2307" w:type="dxa"/>
          </w:tcPr>
          <w:p w14:paraId="24B2172A" w14:textId="4F0980FE" w:rsidR="002C5F1C" w:rsidRDefault="002C5F1C" w:rsidP="002C5F1C">
            <w:pPr>
              <w:rPr>
                <w:rFonts w:ascii="Arial" w:hAnsi="Arial" w:cs="Arial"/>
                <w:sz w:val="20"/>
              </w:rPr>
            </w:pPr>
            <w:r>
              <w:rPr>
                <w:rFonts w:ascii="Arial" w:hAnsi="Arial" w:cs="Arial"/>
                <w:sz w:val="20"/>
                <w:szCs w:val="20"/>
              </w:rPr>
              <w:t>Allow a receiver to know whether retransmission will be attempted by for example a frame exchange prior to the retransmission or indication in the transmitted frame.</w:t>
            </w:r>
          </w:p>
        </w:tc>
        <w:tc>
          <w:tcPr>
            <w:tcW w:w="2126" w:type="dxa"/>
          </w:tcPr>
          <w:p w14:paraId="77978583" w14:textId="65C5C664" w:rsidR="00145329" w:rsidRPr="00966382" w:rsidRDefault="00145329" w:rsidP="00145329">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jected</w:t>
            </w:r>
            <w:r w:rsidRPr="00966382">
              <w:rPr>
                <w:rFonts w:ascii="Arial" w:hAnsi="Arial" w:cs="Arial"/>
                <w:b/>
                <w:sz w:val="20"/>
                <w:szCs w:val="20"/>
              </w:rPr>
              <w:t>.</w:t>
            </w:r>
          </w:p>
          <w:p w14:paraId="4B50B049" w14:textId="77777777" w:rsidR="002C5F1C" w:rsidRDefault="002C5F1C" w:rsidP="002C5F1C">
            <w:pPr>
              <w:rPr>
                <w:rFonts w:ascii="Arial" w:hAnsi="Arial" w:cs="Arial"/>
                <w:b/>
                <w:sz w:val="20"/>
              </w:rPr>
            </w:pPr>
          </w:p>
          <w:p w14:paraId="5F2F747B" w14:textId="1F332F97" w:rsidR="00145329" w:rsidRPr="00145329" w:rsidRDefault="00145329" w:rsidP="002C5F1C">
            <w:pPr>
              <w:rPr>
                <w:rFonts w:ascii="Arial" w:hAnsi="Arial" w:cs="Arial"/>
                <w:bCs/>
                <w:sz w:val="20"/>
              </w:rPr>
            </w:pPr>
            <w:r>
              <w:rPr>
                <w:rFonts w:ascii="Arial" w:hAnsi="Arial" w:cs="Arial"/>
                <w:bCs/>
                <w:sz w:val="20"/>
              </w:rPr>
              <w:t>There is no difference between a retransmission and the original transmission in terms of a receiver STA’s power state. If a receiving STA is operating in power save mode, the rules that apply to the initial transmission also apply for the retransmitted frame (e.g</w:t>
            </w:r>
            <w:r w:rsidR="0017130C">
              <w:rPr>
                <w:rFonts w:ascii="Arial" w:hAnsi="Arial" w:cs="Arial"/>
                <w:bCs/>
                <w:sz w:val="20"/>
              </w:rPr>
              <w:t>.,</w:t>
            </w:r>
            <w:r>
              <w:rPr>
                <w:rFonts w:ascii="Arial" w:hAnsi="Arial" w:cs="Arial"/>
                <w:bCs/>
                <w:sz w:val="20"/>
              </w:rPr>
              <w:t xml:space="preserve"> buffering of BUs at the AP etc.). </w:t>
            </w:r>
          </w:p>
        </w:tc>
      </w:tr>
      <w:tr w:rsidR="002C5F1C" w:rsidRPr="00966382" w14:paraId="1F967CD6" w14:textId="77777777" w:rsidTr="00776049">
        <w:trPr>
          <w:trHeight w:val="243"/>
        </w:trPr>
        <w:tc>
          <w:tcPr>
            <w:tcW w:w="709" w:type="dxa"/>
          </w:tcPr>
          <w:p w14:paraId="1C220642" w14:textId="0E9CA1F5" w:rsidR="002C5F1C" w:rsidRDefault="002C5F1C" w:rsidP="002C5F1C">
            <w:pPr>
              <w:jc w:val="right"/>
              <w:rPr>
                <w:rFonts w:ascii="Arial" w:hAnsi="Arial" w:cs="Arial"/>
                <w:sz w:val="20"/>
              </w:rPr>
            </w:pPr>
            <w:r>
              <w:rPr>
                <w:rFonts w:ascii="Arial" w:hAnsi="Arial" w:cs="Arial"/>
                <w:sz w:val="20"/>
                <w:szCs w:val="20"/>
              </w:rPr>
              <w:t>3381</w:t>
            </w:r>
          </w:p>
        </w:tc>
        <w:tc>
          <w:tcPr>
            <w:tcW w:w="1276" w:type="dxa"/>
          </w:tcPr>
          <w:p w14:paraId="6056E42C" w14:textId="29FDE7DB" w:rsidR="002C5F1C" w:rsidRDefault="002C5F1C" w:rsidP="002C5F1C">
            <w:pPr>
              <w:jc w:val="left"/>
              <w:rPr>
                <w:rFonts w:ascii="Arial" w:hAnsi="Arial" w:cs="Arial"/>
                <w:sz w:val="20"/>
              </w:rPr>
            </w:pPr>
            <w:r>
              <w:rPr>
                <w:rFonts w:ascii="Arial" w:hAnsi="Arial" w:cs="Arial"/>
                <w:sz w:val="20"/>
                <w:szCs w:val="20"/>
              </w:rPr>
              <w:t>Zhou Lan</w:t>
            </w:r>
          </w:p>
        </w:tc>
        <w:tc>
          <w:tcPr>
            <w:tcW w:w="922" w:type="dxa"/>
          </w:tcPr>
          <w:p w14:paraId="007C66CC" w14:textId="0CB48AB6" w:rsidR="002C5F1C" w:rsidRDefault="002C5F1C" w:rsidP="002C5F1C">
            <w:pPr>
              <w:rPr>
                <w:rFonts w:ascii="Arial" w:hAnsi="Arial" w:cs="Arial"/>
                <w:sz w:val="20"/>
              </w:rPr>
            </w:pPr>
            <w:r>
              <w:rPr>
                <w:rFonts w:ascii="Arial" w:hAnsi="Arial" w:cs="Arial"/>
                <w:sz w:val="20"/>
                <w:szCs w:val="20"/>
              </w:rPr>
              <w:t>35.3.6.3</w:t>
            </w:r>
          </w:p>
        </w:tc>
        <w:tc>
          <w:tcPr>
            <w:tcW w:w="720" w:type="dxa"/>
          </w:tcPr>
          <w:p w14:paraId="3F80486C" w14:textId="053A2CE8" w:rsidR="002C5F1C" w:rsidRDefault="002C5F1C" w:rsidP="002C5F1C">
            <w:pPr>
              <w:rPr>
                <w:rFonts w:ascii="Arial" w:hAnsi="Arial" w:cs="Arial"/>
                <w:sz w:val="20"/>
              </w:rPr>
            </w:pPr>
            <w:r>
              <w:rPr>
                <w:rFonts w:ascii="Arial" w:hAnsi="Arial" w:cs="Arial"/>
                <w:sz w:val="20"/>
                <w:szCs w:val="20"/>
              </w:rPr>
              <w:t>135</w:t>
            </w:r>
          </w:p>
        </w:tc>
        <w:tc>
          <w:tcPr>
            <w:tcW w:w="768" w:type="dxa"/>
          </w:tcPr>
          <w:p w14:paraId="37672670" w14:textId="23D96A05" w:rsidR="002C5F1C" w:rsidRDefault="002C5F1C" w:rsidP="002C5F1C">
            <w:pPr>
              <w:rPr>
                <w:rFonts w:ascii="Arial" w:hAnsi="Arial" w:cs="Arial"/>
                <w:sz w:val="20"/>
              </w:rPr>
            </w:pPr>
            <w:r>
              <w:rPr>
                <w:rFonts w:ascii="Arial" w:hAnsi="Arial" w:cs="Arial"/>
                <w:sz w:val="20"/>
                <w:szCs w:val="20"/>
              </w:rPr>
              <w:t>6</w:t>
            </w:r>
          </w:p>
        </w:tc>
        <w:tc>
          <w:tcPr>
            <w:tcW w:w="1662" w:type="dxa"/>
          </w:tcPr>
          <w:p w14:paraId="0B3A5568" w14:textId="3AA68131" w:rsidR="002C5F1C" w:rsidRDefault="002C5F1C" w:rsidP="002C5F1C">
            <w:pPr>
              <w:rPr>
                <w:rFonts w:ascii="Arial" w:hAnsi="Arial" w:cs="Arial"/>
                <w:sz w:val="20"/>
              </w:rPr>
            </w:pPr>
            <w:r>
              <w:rPr>
                <w:rFonts w:ascii="Arial" w:hAnsi="Arial" w:cs="Arial"/>
                <w:sz w:val="20"/>
                <w:szCs w:val="20"/>
              </w:rPr>
              <w:t xml:space="preserve">A MPDU that doesn't belong to any </w:t>
            </w:r>
            <w:proofErr w:type="spellStart"/>
            <w:r>
              <w:rPr>
                <w:rFonts w:ascii="Arial" w:hAnsi="Arial" w:cs="Arial"/>
                <w:sz w:val="20"/>
                <w:szCs w:val="20"/>
              </w:rPr>
              <w:t>bloack</w:t>
            </w:r>
            <w:proofErr w:type="spellEnd"/>
            <w:r>
              <w:rPr>
                <w:rFonts w:ascii="Arial" w:hAnsi="Arial" w:cs="Arial"/>
                <w:sz w:val="20"/>
                <w:szCs w:val="20"/>
              </w:rPr>
              <w:t xml:space="preserve"> ack agreement </w:t>
            </w:r>
            <w:proofErr w:type="spellStart"/>
            <w:r>
              <w:rPr>
                <w:rFonts w:ascii="Arial" w:hAnsi="Arial" w:cs="Arial"/>
                <w:sz w:val="20"/>
                <w:szCs w:val="20"/>
              </w:rPr>
              <w:t>can not</w:t>
            </w:r>
            <w:proofErr w:type="spellEnd"/>
            <w:r>
              <w:rPr>
                <w:rFonts w:ascii="Arial" w:hAnsi="Arial" w:cs="Arial"/>
                <w:sz w:val="20"/>
                <w:szCs w:val="20"/>
              </w:rPr>
              <w:t xml:space="preserve"> be </w:t>
            </w:r>
            <w:proofErr w:type="spellStart"/>
            <w:r>
              <w:rPr>
                <w:rFonts w:ascii="Arial" w:hAnsi="Arial" w:cs="Arial"/>
                <w:sz w:val="20"/>
                <w:szCs w:val="20"/>
              </w:rPr>
              <w:t>retrasmitted</w:t>
            </w:r>
            <w:proofErr w:type="spellEnd"/>
            <w:r>
              <w:rPr>
                <w:rFonts w:ascii="Arial" w:hAnsi="Arial" w:cs="Arial"/>
                <w:sz w:val="20"/>
                <w:szCs w:val="20"/>
              </w:rPr>
              <w:t>? Please clarify.</w:t>
            </w:r>
          </w:p>
        </w:tc>
        <w:tc>
          <w:tcPr>
            <w:tcW w:w="2307" w:type="dxa"/>
          </w:tcPr>
          <w:p w14:paraId="57EB2B88" w14:textId="20B70460" w:rsidR="002C5F1C" w:rsidRDefault="002C5F1C" w:rsidP="002C5F1C">
            <w:pPr>
              <w:rPr>
                <w:rFonts w:ascii="Arial" w:hAnsi="Arial" w:cs="Arial"/>
                <w:sz w:val="20"/>
              </w:rPr>
            </w:pPr>
            <w:r>
              <w:rPr>
                <w:rFonts w:ascii="Arial" w:hAnsi="Arial" w:cs="Arial"/>
                <w:sz w:val="20"/>
                <w:szCs w:val="20"/>
              </w:rPr>
              <w:t>As stated in the comment</w:t>
            </w:r>
          </w:p>
        </w:tc>
        <w:tc>
          <w:tcPr>
            <w:tcW w:w="2126" w:type="dxa"/>
          </w:tcPr>
          <w:p w14:paraId="76FCB3F6" w14:textId="77777777" w:rsidR="00680DA9" w:rsidRPr="00966382" w:rsidRDefault="00680DA9" w:rsidP="00680DA9">
            <w:pPr>
              <w:rPr>
                <w:rFonts w:ascii="Arial" w:hAnsi="Arial" w:cs="Arial"/>
                <w:b/>
                <w:sz w:val="20"/>
                <w:szCs w:val="20"/>
              </w:rPr>
            </w:pPr>
            <w:r w:rsidRPr="00966382">
              <w:rPr>
                <w:rFonts w:ascii="Arial" w:hAnsi="Arial" w:cs="Arial"/>
                <w:b/>
                <w:sz w:val="20"/>
                <w:szCs w:val="20"/>
              </w:rPr>
              <w:t>Revised.</w:t>
            </w:r>
          </w:p>
          <w:p w14:paraId="5790CFF7" w14:textId="77777777" w:rsidR="00680DA9" w:rsidRPr="00966382" w:rsidRDefault="00680DA9" w:rsidP="00680DA9">
            <w:pPr>
              <w:rPr>
                <w:rFonts w:ascii="Arial" w:hAnsi="Arial" w:cs="Arial"/>
                <w:sz w:val="20"/>
                <w:szCs w:val="20"/>
              </w:rPr>
            </w:pPr>
          </w:p>
          <w:p w14:paraId="5F2B0733" w14:textId="6C1E3793" w:rsidR="008712F8" w:rsidRDefault="00680DA9" w:rsidP="00680DA9">
            <w:pPr>
              <w:rPr>
                <w:rFonts w:ascii="Arial" w:hAnsi="Arial" w:cs="Arial"/>
                <w:bCs/>
                <w:sz w:val="20"/>
              </w:rPr>
            </w:pPr>
            <w:r>
              <w:rPr>
                <w:rFonts w:ascii="Arial" w:hAnsi="Arial" w:cs="Arial"/>
                <w:sz w:val="20"/>
                <w:szCs w:val="20"/>
              </w:rPr>
              <w:t xml:space="preserve">Agree with the comment that </w:t>
            </w:r>
            <w:proofErr w:type="spellStart"/>
            <w:r>
              <w:rPr>
                <w:rFonts w:ascii="Arial" w:hAnsi="Arial" w:cs="Arial"/>
                <w:sz w:val="20"/>
                <w:szCs w:val="20"/>
              </w:rPr>
              <w:t>MPDus</w:t>
            </w:r>
            <w:proofErr w:type="spellEnd"/>
            <w:r>
              <w:rPr>
                <w:rFonts w:ascii="Arial" w:hAnsi="Arial" w:cs="Arial"/>
                <w:sz w:val="20"/>
                <w:szCs w:val="20"/>
              </w:rPr>
              <w:t xml:space="preserve"> that do not have block ack agreements may also be retransmitted on other links. However, this case is already described in </w:t>
            </w:r>
            <w:r w:rsidR="008712F8" w:rsidRPr="008712F8">
              <w:rPr>
                <w:rFonts w:ascii="Arial" w:hAnsi="Arial" w:cs="Arial"/>
                <w:bCs/>
                <w:sz w:val="20"/>
              </w:rPr>
              <w:t>35.3.11</w:t>
            </w:r>
            <w:r w:rsidR="00F11351">
              <w:rPr>
                <w:rFonts w:ascii="Arial" w:hAnsi="Arial" w:cs="Arial"/>
                <w:bCs/>
                <w:sz w:val="20"/>
              </w:rPr>
              <w:t xml:space="preserve"> (</w:t>
            </w:r>
            <w:r w:rsidR="008712F8" w:rsidRPr="008712F8">
              <w:rPr>
                <w:rFonts w:ascii="Arial" w:hAnsi="Arial" w:cs="Arial"/>
                <w:bCs/>
                <w:sz w:val="20"/>
              </w:rPr>
              <w:t>Multi-link device individually addressed data delivery without block ack negotiation</w:t>
            </w:r>
            <w:r w:rsidR="00F11351">
              <w:rPr>
                <w:rFonts w:ascii="Arial" w:hAnsi="Arial" w:cs="Arial"/>
                <w:bCs/>
                <w:sz w:val="20"/>
              </w:rPr>
              <w:t>)</w:t>
            </w:r>
            <w:r>
              <w:rPr>
                <w:rFonts w:ascii="Arial" w:hAnsi="Arial" w:cs="Arial"/>
                <w:bCs/>
                <w:sz w:val="20"/>
              </w:rPr>
              <w:t xml:space="preserve">. Text is added to refer the readers to </w:t>
            </w:r>
            <w:r w:rsidRPr="008712F8">
              <w:rPr>
                <w:rFonts w:ascii="Arial" w:hAnsi="Arial" w:cs="Arial"/>
                <w:bCs/>
                <w:sz w:val="20"/>
              </w:rPr>
              <w:t>35.3.11</w:t>
            </w:r>
            <w:r>
              <w:rPr>
                <w:rFonts w:ascii="Arial" w:hAnsi="Arial" w:cs="Arial"/>
                <w:bCs/>
                <w:sz w:val="20"/>
              </w:rPr>
              <w:t xml:space="preserve"> for </w:t>
            </w:r>
            <w:r w:rsidR="00F11351">
              <w:rPr>
                <w:rFonts w:ascii="Arial" w:hAnsi="Arial" w:cs="Arial"/>
                <w:bCs/>
                <w:sz w:val="20"/>
              </w:rPr>
              <w:t xml:space="preserve">retransmissions in </w:t>
            </w:r>
            <w:r>
              <w:rPr>
                <w:rFonts w:ascii="Arial" w:hAnsi="Arial" w:cs="Arial"/>
                <w:bCs/>
                <w:sz w:val="20"/>
              </w:rPr>
              <w:t>the case without block ack agreement.</w:t>
            </w:r>
          </w:p>
          <w:p w14:paraId="33F498A6" w14:textId="77777777" w:rsidR="00680DA9" w:rsidRDefault="00680DA9" w:rsidP="00680DA9">
            <w:pPr>
              <w:rPr>
                <w:rFonts w:ascii="Arial" w:hAnsi="Arial" w:cs="Arial"/>
                <w:bCs/>
                <w:sz w:val="20"/>
              </w:rPr>
            </w:pPr>
          </w:p>
          <w:p w14:paraId="73F1D572" w14:textId="16ED51D1" w:rsidR="00680DA9" w:rsidRPr="008712F8" w:rsidRDefault="00680DA9" w:rsidP="00680DA9">
            <w:pPr>
              <w:rPr>
                <w:rFonts w:ascii="Arial" w:hAnsi="Arial" w:cs="Arial"/>
                <w:bCs/>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0302</w:t>
            </w:r>
            <w:r w:rsidRPr="00966382">
              <w:rPr>
                <w:rFonts w:ascii="Arial" w:hAnsi="Arial" w:cs="Arial"/>
                <w:sz w:val="20"/>
                <w:szCs w:val="20"/>
              </w:rPr>
              <w:t>r0 under all headings that include CID</w:t>
            </w:r>
            <w:r>
              <w:rPr>
                <w:rFonts w:ascii="Arial" w:hAnsi="Arial" w:cs="Arial"/>
                <w:sz w:val="20"/>
                <w:szCs w:val="20"/>
              </w:rPr>
              <w:t xml:space="preserve"> 3381</w:t>
            </w:r>
            <w:r w:rsidRPr="00966382">
              <w:rPr>
                <w:rFonts w:ascii="Arial" w:hAnsi="Arial" w:cs="Arial"/>
                <w:sz w:val="20"/>
                <w:szCs w:val="20"/>
              </w:rPr>
              <w:t>.</w:t>
            </w:r>
          </w:p>
        </w:tc>
      </w:tr>
      <w:tr w:rsidR="00F50238" w:rsidRPr="00966382" w14:paraId="05A80492" w14:textId="77777777" w:rsidTr="00776049">
        <w:trPr>
          <w:trHeight w:val="243"/>
        </w:trPr>
        <w:tc>
          <w:tcPr>
            <w:tcW w:w="709" w:type="dxa"/>
          </w:tcPr>
          <w:p w14:paraId="52AF1ABE" w14:textId="4219440F" w:rsidR="00F50238" w:rsidRPr="00F50238" w:rsidRDefault="00F50238" w:rsidP="00F50238">
            <w:pPr>
              <w:jc w:val="right"/>
              <w:rPr>
                <w:rFonts w:ascii="Arial" w:hAnsi="Arial" w:cs="Arial"/>
                <w:sz w:val="20"/>
                <w:szCs w:val="20"/>
              </w:rPr>
            </w:pPr>
            <w:r w:rsidRPr="00F50238">
              <w:rPr>
                <w:rFonts w:ascii="Arial" w:hAnsi="Arial" w:cs="Arial"/>
                <w:sz w:val="20"/>
                <w:szCs w:val="20"/>
              </w:rPr>
              <w:t>3382</w:t>
            </w:r>
          </w:p>
        </w:tc>
        <w:tc>
          <w:tcPr>
            <w:tcW w:w="1276" w:type="dxa"/>
          </w:tcPr>
          <w:p w14:paraId="22A1DB1E" w14:textId="5E54C233" w:rsidR="00F50238" w:rsidRPr="00F50238" w:rsidRDefault="00F50238" w:rsidP="00F50238">
            <w:pPr>
              <w:jc w:val="left"/>
              <w:rPr>
                <w:rFonts w:ascii="Arial" w:hAnsi="Arial" w:cs="Arial"/>
                <w:sz w:val="20"/>
                <w:szCs w:val="20"/>
              </w:rPr>
            </w:pPr>
            <w:r w:rsidRPr="00F50238">
              <w:rPr>
                <w:rFonts w:ascii="Arial" w:hAnsi="Arial" w:cs="Arial"/>
                <w:sz w:val="20"/>
                <w:szCs w:val="20"/>
              </w:rPr>
              <w:t>Zhou Lan</w:t>
            </w:r>
          </w:p>
        </w:tc>
        <w:tc>
          <w:tcPr>
            <w:tcW w:w="922" w:type="dxa"/>
          </w:tcPr>
          <w:p w14:paraId="365FDD8C" w14:textId="74AAF4B1" w:rsidR="00F50238" w:rsidRPr="00F50238" w:rsidRDefault="00F50238" w:rsidP="00F50238">
            <w:pPr>
              <w:rPr>
                <w:rFonts w:ascii="Arial" w:hAnsi="Arial" w:cs="Arial"/>
                <w:sz w:val="20"/>
                <w:szCs w:val="20"/>
              </w:rPr>
            </w:pPr>
            <w:r w:rsidRPr="00F50238">
              <w:rPr>
                <w:rFonts w:ascii="Arial" w:hAnsi="Arial" w:cs="Arial"/>
                <w:sz w:val="20"/>
                <w:szCs w:val="20"/>
              </w:rPr>
              <w:t>35.3.7.1.1</w:t>
            </w:r>
          </w:p>
        </w:tc>
        <w:tc>
          <w:tcPr>
            <w:tcW w:w="720" w:type="dxa"/>
          </w:tcPr>
          <w:p w14:paraId="16C320EC" w14:textId="5D7A2628" w:rsidR="00F50238" w:rsidRPr="00F50238" w:rsidRDefault="00F50238" w:rsidP="00F50238">
            <w:pPr>
              <w:rPr>
                <w:rFonts w:ascii="Arial" w:hAnsi="Arial" w:cs="Arial"/>
                <w:sz w:val="20"/>
                <w:szCs w:val="20"/>
              </w:rPr>
            </w:pPr>
            <w:r w:rsidRPr="00F50238">
              <w:rPr>
                <w:rFonts w:ascii="Arial" w:hAnsi="Arial" w:cs="Arial"/>
                <w:sz w:val="20"/>
                <w:szCs w:val="20"/>
              </w:rPr>
              <w:t>135</w:t>
            </w:r>
          </w:p>
        </w:tc>
        <w:tc>
          <w:tcPr>
            <w:tcW w:w="768" w:type="dxa"/>
          </w:tcPr>
          <w:p w14:paraId="56D2C823" w14:textId="3216B01D" w:rsidR="00F50238" w:rsidRPr="00F50238" w:rsidRDefault="00F50238" w:rsidP="00F50238">
            <w:pPr>
              <w:rPr>
                <w:rFonts w:ascii="Arial" w:hAnsi="Arial" w:cs="Arial"/>
                <w:sz w:val="20"/>
                <w:szCs w:val="20"/>
              </w:rPr>
            </w:pPr>
            <w:r w:rsidRPr="00F50238">
              <w:rPr>
                <w:rFonts w:ascii="Arial" w:hAnsi="Arial" w:cs="Arial"/>
                <w:sz w:val="20"/>
                <w:szCs w:val="20"/>
              </w:rPr>
              <w:t>42</w:t>
            </w:r>
          </w:p>
        </w:tc>
        <w:tc>
          <w:tcPr>
            <w:tcW w:w="1662" w:type="dxa"/>
          </w:tcPr>
          <w:p w14:paraId="6F54CEB6" w14:textId="2C6D39C8" w:rsidR="00F50238" w:rsidRPr="00F50238" w:rsidRDefault="00F50238" w:rsidP="00F50238">
            <w:pPr>
              <w:rPr>
                <w:rFonts w:ascii="Arial" w:hAnsi="Arial" w:cs="Arial"/>
                <w:sz w:val="20"/>
                <w:szCs w:val="20"/>
              </w:rPr>
            </w:pPr>
            <w:r w:rsidRPr="00F50238">
              <w:rPr>
                <w:rFonts w:ascii="Arial" w:hAnsi="Arial" w:cs="Arial"/>
                <w:sz w:val="20"/>
                <w:szCs w:val="20"/>
              </w:rPr>
              <w:t>Turn this Note to formative text</w:t>
            </w:r>
          </w:p>
        </w:tc>
        <w:tc>
          <w:tcPr>
            <w:tcW w:w="2307" w:type="dxa"/>
          </w:tcPr>
          <w:p w14:paraId="238B20D1" w14:textId="754E80AD" w:rsidR="00F50238" w:rsidRPr="00F50238" w:rsidRDefault="00F50238" w:rsidP="00F50238">
            <w:pPr>
              <w:rPr>
                <w:rFonts w:ascii="Arial" w:hAnsi="Arial" w:cs="Arial"/>
                <w:sz w:val="20"/>
                <w:szCs w:val="20"/>
              </w:rPr>
            </w:pPr>
            <w:r w:rsidRPr="00F50238">
              <w:rPr>
                <w:rFonts w:ascii="Arial" w:hAnsi="Arial" w:cs="Arial"/>
                <w:sz w:val="20"/>
                <w:szCs w:val="20"/>
              </w:rPr>
              <w:t>As stated in the comment</w:t>
            </w:r>
          </w:p>
        </w:tc>
        <w:tc>
          <w:tcPr>
            <w:tcW w:w="2126" w:type="dxa"/>
          </w:tcPr>
          <w:p w14:paraId="2D44597E" w14:textId="112BC14B" w:rsidR="00AA227D" w:rsidRPr="00966382" w:rsidRDefault="00AA227D" w:rsidP="00AA227D">
            <w:pPr>
              <w:rPr>
                <w:rFonts w:ascii="Arial" w:hAnsi="Arial" w:cs="Arial"/>
                <w:b/>
                <w:sz w:val="20"/>
                <w:szCs w:val="20"/>
              </w:rPr>
            </w:pPr>
            <w:r w:rsidRPr="00966382">
              <w:rPr>
                <w:rFonts w:ascii="Arial" w:hAnsi="Arial" w:cs="Arial"/>
                <w:b/>
                <w:sz w:val="20"/>
                <w:szCs w:val="20"/>
              </w:rPr>
              <w:t>Re</w:t>
            </w:r>
            <w:r w:rsidR="0017130C">
              <w:rPr>
                <w:rFonts w:ascii="Arial" w:hAnsi="Arial" w:cs="Arial"/>
                <w:b/>
                <w:sz w:val="20"/>
                <w:szCs w:val="20"/>
              </w:rPr>
              <w:t>jected</w:t>
            </w:r>
            <w:r w:rsidRPr="00966382">
              <w:rPr>
                <w:rFonts w:ascii="Arial" w:hAnsi="Arial" w:cs="Arial"/>
                <w:b/>
                <w:sz w:val="20"/>
                <w:szCs w:val="20"/>
              </w:rPr>
              <w:t>.</w:t>
            </w:r>
          </w:p>
          <w:p w14:paraId="322A1243" w14:textId="77777777" w:rsidR="00AA227D" w:rsidRPr="00966382" w:rsidRDefault="00AA227D" w:rsidP="00AA227D">
            <w:pPr>
              <w:rPr>
                <w:rFonts w:ascii="Arial" w:hAnsi="Arial" w:cs="Arial"/>
                <w:sz w:val="20"/>
                <w:szCs w:val="20"/>
              </w:rPr>
            </w:pPr>
          </w:p>
          <w:p w14:paraId="2B76BFC7" w14:textId="128E73EC" w:rsidR="00F50238" w:rsidRPr="00F50238" w:rsidRDefault="00AA227D" w:rsidP="00AA227D">
            <w:pPr>
              <w:rPr>
                <w:rFonts w:ascii="Arial" w:hAnsi="Arial" w:cs="Arial"/>
                <w:sz w:val="20"/>
                <w:szCs w:val="20"/>
              </w:rPr>
            </w:pPr>
            <w:r>
              <w:rPr>
                <w:rFonts w:ascii="Arial" w:hAnsi="Arial" w:cs="Arial"/>
                <w:sz w:val="20"/>
                <w:szCs w:val="20"/>
              </w:rPr>
              <w:t xml:space="preserve">While we agree with the comment, the referred NOTE 2 has </w:t>
            </w:r>
            <w:r>
              <w:rPr>
                <w:rFonts w:ascii="Arial" w:hAnsi="Arial" w:cs="Arial"/>
                <w:sz w:val="20"/>
                <w:szCs w:val="20"/>
              </w:rPr>
              <w:lastRenderedPageBreak/>
              <w:t xml:space="preserve">been deleted as part of resolution of CID 1064. The content of the NOTE 2 is already captured as normative text in </w:t>
            </w:r>
            <w:r w:rsidRPr="00AA227D">
              <w:rPr>
                <w:rFonts w:ascii="Arial" w:hAnsi="Arial" w:cs="Arial"/>
                <w:sz w:val="20"/>
                <w:szCs w:val="20"/>
              </w:rPr>
              <w:t>35.3.7.1.2</w:t>
            </w:r>
            <w:r>
              <w:rPr>
                <w:rFonts w:ascii="Arial" w:hAnsi="Arial" w:cs="Arial"/>
                <w:sz w:val="20"/>
                <w:szCs w:val="20"/>
              </w:rPr>
              <w:t xml:space="preserve"> (</w:t>
            </w:r>
            <w:r w:rsidRPr="00AA227D">
              <w:rPr>
                <w:rFonts w:ascii="Arial" w:hAnsi="Arial" w:cs="Arial"/>
                <w:sz w:val="20"/>
                <w:szCs w:val="20"/>
              </w:rPr>
              <w:t>Multi-link retransmit</w:t>
            </w:r>
            <w:r>
              <w:rPr>
                <w:rFonts w:ascii="Arial" w:hAnsi="Arial" w:cs="Arial"/>
                <w:sz w:val="20"/>
                <w:szCs w:val="20"/>
              </w:rPr>
              <w:t xml:space="preserve"> </w:t>
            </w:r>
            <w:r w:rsidRPr="00AA227D">
              <w:rPr>
                <w:rFonts w:ascii="Arial" w:hAnsi="Arial" w:cs="Arial"/>
                <w:sz w:val="20"/>
                <w:szCs w:val="20"/>
              </w:rPr>
              <w:t>procedures</w:t>
            </w:r>
            <w:r>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2C43F320"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7F3E4533"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4E675E">
        <w:rPr>
          <w:sz w:val="24"/>
          <w:lang w:val="en-GB"/>
        </w:rPr>
        <w:t xml:space="preserve">1064, </w:t>
      </w:r>
      <w:r w:rsidR="000D5C70">
        <w:rPr>
          <w:sz w:val="24"/>
          <w:lang w:val="en-GB"/>
        </w:rPr>
        <w:t>2503</w:t>
      </w:r>
      <w:r w:rsidR="000574F4" w:rsidRPr="000574F4">
        <w:rPr>
          <w:sz w:val="24"/>
          <w:lang w:val="en-GB"/>
        </w:rPr>
        <w:t xml:space="preserve">, </w:t>
      </w:r>
      <w:r w:rsidR="004D4D80" w:rsidRPr="0031062E">
        <w:rPr>
          <w:bCs/>
          <w:iCs/>
          <w:sz w:val="24"/>
        </w:rPr>
        <w:t>2714</w:t>
      </w:r>
      <w:r w:rsidR="004D4D80">
        <w:rPr>
          <w:bCs/>
          <w:iCs/>
          <w:sz w:val="24"/>
        </w:rPr>
        <w:t xml:space="preserve">, </w:t>
      </w:r>
      <w:r w:rsidR="004D4D80" w:rsidRPr="004D4D80">
        <w:rPr>
          <w:bCs/>
          <w:iCs/>
          <w:sz w:val="24"/>
        </w:rPr>
        <w:t>2598</w:t>
      </w:r>
      <w:r w:rsidR="004D4D80">
        <w:rPr>
          <w:bCs/>
          <w:iCs/>
          <w:sz w:val="24"/>
        </w:rPr>
        <w:t xml:space="preserve">, </w:t>
      </w:r>
      <w:r w:rsidR="00F126F6" w:rsidRPr="00F126F6">
        <w:rPr>
          <w:sz w:val="24"/>
          <w:lang w:val="en-GB"/>
        </w:rPr>
        <w:t>3381</w:t>
      </w:r>
      <w:r w:rsidR="00F126F6">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0574F4">
        <w:rPr>
          <w:sz w:val="24"/>
          <w:lang w:val="en-GB"/>
        </w:rPr>
        <w:t>2</w:t>
      </w:r>
      <w:r w:rsidR="005E5272" w:rsidRPr="00E3607E">
        <w:rPr>
          <w:sz w:val="24"/>
        </w:rPr>
        <w:t>1/</w:t>
      </w:r>
      <w:r w:rsidR="000D5C70">
        <w:rPr>
          <w:sz w:val="24"/>
        </w:rPr>
        <w:t>0302</w:t>
      </w:r>
      <w:r w:rsidR="00826352" w:rsidRPr="00E974E7">
        <w:rPr>
          <w:sz w:val="24"/>
        </w:rPr>
        <w:t>r0.</w:t>
      </w:r>
      <w:r w:rsidR="00E26544">
        <w:rPr>
          <w:sz w:val="24"/>
        </w:rPr>
        <w:t xml:space="preserve"> </w:t>
      </w:r>
    </w:p>
    <w:p w14:paraId="69DAD4F0" w14:textId="77777777" w:rsidR="00F50238" w:rsidRPr="00F50238" w:rsidRDefault="00F50238" w:rsidP="00F50238">
      <w:pPr>
        <w:pStyle w:val="H2"/>
        <w:rPr>
          <w:w w:val="100"/>
        </w:rPr>
      </w:pPr>
      <w:r w:rsidRPr="00F50238">
        <w:rPr>
          <w:w w:val="100"/>
        </w:rPr>
        <w:t>35.3.7 Multi-link block ack</w:t>
      </w:r>
    </w:p>
    <w:p w14:paraId="0B27F89F" w14:textId="77777777" w:rsidR="00F50238" w:rsidRPr="00F50238" w:rsidRDefault="00F50238" w:rsidP="00F50238">
      <w:pPr>
        <w:pStyle w:val="H2"/>
        <w:rPr>
          <w:w w:val="100"/>
        </w:rPr>
      </w:pPr>
      <w:r w:rsidRPr="00F50238">
        <w:rPr>
          <w:w w:val="100"/>
        </w:rPr>
        <w:t xml:space="preserve">35.3.7.1 Multi-link </w:t>
      </w:r>
      <w:proofErr w:type="spellStart"/>
      <w:r w:rsidRPr="00F50238">
        <w:rPr>
          <w:w w:val="100"/>
        </w:rPr>
        <w:t>BlockAck</w:t>
      </w:r>
      <w:proofErr w:type="spellEnd"/>
      <w:r w:rsidRPr="00F50238">
        <w:rPr>
          <w:w w:val="100"/>
        </w:rPr>
        <w:t xml:space="preserve"> procedure</w:t>
      </w:r>
    </w:p>
    <w:p w14:paraId="27A36547" w14:textId="77B6A23D" w:rsidR="00F50238" w:rsidRDefault="00F50238" w:rsidP="00F50238">
      <w:pPr>
        <w:pStyle w:val="H2"/>
        <w:rPr>
          <w:w w:val="100"/>
        </w:rPr>
      </w:pPr>
      <w:bookmarkStart w:id="2" w:name="_Hlk65594837"/>
      <w:r w:rsidRPr="00F50238">
        <w:rPr>
          <w:w w:val="100"/>
        </w:rPr>
        <w:t xml:space="preserve">35.3.7.1.1 </w:t>
      </w:r>
      <w:bookmarkEnd w:id="2"/>
      <w:r w:rsidRPr="00F50238">
        <w:rPr>
          <w:w w:val="100"/>
        </w:rPr>
        <w:t>General</w:t>
      </w:r>
      <w:r w:rsidR="004E675E">
        <w:rPr>
          <w:w w:val="100"/>
        </w:rPr>
        <w:t xml:space="preserve"> </w:t>
      </w:r>
      <w:r w:rsidR="004E675E" w:rsidRPr="000C5F79">
        <w:rPr>
          <w:w w:val="100"/>
        </w:rPr>
        <w:t>(</w:t>
      </w:r>
      <w:r w:rsidR="004E675E" w:rsidRPr="000C5F79">
        <w:rPr>
          <w:w w:val="100"/>
          <w:highlight w:val="yellow"/>
        </w:rPr>
        <w:t xml:space="preserve">CID </w:t>
      </w:r>
      <w:r w:rsidR="004E675E">
        <w:rPr>
          <w:w w:val="100"/>
          <w:highlight w:val="yellow"/>
        </w:rPr>
        <w:t>1064</w:t>
      </w:r>
      <w:r w:rsidR="004E675E">
        <w:rPr>
          <w:w w:val="100"/>
        </w:rPr>
        <w:t>)</w:t>
      </w:r>
    </w:p>
    <w:p w14:paraId="56FAC4EE" w14:textId="2272B5E9" w:rsidR="004E675E" w:rsidRPr="00F50238" w:rsidRDefault="004E675E" w:rsidP="004E675E">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Delete NOTE 2 in the</w:t>
      </w:r>
      <w:r w:rsidRPr="00E3607E">
        <w:rPr>
          <w:b/>
          <w:i/>
          <w:sz w:val="24"/>
          <w:highlight w:val="yellow"/>
        </w:rPr>
        <w:t xml:space="preserve"> </w:t>
      </w:r>
      <w:r>
        <w:rPr>
          <w:b/>
          <w:i/>
          <w:sz w:val="24"/>
          <w:highlight w:val="yellow"/>
        </w:rPr>
        <w:t xml:space="preserve">sub-clause </w:t>
      </w:r>
      <w:r w:rsidRPr="00E3607E">
        <w:rPr>
          <w:b/>
          <w:i/>
          <w:sz w:val="24"/>
          <w:highlight w:val="yellow"/>
        </w:rPr>
        <w:t>as the following (Track Changes ON):</w:t>
      </w:r>
    </w:p>
    <w:p w14:paraId="00CE344C" w14:textId="77946E05" w:rsidR="004E675E" w:rsidRDefault="004E675E" w:rsidP="00F50238">
      <w:pPr>
        <w:pStyle w:val="T"/>
        <w:rPr>
          <w:bCs/>
          <w:iCs/>
          <w:color w:val="auto"/>
          <w:w w:val="100"/>
          <w:sz w:val="24"/>
          <w:lang w:val="en-GB"/>
        </w:rPr>
      </w:pPr>
      <w:r w:rsidRPr="004E675E">
        <w:rPr>
          <w:bCs/>
          <w:iCs/>
          <w:color w:val="auto"/>
          <w:w w:val="100"/>
          <w:sz w:val="24"/>
          <w:lang w:val="en-GB"/>
        </w:rPr>
        <w:t xml:space="preserve">If an MLD has established a block ack agreement with another MLD, then QoS Data frames for the TID associated with the block ack agreement may be exchanged between the two MLDs on any link to which the TID is mapped and subject to existing restrictions for transmissions of frames that apply to those enabled links, following the procedure described in 35.3.7.1 (Multi-link </w:t>
      </w:r>
      <w:proofErr w:type="spellStart"/>
      <w:r w:rsidRPr="004E675E">
        <w:rPr>
          <w:bCs/>
          <w:iCs/>
          <w:color w:val="auto"/>
          <w:w w:val="100"/>
          <w:sz w:val="24"/>
          <w:lang w:val="en-GB"/>
        </w:rPr>
        <w:t>BlockAck</w:t>
      </w:r>
      <w:proofErr w:type="spellEnd"/>
      <w:r w:rsidRPr="004E675E">
        <w:rPr>
          <w:bCs/>
          <w:iCs/>
          <w:color w:val="auto"/>
          <w:w w:val="100"/>
          <w:sz w:val="24"/>
          <w:lang w:val="en-GB"/>
        </w:rPr>
        <w:t xml:space="preserve"> procedure).</w:t>
      </w:r>
    </w:p>
    <w:p w14:paraId="33BFAD0D" w14:textId="129201AA" w:rsidR="00F50238" w:rsidRPr="004E675E" w:rsidRDefault="004E675E" w:rsidP="00F50238">
      <w:pPr>
        <w:pStyle w:val="T"/>
        <w:rPr>
          <w:bCs/>
          <w:iCs/>
          <w:color w:val="auto"/>
          <w:w w:val="100"/>
          <w:sz w:val="24"/>
          <w:lang w:val="en-GB"/>
        </w:rPr>
      </w:pPr>
      <w:del w:id="3" w:author="Rojan Chitrakar" w:date="2021-03-02T16:30:00Z">
        <w:r w:rsidRPr="004E675E" w:rsidDel="004E675E">
          <w:rPr>
            <w:bCs/>
            <w:iCs/>
            <w:color w:val="auto"/>
            <w:w w:val="100"/>
            <w:sz w:val="24"/>
            <w:lang w:val="en-GB"/>
          </w:rPr>
          <w:delText>NOTE 2—QoS Data frames that are not fragments might be (re)transmitted on any link(s) where the corresponding TID is mapped to.</w:delText>
        </w:r>
      </w:del>
      <w:ins w:id="4" w:author="Rojan Chitrakar" w:date="2021-03-02T16:35:00Z">
        <w:r>
          <w:rPr>
            <w:bCs/>
            <w:iCs/>
            <w:color w:val="auto"/>
            <w:w w:val="100"/>
            <w:sz w:val="24"/>
            <w:lang w:val="en-GB"/>
          </w:rPr>
          <w:t xml:space="preserve"> (#1064)</w:t>
        </w:r>
      </w:ins>
    </w:p>
    <w:p w14:paraId="4E6C3D2E" w14:textId="3C893B59" w:rsidR="00F50238" w:rsidRPr="00F50238" w:rsidRDefault="00F50238" w:rsidP="00F50238">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0017130C">
        <w:rPr>
          <w:b/>
          <w:i/>
          <w:sz w:val="24"/>
          <w:highlight w:val="yellow"/>
        </w:rPr>
        <w:t>M</w:t>
      </w:r>
      <w:r w:rsidRPr="00E3607E">
        <w:rPr>
          <w:b/>
          <w:i/>
          <w:sz w:val="24"/>
          <w:highlight w:val="yellow"/>
        </w:rPr>
        <w:t xml:space="preserve">odify </w:t>
      </w:r>
      <w:r>
        <w:rPr>
          <w:b/>
          <w:i/>
          <w:sz w:val="24"/>
          <w:highlight w:val="yellow"/>
        </w:rPr>
        <w:t>sub-clause</w:t>
      </w:r>
      <w:r w:rsidR="004E675E">
        <w:rPr>
          <w:b/>
          <w:i/>
          <w:sz w:val="24"/>
          <w:highlight w:val="yellow"/>
        </w:rPr>
        <w:t xml:space="preserve"> </w:t>
      </w:r>
      <w:r w:rsidR="0017130C" w:rsidRPr="0017130C">
        <w:rPr>
          <w:b/>
          <w:i/>
          <w:sz w:val="24"/>
          <w:highlight w:val="yellow"/>
        </w:rPr>
        <w:t>35.3.6.3</w:t>
      </w:r>
      <w:r w:rsidR="0017130C">
        <w:rPr>
          <w:b/>
          <w:i/>
          <w:sz w:val="24"/>
          <w:highlight w:val="yellow"/>
        </w:rPr>
        <w:t xml:space="preserve"> </w:t>
      </w:r>
      <w:r w:rsidRPr="00E3607E">
        <w:rPr>
          <w:b/>
          <w:i/>
          <w:sz w:val="24"/>
          <w:highlight w:val="yellow"/>
        </w:rPr>
        <w:t>as the following</w:t>
      </w:r>
      <w:r w:rsidR="0017130C">
        <w:rPr>
          <w:b/>
          <w:i/>
          <w:sz w:val="24"/>
          <w:highlight w:val="yellow"/>
        </w:rPr>
        <w:t xml:space="preserve"> and move subclause </w:t>
      </w:r>
      <w:r w:rsidR="0017130C" w:rsidRPr="0017130C">
        <w:rPr>
          <w:b/>
          <w:i/>
          <w:sz w:val="24"/>
          <w:highlight w:val="yellow"/>
        </w:rPr>
        <w:t>35.3.6.3</w:t>
      </w:r>
      <w:r w:rsidR="0017130C">
        <w:rPr>
          <w:b/>
          <w:i/>
          <w:sz w:val="24"/>
          <w:highlight w:val="yellow"/>
        </w:rPr>
        <w:t xml:space="preserve"> to the end of subclause 35.3.13</w:t>
      </w:r>
      <w:r w:rsidRPr="00E3607E">
        <w:rPr>
          <w:b/>
          <w:i/>
          <w:sz w:val="24"/>
          <w:highlight w:val="yellow"/>
        </w:rPr>
        <w:t xml:space="preserve"> (Track Changes ON):</w:t>
      </w:r>
    </w:p>
    <w:p w14:paraId="2735AC35" w14:textId="439AA7E9" w:rsidR="007E6F73" w:rsidRDefault="007E6F73" w:rsidP="00F50238">
      <w:pPr>
        <w:pStyle w:val="H2"/>
        <w:rPr>
          <w:w w:val="100"/>
          <w:lang w:val="en-GB"/>
        </w:rPr>
      </w:pPr>
      <w:r w:rsidRPr="007E6F73">
        <w:rPr>
          <w:w w:val="100"/>
          <w:lang w:val="en-GB"/>
        </w:rPr>
        <w:t>35.3.13 Multi-link channel access</w:t>
      </w:r>
    </w:p>
    <w:p w14:paraId="1AE4635B" w14:textId="44420F7B" w:rsidR="008030D1" w:rsidRPr="00F50238" w:rsidRDefault="003C5148" w:rsidP="00F50238">
      <w:pPr>
        <w:pStyle w:val="H2"/>
        <w:rPr>
          <w:w w:val="100"/>
        </w:rPr>
      </w:pPr>
      <w:del w:id="5" w:author="Rojan Chitrakar" w:date="2021-03-02T16:26:00Z">
        <w:r w:rsidRPr="003C5148" w:rsidDel="00F50238">
          <w:rPr>
            <w:w w:val="100"/>
          </w:rPr>
          <w:delText xml:space="preserve">35.3.6.3 </w:delText>
        </w:r>
      </w:del>
      <w:ins w:id="6" w:author="Rojan Chitrakar" w:date="2021-03-02T16:27:00Z">
        <w:r w:rsidR="00F50238" w:rsidRPr="00F50238">
          <w:rPr>
            <w:w w:val="100"/>
          </w:rPr>
          <w:t>3</w:t>
        </w:r>
      </w:ins>
      <w:ins w:id="7" w:author="Rojan Chitrakar" w:date="2021-03-02T17:05:00Z">
        <w:r w:rsidR="007E6F73">
          <w:rPr>
            <w:w w:val="100"/>
          </w:rPr>
          <w:t>5.3.</w:t>
        </w:r>
      </w:ins>
      <w:ins w:id="8" w:author="Rojan Chitrakar" w:date="2021-03-02T17:06:00Z">
        <w:r w:rsidR="007E6F73">
          <w:rPr>
            <w:w w:val="100"/>
          </w:rPr>
          <w:t>13.7</w:t>
        </w:r>
      </w:ins>
      <w:ins w:id="9" w:author="Rojan Chitrakar" w:date="2021-03-02T16:27:00Z">
        <w:r w:rsidR="00F50238" w:rsidRPr="00F50238">
          <w:rPr>
            <w:w w:val="100"/>
          </w:rPr>
          <w:t xml:space="preserve"> </w:t>
        </w:r>
      </w:ins>
      <w:r w:rsidRPr="003C5148">
        <w:rPr>
          <w:w w:val="100"/>
        </w:rPr>
        <w:t xml:space="preserve">Multi-link retransmit procedures </w:t>
      </w:r>
      <w:r w:rsidR="00297573" w:rsidRPr="000C5F79">
        <w:rPr>
          <w:w w:val="100"/>
        </w:rPr>
        <w:t>(</w:t>
      </w:r>
      <w:r w:rsidR="00297573" w:rsidRPr="000C5F79">
        <w:rPr>
          <w:w w:val="100"/>
          <w:highlight w:val="yellow"/>
        </w:rPr>
        <w:t xml:space="preserve">CIDs </w:t>
      </w:r>
      <w:r w:rsidR="004E675E">
        <w:rPr>
          <w:w w:val="100"/>
          <w:highlight w:val="yellow"/>
        </w:rPr>
        <w:t xml:space="preserve">1064, </w:t>
      </w:r>
      <w:r>
        <w:rPr>
          <w:w w:val="100"/>
          <w:highlight w:val="yellow"/>
        </w:rPr>
        <w:t>2503</w:t>
      </w:r>
      <w:r w:rsidR="00656607" w:rsidRPr="00145329">
        <w:rPr>
          <w:w w:val="100"/>
          <w:highlight w:val="yellow"/>
        </w:rPr>
        <w:t>,</w:t>
      </w:r>
      <w:r w:rsidR="004D4D80" w:rsidRPr="00145329">
        <w:rPr>
          <w:w w:val="100"/>
          <w:highlight w:val="yellow"/>
        </w:rPr>
        <w:t xml:space="preserve"> 2714, 2598</w:t>
      </w:r>
      <w:r w:rsidR="00F126F6" w:rsidRPr="00F126F6">
        <w:rPr>
          <w:w w:val="100"/>
          <w:highlight w:val="yellow"/>
        </w:rPr>
        <w:t>, 3381</w:t>
      </w:r>
      <w:r w:rsidR="00297573" w:rsidRPr="000C5F79">
        <w:rPr>
          <w:w w:val="100"/>
        </w:rPr>
        <w:t>)</w:t>
      </w:r>
      <w:bookmarkStart w:id="10" w:name="_Hlk23254281"/>
      <w:bookmarkStart w:id="11" w:name="_Hlk23240315"/>
      <w:ins w:id="12" w:author="Rojan Chitrakar" w:date="2021-03-02T17:11:00Z">
        <w:r w:rsidR="0017130C">
          <w:rPr>
            <w:w w:val="100"/>
          </w:rPr>
          <w:t xml:space="preserve"> (#1064)</w:t>
        </w:r>
      </w:ins>
    </w:p>
    <w:bookmarkEnd w:id="1"/>
    <w:bookmarkEnd w:id="10"/>
    <w:bookmarkEnd w:id="11"/>
    <w:p w14:paraId="42D51B3A" w14:textId="53F368C1" w:rsidR="00200B1E" w:rsidRDefault="003C5148" w:rsidP="00685CD1">
      <w:pPr>
        <w:rPr>
          <w:ins w:id="13" w:author="Rojan Chitrakar" w:date="2021-03-01T16:43:00Z"/>
          <w:bCs/>
          <w:iCs/>
          <w:sz w:val="24"/>
        </w:rPr>
      </w:pPr>
      <w:r w:rsidRPr="003C5148">
        <w:rPr>
          <w:bCs/>
          <w:iCs/>
          <w:sz w:val="24"/>
        </w:rPr>
        <w:t>If an MLD has established block ack agreement with another MLD for a TID, and the transmission of a QoS Data frame of the TID in a link is unsuccessful, and if the frame is not a fragment, the MLD may attempt retransmissions of the frame on any link that has the TID mapped to it</w:t>
      </w:r>
      <w:ins w:id="14" w:author="Rojan Chitrakar" w:date="2021-03-01T16:57:00Z">
        <w:r w:rsidR="005742D7" w:rsidRPr="005742D7">
          <w:rPr>
            <w:bCs/>
            <w:iCs/>
            <w:sz w:val="24"/>
          </w:rPr>
          <w:t>, subject to</w:t>
        </w:r>
      </w:ins>
      <w:ins w:id="15" w:author="Rojan Chitrakar" w:date="2021-03-01T17:35:00Z">
        <w:r w:rsidR="00E35B21">
          <w:rPr>
            <w:bCs/>
            <w:iCs/>
            <w:sz w:val="24"/>
          </w:rPr>
          <w:t xml:space="preserve"> the applicable</w:t>
        </w:r>
      </w:ins>
      <w:ins w:id="16" w:author="Rojan Chitrakar" w:date="2021-03-01T16:57:00Z">
        <w:r w:rsidR="005742D7" w:rsidRPr="005742D7">
          <w:rPr>
            <w:bCs/>
            <w:iCs/>
            <w:sz w:val="24"/>
          </w:rPr>
          <w:t xml:space="preserve"> </w:t>
        </w:r>
      </w:ins>
      <w:ins w:id="17" w:author="Rojan Chitrakar" w:date="2021-03-01T17:34:00Z">
        <w:r w:rsidR="00E35B21">
          <w:rPr>
            <w:bCs/>
            <w:iCs/>
            <w:sz w:val="24"/>
          </w:rPr>
          <w:t xml:space="preserve">lifetime limit </w:t>
        </w:r>
      </w:ins>
      <w:ins w:id="18" w:author="Rojan Chitrakar" w:date="2021-03-01T17:35:00Z">
        <w:r w:rsidR="00E35B21">
          <w:rPr>
            <w:bCs/>
            <w:iCs/>
            <w:sz w:val="24"/>
          </w:rPr>
          <w:t>and</w:t>
        </w:r>
      </w:ins>
      <w:ins w:id="19" w:author="Rojan Chitrakar" w:date="2021-03-01T17:34:00Z">
        <w:r w:rsidR="00E35B21">
          <w:rPr>
            <w:bCs/>
            <w:iCs/>
            <w:sz w:val="24"/>
          </w:rPr>
          <w:t xml:space="preserve"> any </w:t>
        </w:r>
      </w:ins>
      <w:ins w:id="20" w:author="Rojan Chitrakar" w:date="2021-03-01T16:57:00Z">
        <w:r w:rsidR="005742D7" w:rsidRPr="005742D7">
          <w:rPr>
            <w:bCs/>
            <w:iCs/>
            <w:sz w:val="24"/>
          </w:rPr>
          <w:t xml:space="preserve">existing restrictions for transmissions of frames that apply to </w:t>
        </w:r>
      </w:ins>
      <w:ins w:id="21" w:author="Rojan Chitrakar" w:date="2021-03-01T17:14:00Z">
        <w:r w:rsidR="004D4D80">
          <w:rPr>
            <w:bCs/>
            <w:iCs/>
            <w:sz w:val="24"/>
          </w:rPr>
          <w:t>the</w:t>
        </w:r>
      </w:ins>
      <w:ins w:id="22" w:author="Rojan Chitrakar" w:date="2021-03-01T16:57:00Z">
        <w:r w:rsidR="005742D7" w:rsidRPr="005742D7">
          <w:rPr>
            <w:bCs/>
            <w:iCs/>
            <w:sz w:val="24"/>
          </w:rPr>
          <w:t xml:space="preserve"> link</w:t>
        </w:r>
      </w:ins>
      <w:r w:rsidR="00D21F59">
        <w:rPr>
          <w:bCs/>
          <w:iCs/>
          <w:sz w:val="24"/>
        </w:rPr>
        <w:t>.</w:t>
      </w:r>
      <w:ins w:id="23" w:author="Rojan Chitrakar" w:date="2021-03-01T16:59:00Z">
        <w:r w:rsidR="005742D7">
          <w:rPr>
            <w:bCs/>
            <w:iCs/>
            <w:sz w:val="24"/>
          </w:rPr>
          <w:t xml:space="preserve"> (#2503</w:t>
        </w:r>
      </w:ins>
      <w:ins w:id="24" w:author="Rojan Chitrakar" w:date="2021-03-01T17:13:00Z">
        <w:r w:rsidR="0031062E">
          <w:rPr>
            <w:bCs/>
            <w:iCs/>
            <w:sz w:val="24"/>
          </w:rPr>
          <w:t xml:space="preserve">, </w:t>
        </w:r>
      </w:ins>
      <w:ins w:id="25" w:author="Rojan Chitrakar" w:date="2021-03-01T17:16:00Z">
        <w:r w:rsidR="004D4D80">
          <w:rPr>
            <w:bCs/>
            <w:iCs/>
            <w:sz w:val="24"/>
          </w:rPr>
          <w:t>#</w:t>
        </w:r>
      </w:ins>
      <w:ins w:id="26" w:author="Rojan Chitrakar" w:date="2021-03-01T17:13:00Z">
        <w:r w:rsidR="0031062E" w:rsidRPr="0031062E">
          <w:rPr>
            <w:bCs/>
            <w:iCs/>
            <w:sz w:val="24"/>
          </w:rPr>
          <w:t>2714</w:t>
        </w:r>
      </w:ins>
      <w:ins w:id="27" w:author="Rojan Chitrakar" w:date="2021-03-01T16:59:00Z">
        <w:r w:rsidR="005742D7">
          <w:rPr>
            <w:bCs/>
            <w:iCs/>
            <w:sz w:val="24"/>
          </w:rPr>
          <w:t>)</w:t>
        </w:r>
      </w:ins>
    </w:p>
    <w:p w14:paraId="43E2B947" w14:textId="77777777" w:rsidR="003B3DC1" w:rsidRDefault="003B3DC1" w:rsidP="00685CD1">
      <w:pPr>
        <w:rPr>
          <w:ins w:id="28" w:author="Rojan Chitrakar" w:date="2021-03-02T17:18:00Z"/>
          <w:bCs/>
          <w:iCs/>
          <w:sz w:val="24"/>
        </w:rPr>
      </w:pPr>
    </w:p>
    <w:p w14:paraId="50477561" w14:textId="4B9F934C" w:rsidR="00685CD1" w:rsidRDefault="00200B1E" w:rsidP="00685CD1">
      <w:pPr>
        <w:rPr>
          <w:ins w:id="29" w:author="Rojan Chitrakar" w:date="2021-03-01T16:45:00Z"/>
          <w:bCs/>
          <w:iCs/>
          <w:sz w:val="24"/>
        </w:rPr>
      </w:pPr>
      <w:ins w:id="30" w:author="Rojan Chitrakar" w:date="2021-03-01T16:43:00Z">
        <w:r>
          <w:rPr>
            <w:bCs/>
            <w:iCs/>
            <w:sz w:val="24"/>
          </w:rPr>
          <w:t xml:space="preserve">NOTE </w:t>
        </w:r>
      </w:ins>
      <w:ins w:id="31" w:author="Rojan Chitrakar" w:date="2021-03-01T16:44:00Z">
        <w:r>
          <w:rPr>
            <w:bCs/>
            <w:iCs/>
            <w:sz w:val="24"/>
          </w:rPr>
          <w:t xml:space="preserve">1 </w:t>
        </w:r>
      </w:ins>
      <w:ins w:id="32" w:author="Rojan Chitrakar" w:date="2021-03-01T16:43:00Z">
        <w:r>
          <w:rPr>
            <w:bCs/>
            <w:iCs/>
            <w:sz w:val="24"/>
          </w:rPr>
          <w:t xml:space="preserve">– </w:t>
        </w:r>
      </w:ins>
      <w:ins w:id="33" w:author="Rojan Chitrakar" w:date="2021-03-01T17:00:00Z">
        <w:r w:rsidR="005742D7">
          <w:rPr>
            <w:bCs/>
            <w:iCs/>
            <w:sz w:val="24"/>
          </w:rPr>
          <w:t>Examples of restrictions are:</w:t>
        </w:r>
      </w:ins>
      <w:ins w:id="34" w:author="Rojan Chitrakar" w:date="2021-03-01T16:43:00Z">
        <w:r>
          <w:rPr>
            <w:bCs/>
            <w:iCs/>
            <w:sz w:val="24"/>
          </w:rPr>
          <w:t xml:space="preserve"> the maximum MPDU length constraint of </w:t>
        </w:r>
      </w:ins>
      <w:ins w:id="35" w:author="Rojan Chitrakar" w:date="2021-03-01T17:01:00Z">
        <w:r w:rsidR="005742D7">
          <w:rPr>
            <w:bCs/>
            <w:iCs/>
            <w:sz w:val="24"/>
          </w:rPr>
          <w:t>the</w:t>
        </w:r>
      </w:ins>
      <w:ins w:id="36" w:author="Rojan Chitrakar" w:date="2021-03-01T16:43:00Z">
        <w:r>
          <w:rPr>
            <w:bCs/>
            <w:iCs/>
            <w:sz w:val="24"/>
          </w:rPr>
          <w:t xml:space="preserve"> link</w:t>
        </w:r>
      </w:ins>
      <w:ins w:id="37" w:author="Rojan Chitrakar" w:date="2021-03-01T17:04:00Z">
        <w:r w:rsidR="005742D7">
          <w:rPr>
            <w:bCs/>
            <w:iCs/>
            <w:sz w:val="24"/>
          </w:rPr>
          <w:t>, or the power state</w:t>
        </w:r>
      </w:ins>
      <w:ins w:id="38" w:author="Rojan Chitrakar" w:date="2021-03-01T17:05:00Z">
        <w:r w:rsidR="005742D7">
          <w:rPr>
            <w:bCs/>
            <w:iCs/>
            <w:sz w:val="24"/>
          </w:rPr>
          <w:t xml:space="preserve"> of the STAs operating on the link</w:t>
        </w:r>
      </w:ins>
      <w:ins w:id="39" w:author="Rojan Chitrakar" w:date="2021-03-01T16:44:00Z">
        <w:r>
          <w:rPr>
            <w:bCs/>
            <w:iCs/>
            <w:sz w:val="24"/>
          </w:rPr>
          <w:t>.</w:t>
        </w:r>
      </w:ins>
      <w:ins w:id="40" w:author="Rojan Chitrakar" w:date="2021-03-01T16:25:00Z">
        <w:r w:rsidR="003C5148">
          <w:rPr>
            <w:bCs/>
            <w:iCs/>
            <w:sz w:val="24"/>
          </w:rPr>
          <w:t xml:space="preserve"> (#2503</w:t>
        </w:r>
      </w:ins>
      <w:ins w:id="41" w:author="Rojan Chitrakar" w:date="2021-03-01T17:13:00Z">
        <w:r w:rsidR="0031062E">
          <w:rPr>
            <w:bCs/>
            <w:iCs/>
            <w:sz w:val="24"/>
          </w:rPr>
          <w:t xml:space="preserve">, </w:t>
        </w:r>
      </w:ins>
      <w:ins w:id="42" w:author="Rojan Chitrakar" w:date="2021-03-01T17:16:00Z">
        <w:r w:rsidR="004D4D80">
          <w:rPr>
            <w:bCs/>
            <w:iCs/>
            <w:sz w:val="24"/>
          </w:rPr>
          <w:t>#</w:t>
        </w:r>
      </w:ins>
      <w:ins w:id="43" w:author="Rojan Chitrakar" w:date="2021-03-01T17:13:00Z">
        <w:r w:rsidR="0031062E" w:rsidRPr="0031062E">
          <w:rPr>
            <w:bCs/>
            <w:iCs/>
            <w:sz w:val="24"/>
          </w:rPr>
          <w:t>2714</w:t>
        </w:r>
      </w:ins>
      <w:ins w:id="44" w:author="Rojan Chitrakar" w:date="2021-03-01T16:25:00Z">
        <w:r w:rsidR="003C5148">
          <w:rPr>
            <w:bCs/>
            <w:iCs/>
            <w:sz w:val="24"/>
          </w:rPr>
          <w:t>)</w:t>
        </w:r>
      </w:ins>
    </w:p>
    <w:p w14:paraId="581336D5" w14:textId="742B708D" w:rsidR="008712F8" w:rsidRDefault="008712F8" w:rsidP="00685CD1">
      <w:pPr>
        <w:rPr>
          <w:ins w:id="45" w:author="Rojan Chitrakar" w:date="2021-03-01T17:39:00Z"/>
          <w:bCs/>
          <w:iCs/>
          <w:sz w:val="24"/>
        </w:rPr>
      </w:pPr>
    </w:p>
    <w:p w14:paraId="4189D5FF" w14:textId="40DFAE9B" w:rsidR="008712F8" w:rsidRDefault="008712F8" w:rsidP="00685CD1">
      <w:pPr>
        <w:rPr>
          <w:ins w:id="46" w:author="Rojan Chitrakar" w:date="2021-03-02T17:18:00Z"/>
          <w:bCs/>
          <w:iCs/>
          <w:sz w:val="24"/>
        </w:rPr>
      </w:pPr>
      <w:ins w:id="47" w:author="Rojan Chitrakar" w:date="2021-03-01T17:39:00Z">
        <w:r>
          <w:rPr>
            <w:bCs/>
            <w:iCs/>
            <w:sz w:val="24"/>
          </w:rPr>
          <w:t>If</w:t>
        </w:r>
      </w:ins>
      <w:ins w:id="48" w:author="Rojan Chitrakar" w:date="2021-03-01T17:40:00Z">
        <w:r>
          <w:rPr>
            <w:bCs/>
            <w:iCs/>
            <w:sz w:val="24"/>
          </w:rPr>
          <w:t xml:space="preserve"> an MLD does not have a block ack agreement with another MLD for a TID,</w:t>
        </w:r>
      </w:ins>
      <w:ins w:id="49" w:author="Rojan Chitrakar" w:date="2021-03-01T17:41:00Z">
        <w:r>
          <w:rPr>
            <w:bCs/>
            <w:iCs/>
            <w:sz w:val="24"/>
          </w:rPr>
          <w:t xml:space="preserve"> the MLD shall follow the procedure in </w:t>
        </w:r>
        <w:r w:rsidRPr="008712F8">
          <w:rPr>
            <w:bCs/>
            <w:iCs/>
            <w:sz w:val="24"/>
          </w:rPr>
          <w:t>35.3.11</w:t>
        </w:r>
      </w:ins>
      <w:ins w:id="50" w:author="Rojan Chitrakar" w:date="2021-03-01T17:42:00Z">
        <w:r>
          <w:rPr>
            <w:bCs/>
            <w:iCs/>
            <w:sz w:val="24"/>
          </w:rPr>
          <w:t xml:space="preserve"> (</w:t>
        </w:r>
      </w:ins>
      <w:ins w:id="51" w:author="Rojan Chitrakar" w:date="2021-03-01T17:41:00Z">
        <w:r w:rsidRPr="008712F8">
          <w:rPr>
            <w:bCs/>
            <w:iCs/>
            <w:sz w:val="24"/>
          </w:rPr>
          <w:t>Multi-link device individually addressed data delivery without block ack negotiation</w:t>
        </w:r>
      </w:ins>
      <w:ins w:id="52" w:author="Rojan Chitrakar" w:date="2021-03-01T17:42:00Z">
        <w:r>
          <w:rPr>
            <w:bCs/>
            <w:iCs/>
            <w:sz w:val="24"/>
          </w:rPr>
          <w:t xml:space="preserve">) </w:t>
        </w:r>
      </w:ins>
      <w:ins w:id="53" w:author="Rojan Chitrakar" w:date="2021-03-01T17:43:00Z">
        <w:r>
          <w:rPr>
            <w:bCs/>
            <w:iCs/>
            <w:sz w:val="24"/>
          </w:rPr>
          <w:t>to deliver the failed frames</w:t>
        </w:r>
      </w:ins>
      <w:ins w:id="54" w:author="Rojan Chitrakar" w:date="2021-03-01T17:41:00Z">
        <w:r>
          <w:rPr>
            <w:bCs/>
            <w:iCs/>
            <w:sz w:val="24"/>
          </w:rPr>
          <w:t>.</w:t>
        </w:r>
      </w:ins>
      <w:ins w:id="55" w:author="Rojan Chitrakar" w:date="2021-03-01T17:43:00Z">
        <w:r>
          <w:rPr>
            <w:bCs/>
            <w:iCs/>
            <w:sz w:val="24"/>
          </w:rPr>
          <w:t xml:space="preserve"> (#3381)</w:t>
        </w:r>
      </w:ins>
    </w:p>
    <w:p w14:paraId="603A52EA" w14:textId="388BB659" w:rsidR="001709B2" w:rsidRDefault="001709B2" w:rsidP="00685CD1">
      <w:pPr>
        <w:rPr>
          <w:ins w:id="56" w:author="Rojan Chitrakar" w:date="2021-03-02T17:18:00Z"/>
          <w:bCs/>
          <w:iCs/>
          <w:sz w:val="24"/>
        </w:rPr>
      </w:pPr>
    </w:p>
    <w:p w14:paraId="28710611" w14:textId="3DBC624A" w:rsidR="001709B2" w:rsidRDefault="001709B2" w:rsidP="001709B2">
      <w:pPr>
        <w:rPr>
          <w:ins w:id="57" w:author="Rojan Chitrakar" w:date="2021-03-02T17:18:00Z"/>
          <w:bCs/>
          <w:iCs/>
          <w:sz w:val="24"/>
        </w:rPr>
      </w:pPr>
      <w:ins w:id="58" w:author="Rojan Chitrakar" w:date="2021-03-02T17:18:00Z">
        <w:r>
          <w:rPr>
            <w:bCs/>
            <w:iCs/>
            <w:sz w:val="24"/>
          </w:rPr>
          <w:t>NOTE 2 – In order to prevent the receiver from discarding a retransmitted frame as a replayed frame, t</w:t>
        </w:r>
        <w:r w:rsidRPr="00200B1E">
          <w:rPr>
            <w:bCs/>
            <w:iCs/>
            <w:sz w:val="24"/>
          </w:rPr>
          <w:t>he PN used to protect</w:t>
        </w:r>
        <w:r>
          <w:rPr>
            <w:bCs/>
            <w:iCs/>
            <w:sz w:val="24"/>
          </w:rPr>
          <w:t xml:space="preserve"> the frame is not</w:t>
        </w:r>
        <w:r w:rsidRPr="00200B1E">
          <w:rPr>
            <w:bCs/>
            <w:iCs/>
            <w:sz w:val="24"/>
          </w:rPr>
          <w:t xml:space="preserve"> incremented when the frame is retransmitted</w:t>
        </w:r>
        <w:r>
          <w:rPr>
            <w:bCs/>
            <w:iCs/>
            <w:sz w:val="24"/>
          </w:rPr>
          <w:t>. (#</w:t>
        </w:r>
        <w:bookmarkStart w:id="59" w:name="_Hlk65511493"/>
        <w:r>
          <w:rPr>
            <w:bCs/>
            <w:iCs/>
            <w:sz w:val="24"/>
          </w:rPr>
          <w:t>2598</w:t>
        </w:r>
        <w:bookmarkEnd w:id="59"/>
        <w:r>
          <w:rPr>
            <w:bCs/>
            <w:iCs/>
            <w:sz w:val="24"/>
          </w:rPr>
          <w:t>)</w:t>
        </w:r>
      </w:ins>
    </w:p>
    <w:p w14:paraId="62DF37EA" w14:textId="77777777" w:rsidR="001709B2" w:rsidRPr="008030D1" w:rsidRDefault="001709B2" w:rsidP="00685CD1">
      <w:pPr>
        <w:rPr>
          <w:bCs/>
          <w:iCs/>
          <w:sz w:val="24"/>
        </w:rPr>
      </w:pPr>
    </w:p>
    <w:sectPr w:rsidR="001709B2" w:rsidRPr="008030D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67E9D" w14:textId="77777777" w:rsidR="00483771" w:rsidRDefault="00483771">
      <w:r>
        <w:separator/>
      </w:r>
    </w:p>
  </w:endnote>
  <w:endnote w:type="continuationSeparator" w:id="0">
    <w:p w14:paraId="193C45A1" w14:textId="77777777" w:rsidR="00483771" w:rsidRDefault="0048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94054D">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72D84" w14:textId="77777777" w:rsidR="00483771" w:rsidRDefault="00483771">
      <w:r>
        <w:separator/>
      </w:r>
    </w:p>
  </w:footnote>
  <w:footnote w:type="continuationSeparator" w:id="0">
    <w:p w14:paraId="526AC0DD" w14:textId="77777777" w:rsidR="00483771" w:rsidRDefault="0048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4484A9D7"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doc.: IEEE 802.11-</w:t>
    </w:r>
    <w:r>
      <w:t>2</w:t>
    </w:r>
    <w:r w:rsidR="005B7ADB">
      <w:t>1/</w:t>
    </w:r>
    <w:r w:rsidR="00102398">
      <w:t>0302</w:t>
    </w:r>
    <w:r w:rsidR="005B7ADB" w:rsidRPr="00671962">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C70"/>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39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5329"/>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0B1E"/>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593"/>
    <w:rsid w:val="002A0C93"/>
    <w:rsid w:val="002A3512"/>
    <w:rsid w:val="002A3868"/>
    <w:rsid w:val="002A390D"/>
    <w:rsid w:val="002A4A5B"/>
    <w:rsid w:val="002B36AF"/>
    <w:rsid w:val="002B3890"/>
    <w:rsid w:val="002B436C"/>
    <w:rsid w:val="002B6510"/>
    <w:rsid w:val="002B7268"/>
    <w:rsid w:val="002C3043"/>
    <w:rsid w:val="002C4259"/>
    <w:rsid w:val="002C4346"/>
    <w:rsid w:val="002C5F1C"/>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40B"/>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DC1"/>
    <w:rsid w:val="003B3F9D"/>
    <w:rsid w:val="003B4470"/>
    <w:rsid w:val="003B529B"/>
    <w:rsid w:val="003C06E2"/>
    <w:rsid w:val="003C0B0B"/>
    <w:rsid w:val="003C1C1D"/>
    <w:rsid w:val="003C2509"/>
    <w:rsid w:val="003C33FC"/>
    <w:rsid w:val="003C5148"/>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509"/>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4D80"/>
    <w:rsid w:val="004D5EBB"/>
    <w:rsid w:val="004D6850"/>
    <w:rsid w:val="004E0917"/>
    <w:rsid w:val="004E113D"/>
    <w:rsid w:val="004E13CF"/>
    <w:rsid w:val="004E228E"/>
    <w:rsid w:val="004E31BE"/>
    <w:rsid w:val="004E340C"/>
    <w:rsid w:val="004E5276"/>
    <w:rsid w:val="004E675E"/>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42D7"/>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6F73"/>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2F8"/>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06C72"/>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054D"/>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5BF9"/>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11F6"/>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B21"/>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AC"/>
    <w:rsid w:val="00F10D50"/>
    <w:rsid w:val="00F11351"/>
    <w:rsid w:val="00F118F6"/>
    <w:rsid w:val="00F126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0238"/>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A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CA78AA-7A76-44A1-A9B1-BE7880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7</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2</cp:revision>
  <cp:lastPrinted>2014-09-06T06:13:00Z</cp:lastPrinted>
  <dcterms:created xsi:type="dcterms:W3CDTF">2021-03-15T08:01:00Z</dcterms:created>
  <dcterms:modified xsi:type="dcterms:W3CDTF">2021-03-15T08:01:00Z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