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Pr="006F604C" w:rsidRDefault="00CA09B2">
      <w:pPr>
        <w:pStyle w:val="T1"/>
        <w:pBdr>
          <w:bottom w:val="single" w:sz="6" w:space="0" w:color="auto"/>
        </w:pBdr>
        <w:spacing w:after="240"/>
        <w:rPr>
          <w:lang w:val="en-US"/>
        </w:rPr>
      </w:pPr>
      <w:r w:rsidRPr="006F604C">
        <w:rPr>
          <w:lang w:val="en-US"/>
        </w:rPr>
        <w:t>IEEE P802.11</w:t>
      </w:r>
      <w:r w:rsidRPr="006F604C">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rsidRPr="006F604C" w14:paraId="5666AFA6" w14:textId="77777777">
        <w:trPr>
          <w:trHeight w:val="485"/>
          <w:jc w:val="center"/>
        </w:trPr>
        <w:tc>
          <w:tcPr>
            <w:tcW w:w="9576" w:type="dxa"/>
            <w:gridSpan w:val="5"/>
            <w:vAlign w:val="center"/>
          </w:tcPr>
          <w:p w14:paraId="124E06C7" w14:textId="1CFFE42C" w:rsidR="00CA09B2" w:rsidRPr="006F604C" w:rsidRDefault="00B34409">
            <w:pPr>
              <w:pStyle w:val="T2"/>
              <w:rPr>
                <w:lang w:val="en-US"/>
              </w:rPr>
            </w:pPr>
            <w:r w:rsidRPr="006F604C">
              <w:rPr>
                <w:lang w:val="en-US"/>
              </w:rPr>
              <w:t>Resolution</w:t>
            </w:r>
            <w:r w:rsidR="0028640E">
              <w:rPr>
                <w:lang w:val="en-US"/>
              </w:rPr>
              <w:t>s</w:t>
            </w:r>
            <w:r w:rsidRPr="006F604C">
              <w:rPr>
                <w:lang w:val="en-US"/>
              </w:rPr>
              <w:t xml:space="preserve"> Clause </w:t>
            </w:r>
            <w:r w:rsidR="0028640E">
              <w:rPr>
                <w:lang w:val="en-US"/>
              </w:rPr>
              <w:t>31</w:t>
            </w:r>
            <w:r w:rsidR="00F7745D">
              <w:rPr>
                <w:lang w:val="en-US"/>
              </w:rPr>
              <w:t>.2.3</w:t>
            </w:r>
            <w:r w:rsidRPr="006F604C">
              <w:rPr>
                <w:lang w:val="en-US"/>
              </w:rPr>
              <w:t xml:space="preserve"> </w:t>
            </w:r>
            <w:r w:rsidR="001F672E">
              <w:rPr>
                <w:lang w:val="en-US"/>
              </w:rPr>
              <w:t xml:space="preserve">comments for </w:t>
            </w:r>
            <w:r w:rsidR="008D489B">
              <w:rPr>
                <w:lang w:val="en-US"/>
              </w:rPr>
              <w:t>LB-251</w:t>
            </w:r>
          </w:p>
        </w:tc>
      </w:tr>
      <w:tr w:rsidR="00CA09B2" w:rsidRPr="006F604C" w14:paraId="470A6390" w14:textId="77777777">
        <w:trPr>
          <w:trHeight w:val="359"/>
          <w:jc w:val="center"/>
        </w:trPr>
        <w:tc>
          <w:tcPr>
            <w:tcW w:w="9576" w:type="dxa"/>
            <w:gridSpan w:val="5"/>
            <w:vAlign w:val="center"/>
          </w:tcPr>
          <w:p w14:paraId="3C6D455A" w14:textId="6288879A" w:rsidR="00CA09B2" w:rsidRPr="006F604C" w:rsidRDefault="00CA09B2">
            <w:pPr>
              <w:pStyle w:val="T2"/>
              <w:ind w:left="0"/>
              <w:rPr>
                <w:sz w:val="20"/>
                <w:lang w:val="en-US"/>
              </w:rPr>
            </w:pPr>
            <w:r w:rsidRPr="006F604C">
              <w:rPr>
                <w:sz w:val="20"/>
                <w:lang w:val="en-US"/>
              </w:rPr>
              <w:t>Date:</w:t>
            </w:r>
            <w:r w:rsidRPr="006F604C">
              <w:rPr>
                <w:b w:val="0"/>
                <w:sz w:val="20"/>
                <w:lang w:val="en-US"/>
              </w:rPr>
              <w:t xml:space="preserve">  </w:t>
            </w:r>
            <w:r w:rsidR="008B0E87" w:rsidRPr="006F604C">
              <w:rPr>
                <w:b w:val="0"/>
                <w:sz w:val="20"/>
                <w:lang w:val="en-US"/>
              </w:rPr>
              <w:t>202</w:t>
            </w:r>
            <w:r w:rsidR="00F77511">
              <w:rPr>
                <w:b w:val="0"/>
                <w:sz w:val="20"/>
                <w:lang w:val="en-US"/>
              </w:rPr>
              <w:t>1</w:t>
            </w:r>
            <w:r w:rsidRPr="006F604C">
              <w:rPr>
                <w:b w:val="0"/>
                <w:sz w:val="20"/>
                <w:lang w:val="en-US"/>
              </w:rPr>
              <w:t>-</w:t>
            </w:r>
            <w:r w:rsidR="00F77511">
              <w:rPr>
                <w:b w:val="0"/>
                <w:sz w:val="20"/>
                <w:lang w:val="en-US"/>
              </w:rPr>
              <w:t>0</w:t>
            </w:r>
            <w:r w:rsidR="000B4E3D">
              <w:rPr>
                <w:b w:val="0"/>
                <w:sz w:val="20"/>
                <w:lang w:val="en-US"/>
              </w:rPr>
              <w:t>3</w:t>
            </w:r>
            <w:r w:rsidRPr="006F604C">
              <w:rPr>
                <w:b w:val="0"/>
                <w:sz w:val="20"/>
                <w:lang w:val="en-US"/>
              </w:rPr>
              <w:t>-</w:t>
            </w:r>
            <w:r w:rsidR="000B4E3D">
              <w:rPr>
                <w:b w:val="0"/>
                <w:sz w:val="20"/>
                <w:lang w:val="en-US"/>
              </w:rPr>
              <w:t>09</w:t>
            </w:r>
          </w:p>
        </w:tc>
      </w:tr>
      <w:tr w:rsidR="00CA09B2" w:rsidRPr="006F604C" w14:paraId="6313103C" w14:textId="77777777">
        <w:trPr>
          <w:cantSplit/>
          <w:jc w:val="center"/>
        </w:trPr>
        <w:tc>
          <w:tcPr>
            <w:tcW w:w="9576" w:type="dxa"/>
            <w:gridSpan w:val="5"/>
            <w:vAlign w:val="center"/>
          </w:tcPr>
          <w:p w14:paraId="749A6B4B" w14:textId="77777777" w:rsidR="00CA09B2" w:rsidRPr="006F604C" w:rsidRDefault="00CA09B2">
            <w:pPr>
              <w:pStyle w:val="T2"/>
              <w:spacing w:after="0"/>
              <w:ind w:left="0" w:right="0"/>
              <w:jc w:val="left"/>
              <w:rPr>
                <w:sz w:val="20"/>
                <w:lang w:val="en-US"/>
              </w:rPr>
            </w:pPr>
            <w:r w:rsidRPr="006F604C">
              <w:rPr>
                <w:sz w:val="20"/>
                <w:lang w:val="en-US"/>
              </w:rPr>
              <w:t>Author(s):</w:t>
            </w:r>
          </w:p>
        </w:tc>
      </w:tr>
      <w:tr w:rsidR="00CA09B2" w:rsidRPr="006F604C" w14:paraId="6238D077" w14:textId="77777777" w:rsidTr="008B0E87">
        <w:trPr>
          <w:jc w:val="center"/>
        </w:trPr>
        <w:tc>
          <w:tcPr>
            <w:tcW w:w="1368" w:type="dxa"/>
            <w:vAlign w:val="center"/>
          </w:tcPr>
          <w:p w14:paraId="6D62AE87" w14:textId="77777777" w:rsidR="00CA09B2" w:rsidRPr="006F604C" w:rsidRDefault="00CA09B2">
            <w:pPr>
              <w:pStyle w:val="T2"/>
              <w:spacing w:after="0"/>
              <w:ind w:left="0" w:right="0"/>
              <w:jc w:val="left"/>
              <w:rPr>
                <w:sz w:val="20"/>
                <w:lang w:val="en-US"/>
              </w:rPr>
            </w:pPr>
            <w:r w:rsidRPr="006F604C">
              <w:rPr>
                <w:sz w:val="20"/>
                <w:lang w:val="en-US"/>
              </w:rPr>
              <w:t>Name</w:t>
            </w:r>
          </w:p>
        </w:tc>
        <w:tc>
          <w:tcPr>
            <w:tcW w:w="1620" w:type="dxa"/>
            <w:vAlign w:val="center"/>
          </w:tcPr>
          <w:p w14:paraId="7DCE5DFC" w14:textId="77777777" w:rsidR="00CA09B2" w:rsidRPr="006F604C" w:rsidRDefault="0062440B">
            <w:pPr>
              <w:pStyle w:val="T2"/>
              <w:spacing w:after="0"/>
              <w:ind w:left="0" w:right="0"/>
              <w:jc w:val="left"/>
              <w:rPr>
                <w:sz w:val="20"/>
                <w:lang w:val="en-US"/>
              </w:rPr>
            </w:pPr>
            <w:r w:rsidRPr="006F604C">
              <w:rPr>
                <w:sz w:val="20"/>
                <w:lang w:val="en-US"/>
              </w:rPr>
              <w:t>Affiliation</w:t>
            </w:r>
          </w:p>
        </w:tc>
        <w:tc>
          <w:tcPr>
            <w:tcW w:w="2790" w:type="dxa"/>
            <w:vAlign w:val="center"/>
          </w:tcPr>
          <w:p w14:paraId="70F890F1" w14:textId="77777777" w:rsidR="00CA09B2" w:rsidRPr="006F604C" w:rsidRDefault="00CA09B2">
            <w:pPr>
              <w:pStyle w:val="T2"/>
              <w:spacing w:after="0"/>
              <w:ind w:left="0" w:right="0"/>
              <w:jc w:val="left"/>
              <w:rPr>
                <w:sz w:val="20"/>
                <w:lang w:val="en-US"/>
              </w:rPr>
            </w:pPr>
            <w:r w:rsidRPr="006F604C">
              <w:rPr>
                <w:sz w:val="20"/>
                <w:lang w:val="en-US"/>
              </w:rPr>
              <w:t>Address</w:t>
            </w:r>
          </w:p>
        </w:tc>
        <w:tc>
          <w:tcPr>
            <w:tcW w:w="1620" w:type="dxa"/>
            <w:vAlign w:val="center"/>
          </w:tcPr>
          <w:p w14:paraId="0ADD6C42" w14:textId="77777777" w:rsidR="00CA09B2" w:rsidRPr="006F604C" w:rsidRDefault="00CA09B2">
            <w:pPr>
              <w:pStyle w:val="T2"/>
              <w:spacing w:after="0"/>
              <w:ind w:left="0" w:right="0"/>
              <w:jc w:val="left"/>
              <w:rPr>
                <w:sz w:val="20"/>
                <w:lang w:val="en-US"/>
              </w:rPr>
            </w:pPr>
            <w:r w:rsidRPr="006F604C">
              <w:rPr>
                <w:sz w:val="20"/>
                <w:lang w:val="en-US"/>
              </w:rPr>
              <w:t>Phone</w:t>
            </w:r>
          </w:p>
        </w:tc>
        <w:tc>
          <w:tcPr>
            <w:tcW w:w="2178" w:type="dxa"/>
            <w:vAlign w:val="center"/>
          </w:tcPr>
          <w:p w14:paraId="6B8ED972" w14:textId="77777777" w:rsidR="00CA09B2" w:rsidRPr="006F604C" w:rsidRDefault="00CA09B2">
            <w:pPr>
              <w:pStyle w:val="T2"/>
              <w:spacing w:after="0"/>
              <w:ind w:left="0" w:right="0"/>
              <w:jc w:val="left"/>
              <w:rPr>
                <w:sz w:val="20"/>
                <w:lang w:val="en-US"/>
              </w:rPr>
            </w:pPr>
            <w:r w:rsidRPr="006F604C">
              <w:rPr>
                <w:sz w:val="20"/>
                <w:lang w:val="en-US"/>
              </w:rPr>
              <w:t>email</w:t>
            </w:r>
          </w:p>
        </w:tc>
      </w:tr>
      <w:tr w:rsidR="008B0E87" w:rsidRPr="006F604C" w14:paraId="403B238A" w14:textId="77777777" w:rsidTr="008B0E87">
        <w:trPr>
          <w:jc w:val="center"/>
        </w:trPr>
        <w:tc>
          <w:tcPr>
            <w:tcW w:w="1368" w:type="dxa"/>
          </w:tcPr>
          <w:p w14:paraId="5B513AC5" w14:textId="41653659" w:rsidR="008B0E87" w:rsidRPr="006F604C" w:rsidRDefault="008B0E87" w:rsidP="008B0E87">
            <w:pPr>
              <w:pStyle w:val="T2"/>
              <w:spacing w:after="0"/>
              <w:ind w:left="0" w:right="0"/>
              <w:rPr>
                <w:b w:val="0"/>
                <w:bCs/>
                <w:sz w:val="20"/>
                <w:lang w:val="en-US"/>
              </w:rPr>
            </w:pPr>
            <w:r w:rsidRPr="006F604C">
              <w:rPr>
                <w:b w:val="0"/>
                <w:bCs/>
                <w:sz w:val="20"/>
                <w:lang w:val="en-US"/>
              </w:rPr>
              <w:t>Joseph LEVY</w:t>
            </w:r>
          </w:p>
        </w:tc>
        <w:tc>
          <w:tcPr>
            <w:tcW w:w="1620" w:type="dxa"/>
          </w:tcPr>
          <w:p w14:paraId="56488B2E" w14:textId="4F4CC8A8" w:rsidR="008B0E87" w:rsidRPr="006F604C" w:rsidRDefault="008B0E87" w:rsidP="008B0E87">
            <w:pPr>
              <w:pStyle w:val="T2"/>
              <w:spacing w:after="0"/>
              <w:ind w:left="0" w:right="0"/>
              <w:rPr>
                <w:b w:val="0"/>
                <w:bCs/>
                <w:sz w:val="20"/>
                <w:lang w:val="en-US"/>
              </w:rPr>
            </w:pPr>
            <w:r w:rsidRPr="006F604C">
              <w:rPr>
                <w:b w:val="0"/>
                <w:bCs/>
                <w:sz w:val="20"/>
                <w:lang w:val="en-US"/>
              </w:rPr>
              <w:t>InterDigital, Inc.</w:t>
            </w:r>
          </w:p>
        </w:tc>
        <w:tc>
          <w:tcPr>
            <w:tcW w:w="2790" w:type="dxa"/>
          </w:tcPr>
          <w:p w14:paraId="381047F7" w14:textId="70F4A2BF" w:rsidR="008B0E87" w:rsidRPr="006F604C" w:rsidRDefault="008B0E87" w:rsidP="008B0E87">
            <w:pPr>
              <w:pStyle w:val="T2"/>
              <w:spacing w:after="0"/>
              <w:ind w:left="0" w:right="0"/>
              <w:rPr>
                <w:b w:val="0"/>
                <w:sz w:val="20"/>
                <w:lang w:val="en-US"/>
              </w:rPr>
            </w:pPr>
            <w:r w:rsidRPr="006F604C">
              <w:rPr>
                <w:b w:val="0"/>
                <w:sz w:val="20"/>
                <w:lang w:val="en-US"/>
              </w:rPr>
              <w:t>111 W 35</w:t>
            </w:r>
            <w:r w:rsidRPr="006F604C">
              <w:rPr>
                <w:b w:val="0"/>
                <w:sz w:val="20"/>
                <w:vertAlign w:val="superscript"/>
                <w:lang w:val="en-US"/>
              </w:rPr>
              <w:t>th</w:t>
            </w:r>
            <w:r w:rsidRPr="006F604C">
              <w:rPr>
                <w:b w:val="0"/>
                <w:sz w:val="20"/>
                <w:lang w:val="en-US"/>
              </w:rPr>
              <w:t xml:space="preserve"> St., NY, New York</w:t>
            </w:r>
          </w:p>
        </w:tc>
        <w:tc>
          <w:tcPr>
            <w:tcW w:w="1620" w:type="dxa"/>
          </w:tcPr>
          <w:p w14:paraId="63A5A9EB" w14:textId="6B313307" w:rsidR="008B0E87" w:rsidRPr="006F604C" w:rsidRDefault="008B0E87" w:rsidP="008B0E87">
            <w:pPr>
              <w:pStyle w:val="T2"/>
              <w:spacing w:after="0"/>
              <w:ind w:left="0" w:right="0"/>
              <w:rPr>
                <w:b w:val="0"/>
                <w:sz w:val="20"/>
                <w:lang w:val="en-US"/>
              </w:rPr>
            </w:pPr>
            <w:r w:rsidRPr="006F604C">
              <w:rPr>
                <w:b w:val="0"/>
                <w:sz w:val="20"/>
                <w:lang w:val="en-US"/>
              </w:rPr>
              <w:t>+1 631.622.4239</w:t>
            </w:r>
          </w:p>
        </w:tc>
        <w:tc>
          <w:tcPr>
            <w:tcW w:w="2178" w:type="dxa"/>
          </w:tcPr>
          <w:p w14:paraId="65747862" w14:textId="6F776D61" w:rsidR="008B0E87" w:rsidRPr="006F604C" w:rsidRDefault="008B0E87" w:rsidP="008B0E87">
            <w:pPr>
              <w:pStyle w:val="T2"/>
              <w:spacing w:after="0"/>
              <w:ind w:left="0" w:right="0"/>
              <w:rPr>
                <w:b w:val="0"/>
                <w:sz w:val="16"/>
                <w:lang w:val="en-US"/>
              </w:rPr>
            </w:pPr>
            <w:r w:rsidRPr="006F604C">
              <w:rPr>
                <w:b w:val="0"/>
                <w:sz w:val="16"/>
                <w:lang w:val="en-US"/>
              </w:rPr>
              <w:t>joseph.levy@interdigital.com</w:t>
            </w:r>
          </w:p>
        </w:tc>
      </w:tr>
      <w:tr w:rsidR="00CA09B2" w:rsidRPr="006F604C" w14:paraId="139AE196" w14:textId="77777777" w:rsidTr="008B0E87">
        <w:trPr>
          <w:jc w:val="center"/>
        </w:trPr>
        <w:tc>
          <w:tcPr>
            <w:tcW w:w="1368" w:type="dxa"/>
            <w:vAlign w:val="center"/>
          </w:tcPr>
          <w:p w14:paraId="38A24E5B" w14:textId="77777777" w:rsidR="00CA09B2" w:rsidRPr="006F604C" w:rsidRDefault="00CA09B2">
            <w:pPr>
              <w:pStyle w:val="T2"/>
              <w:spacing w:after="0"/>
              <w:ind w:left="0" w:right="0"/>
              <w:rPr>
                <w:b w:val="0"/>
                <w:sz w:val="20"/>
                <w:lang w:val="en-US"/>
              </w:rPr>
            </w:pPr>
          </w:p>
        </w:tc>
        <w:tc>
          <w:tcPr>
            <w:tcW w:w="1620" w:type="dxa"/>
            <w:vAlign w:val="center"/>
          </w:tcPr>
          <w:p w14:paraId="45A4CCD4" w14:textId="77777777" w:rsidR="00CA09B2" w:rsidRPr="006F604C" w:rsidRDefault="00CA09B2">
            <w:pPr>
              <w:pStyle w:val="T2"/>
              <w:spacing w:after="0"/>
              <w:ind w:left="0" w:right="0"/>
              <w:rPr>
                <w:b w:val="0"/>
                <w:sz w:val="20"/>
                <w:lang w:val="en-US"/>
              </w:rPr>
            </w:pPr>
          </w:p>
        </w:tc>
        <w:tc>
          <w:tcPr>
            <w:tcW w:w="2790" w:type="dxa"/>
            <w:vAlign w:val="center"/>
          </w:tcPr>
          <w:p w14:paraId="5E52BDB3" w14:textId="77777777" w:rsidR="00CA09B2" w:rsidRPr="006F604C" w:rsidRDefault="00CA09B2">
            <w:pPr>
              <w:pStyle w:val="T2"/>
              <w:spacing w:after="0"/>
              <w:ind w:left="0" w:right="0"/>
              <w:rPr>
                <w:b w:val="0"/>
                <w:sz w:val="20"/>
                <w:lang w:val="en-US"/>
              </w:rPr>
            </w:pPr>
          </w:p>
        </w:tc>
        <w:tc>
          <w:tcPr>
            <w:tcW w:w="1620" w:type="dxa"/>
            <w:vAlign w:val="center"/>
          </w:tcPr>
          <w:p w14:paraId="27447051" w14:textId="77777777" w:rsidR="00CA09B2" w:rsidRPr="006F604C" w:rsidRDefault="00CA09B2">
            <w:pPr>
              <w:pStyle w:val="T2"/>
              <w:spacing w:after="0"/>
              <w:ind w:left="0" w:right="0"/>
              <w:rPr>
                <w:b w:val="0"/>
                <w:sz w:val="20"/>
                <w:lang w:val="en-US"/>
              </w:rPr>
            </w:pPr>
          </w:p>
        </w:tc>
        <w:tc>
          <w:tcPr>
            <w:tcW w:w="2178" w:type="dxa"/>
            <w:vAlign w:val="center"/>
          </w:tcPr>
          <w:p w14:paraId="0795A9AC" w14:textId="77777777" w:rsidR="00CA09B2" w:rsidRPr="006F604C" w:rsidRDefault="00CA09B2">
            <w:pPr>
              <w:pStyle w:val="T2"/>
              <w:spacing w:after="0"/>
              <w:ind w:left="0" w:right="0"/>
              <w:rPr>
                <w:b w:val="0"/>
                <w:sz w:val="16"/>
                <w:lang w:val="en-US"/>
              </w:rPr>
            </w:pPr>
          </w:p>
        </w:tc>
      </w:tr>
      <w:tr w:rsidR="00CA09B2" w:rsidRPr="006F604C" w14:paraId="1CC4B36B" w14:textId="77777777" w:rsidTr="008B0E87">
        <w:trPr>
          <w:jc w:val="center"/>
        </w:trPr>
        <w:tc>
          <w:tcPr>
            <w:tcW w:w="1368" w:type="dxa"/>
            <w:vAlign w:val="center"/>
          </w:tcPr>
          <w:p w14:paraId="37CCF083" w14:textId="77777777" w:rsidR="00CA09B2" w:rsidRPr="006F604C" w:rsidRDefault="00CA09B2">
            <w:pPr>
              <w:pStyle w:val="T2"/>
              <w:spacing w:after="0"/>
              <w:ind w:left="0" w:right="0"/>
              <w:rPr>
                <w:b w:val="0"/>
                <w:sz w:val="20"/>
                <w:lang w:val="en-US"/>
              </w:rPr>
            </w:pPr>
          </w:p>
        </w:tc>
        <w:tc>
          <w:tcPr>
            <w:tcW w:w="1620" w:type="dxa"/>
            <w:vAlign w:val="center"/>
          </w:tcPr>
          <w:p w14:paraId="4C33B432" w14:textId="77777777" w:rsidR="00CA09B2" w:rsidRPr="006F604C" w:rsidRDefault="00CA09B2">
            <w:pPr>
              <w:pStyle w:val="T2"/>
              <w:spacing w:after="0"/>
              <w:ind w:left="0" w:right="0"/>
              <w:rPr>
                <w:b w:val="0"/>
                <w:sz w:val="20"/>
                <w:lang w:val="en-US"/>
              </w:rPr>
            </w:pPr>
          </w:p>
        </w:tc>
        <w:tc>
          <w:tcPr>
            <w:tcW w:w="2790" w:type="dxa"/>
            <w:vAlign w:val="center"/>
          </w:tcPr>
          <w:p w14:paraId="7694BD80" w14:textId="77777777" w:rsidR="00CA09B2" w:rsidRPr="006F604C" w:rsidRDefault="00CA09B2">
            <w:pPr>
              <w:pStyle w:val="T2"/>
              <w:spacing w:after="0"/>
              <w:ind w:left="0" w:right="0"/>
              <w:rPr>
                <w:b w:val="0"/>
                <w:sz w:val="20"/>
                <w:lang w:val="en-US"/>
              </w:rPr>
            </w:pPr>
          </w:p>
        </w:tc>
        <w:tc>
          <w:tcPr>
            <w:tcW w:w="1620" w:type="dxa"/>
            <w:vAlign w:val="center"/>
          </w:tcPr>
          <w:p w14:paraId="4336C173" w14:textId="77777777" w:rsidR="00CA09B2" w:rsidRPr="006F604C" w:rsidRDefault="00CA09B2">
            <w:pPr>
              <w:pStyle w:val="T2"/>
              <w:spacing w:after="0"/>
              <w:ind w:left="0" w:right="0"/>
              <w:rPr>
                <w:b w:val="0"/>
                <w:sz w:val="20"/>
                <w:lang w:val="en-US"/>
              </w:rPr>
            </w:pPr>
          </w:p>
        </w:tc>
        <w:tc>
          <w:tcPr>
            <w:tcW w:w="2178" w:type="dxa"/>
            <w:vAlign w:val="center"/>
          </w:tcPr>
          <w:p w14:paraId="26A82CA0" w14:textId="77777777" w:rsidR="00CA09B2" w:rsidRPr="006F604C" w:rsidRDefault="00CA09B2">
            <w:pPr>
              <w:pStyle w:val="T2"/>
              <w:spacing w:after="0"/>
              <w:ind w:left="0" w:right="0"/>
              <w:rPr>
                <w:b w:val="0"/>
                <w:sz w:val="16"/>
                <w:lang w:val="en-US"/>
              </w:rPr>
            </w:pPr>
          </w:p>
        </w:tc>
      </w:tr>
    </w:tbl>
    <w:p w14:paraId="4123D9AD" w14:textId="77777777" w:rsidR="00CA09B2" w:rsidRPr="006F604C" w:rsidRDefault="00DF3692">
      <w:pPr>
        <w:pStyle w:val="T1"/>
        <w:spacing w:after="120"/>
        <w:rPr>
          <w:sz w:val="22"/>
          <w:lang w:val="en-US"/>
        </w:rPr>
      </w:pPr>
      <w:r>
        <w:rPr>
          <w:noProof/>
          <w:lang w:val="en-US"/>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1B4905" w:rsidRPr="003D12D2" w:rsidRDefault="001B4905">
                  <w:pPr>
                    <w:pStyle w:val="T1"/>
                    <w:spacing w:after="120"/>
                    <w:rPr>
                      <w:lang w:val="en-US"/>
                    </w:rPr>
                  </w:pPr>
                  <w:r w:rsidRPr="003D12D2">
                    <w:rPr>
                      <w:lang w:val="en-US"/>
                    </w:rPr>
                    <w:t>Abstract</w:t>
                  </w:r>
                </w:p>
                <w:p w14:paraId="69390A96" w14:textId="277E560D" w:rsidR="001B4905" w:rsidRDefault="001B4905" w:rsidP="00A949D4">
                  <w:pPr>
                    <w:jc w:val="both"/>
                    <w:rPr>
                      <w:lang w:val="en-US"/>
                    </w:rPr>
                  </w:pPr>
                  <w:r>
                    <w:rPr>
                      <w:lang w:val="en-US"/>
                    </w:rPr>
                    <w:t xml:space="preserve">This </w:t>
                  </w:r>
                  <w:r w:rsidRPr="00030F5C">
                    <w:rPr>
                      <w:lang w:val="en-US"/>
                    </w:rPr>
                    <w:t xml:space="preserve">document </w:t>
                  </w:r>
                  <w:r>
                    <w:rPr>
                      <w:lang w:val="en-US"/>
                    </w:rPr>
                    <w:t xml:space="preserve">provides proposed comment resolutions for some comments submitted in response to the 802.11 TGbd D1.0 WG letter ballot #251. CIDs: </w:t>
                  </w:r>
                  <w:r w:rsidR="00A949D4" w:rsidRPr="00A949D4">
                    <w:rPr>
                      <w:lang w:val="en-US"/>
                    </w:rPr>
                    <w:t>1040</w:t>
                  </w:r>
                  <w:r w:rsidR="00A949D4">
                    <w:rPr>
                      <w:lang w:val="en-US"/>
                    </w:rPr>
                    <w:t xml:space="preserve">, </w:t>
                  </w:r>
                  <w:r w:rsidR="00A949D4" w:rsidRPr="00A949D4">
                    <w:rPr>
                      <w:lang w:val="en-US"/>
                    </w:rPr>
                    <w:t>1133</w:t>
                  </w:r>
                  <w:r w:rsidR="00596364">
                    <w:rPr>
                      <w:lang w:val="en-US"/>
                    </w:rPr>
                    <w:t xml:space="preserve">, </w:t>
                  </w:r>
                  <w:r w:rsidR="00A949D4" w:rsidRPr="00A949D4">
                    <w:rPr>
                      <w:lang w:val="en-US"/>
                    </w:rPr>
                    <w:t>1231</w:t>
                  </w:r>
                  <w:r w:rsidR="00596364">
                    <w:rPr>
                      <w:lang w:val="en-US"/>
                    </w:rPr>
                    <w:t>,</w:t>
                  </w:r>
                  <w:r w:rsidR="00A949D4" w:rsidRPr="00A949D4">
                    <w:rPr>
                      <w:lang w:val="en-US"/>
                    </w:rPr>
                    <w:t>1282</w:t>
                  </w:r>
                  <w:r w:rsidR="00596364">
                    <w:rPr>
                      <w:lang w:val="en-US"/>
                    </w:rPr>
                    <w:t xml:space="preserve">, </w:t>
                  </w:r>
                  <w:r w:rsidR="00A949D4" w:rsidRPr="00A949D4">
                    <w:rPr>
                      <w:lang w:val="en-US"/>
                    </w:rPr>
                    <w:t>1426</w:t>
                  </w:r>
                  <w:r w:rsidR="00596364">
                    <w:rPr>
                      <w:lang w:val="en-US"/>
                    </w:rPr>
                    <w:t xml:space="preserve">, </w:t>
                  </w:r>
                  <w:r w:rsidR="00A949D4" w:rsidRPr="00A949D4">
                    <w:rPr>
                      <w:lang w:val="en-US"/>
                    </w:rPr>
                    <w:t>1427</w:t>
                  </w:r>
                  <w:r w:rsidR="00596364">
                    <w:rPr>
                      <w:lang w:val="en-US"/>
                    </w:rPr>
                    <w:t xml:space="preserve">, </w:t>
                  </w:r>
                  <w:r w:rsidR="00A949D4" w:rsidRPr="00A949D4">
                    <w:rPr>
                      <w:lang w:val="en-US"/>
                    </w:rPr>
                    <w:t>1429</w:t>
                  </w:r>
                  <w:r w:rsidR="00A40B29">
                    <w:rPr>
                      <w:lang w:val="en-US"/>
                    </w:rPr>
                    <w:t xml:space="preserve">, </w:t>
                  </w:r>
                  <w:r w:rsidR="00A949D4" w:rsidRPr="00A949D4">
                    <w:rPr>
                      <w:lang w:val="en-US"/>
                    </w:rPr>
                    <w:t>1430</w:t>
                  </w:r>
                  <w:r w:rsidR="00A40B29">
                    <w:rPr>
                      <w:lang w:val="en-US"/>
                    </w:rPr>
                    <w:t xml:space="preserve">, </w:t>
                  </w:r>
                  <w:r w:rsidR="00A949D4" w:rsidRPr="00A949D4">
                    <w:rPr>
                      <w:lang w:val="en-US"/>
                    </w:rPr>
                    <w:t>1495</w:t>
                  </w:r>
                  <w:r w:rsidR="00A40B29">
                    <w:rPr>
                      <w:lang w:val="en-US"/>
                    </w:rPr>
                    <w:t xml:space="preserve">, </w:t>
                  </w:r>
                  <w:r w:rsidR="00A949D4" w:rsidRPr="00A949D4">
                    <w:rPr>
                      <w:lang w:val="en-US"/>
                    </w:rPr>
                    <w:t>1496</w:t>
                  </w:r>
                  <w:r w:rsidR="00A40B29">
                    <w:rPr>
                      <w:lang w:val="en-US"/>
                    </w:rPr>
                    <w:t xml:space="preserve">, </w:t>
                  </w:r>
                  <w:r w:rsidR="00A949D4" w:rsidRPr="00A949D4">
                    <w:rPr>
                      <w:lang w:val="en-US"/>
                    </w:rPr>
                    <w:t>1497</w:t>
                  </w:r>
                  <w:r w:rsidR="00A40B29">
                    <w:rPr>
                      <w:lang w:val="en-US"/>
                    </w:rPr>
                    <w:t xml:space="preserve">, </w:t>
                  </w:r>
                  <w:r w:rsidR="00A949D4" w:rsidRPr="00A949D4">
                    <w:rPr>
                      <w:lang w:val="en-US"/>
                    </w:rPr>
                    <w:t>1498</w:t>
                  </w:r>
                  <w:r w:rsidR="00A40B29">
                    <w:rPr>
                      <w:lang w:val="en-US"/>
                    </w:rPr>
                    <w:t xml:space="preserve">, </w:t>
                  </w:r>
                  <w:r w:rsidR="00A949D4" w:rsidRPr="00A949D4">
                    <w:rPr>
                      <w:lang w:val="en-US"/>
                    </w:rPr>
                    <w:t>1499</w:t>
                  </w:r>
                  <w:r w:rsidR="00A40B29">
                    <w:rPr>
                      <w:lang w:val="en-US"/>
                    </w:rPr>
                    <w:t xml:space="preserve">, </w:t>
                  </w:r>
                  <w:r w:rsidR="00A949D4" w:rsidRPr="00A949D4">
                    <w:rPr>
                      <w:lang w:val="en-US"/>
                    </w:rPr>
                    <w:t>1565</w:t>
                  </w:r>
                  <w:r w:rsidR="00A40B29">
                    <w:rPr>
                      <w:lang w:val="en-US"/>
                    </w:rPr>
                    <w:t xml:space="preserve">, </w:t>
                  </w:r>
                  <w:r w:rsidR="00A949D4" w:rsidRPr="00A949D4">
                    <w:rPr>
                      <w:lang w:val="en-US"/>
                    </w:rPr>
                    <w:t>1603</w:t>
                  </w:r>
                  <w:r w:rsidR="00A40B29">
                    <w:rPr>
                      <w:lang w:val="en-US"/>
                    </w:rPr>
                    <w:t xml:space="preserve">, </w:t>
                  </w:r>
                  <w:r w:rsidR="00A949D4" w:rsidRPr="00A949D4">
                    <w:rPr>
                      <w:lang w:val="en-US"/>
                    </w:rPr>
                    <w:t>1626</w:t>
                  </w:r>
                  <w:r w:rsidR="00A40B29">
                    <w:rPr>
                      <w:lang w:val="en-US"/>
                    </w:rPr>
                    <w:t xml:space="preserve">, </w:t>
                  </w:r>
                  <w:r w:rsidR="00A949D4" w:rsidRPr="00A949D4">
                    <w:rPr>
                      <w:lang w:val="en-US"/>
                    </w:rPr>
                    <w:t>1752</w:t>
                  </w:r>
                  <w:r w:rsidR="00A40B29">
                    <w:rPr>
                      <w:lang w:val="en-US"/>
                    </w:rPr>
                    <w:t xml:space="preserve">, </w:t>
                  </w:r>
                  <w:r w:rsidR="009650B2">
                    <w:rPr>
                      <w:lang w:val="en-US"/>
                    </w:rPr>
                    <w:t xml:space="preserve">and </w:t>
                  </w:r>
                  <w:r w:rsidR="00A949D4" w:rsidRPr="00A949D4">
                    <w:rPr>
                      <w:lang w:val="en-US"/>
                    </w:rPr>
                    <w:t>1759</w:t>
                  </w:r>
                  <w:r w:rsidR="0079264B">
                    <w:rPr>
                      <w:lang w:val="en-US"/>
                    </w:rPr>
                    <w:t xml:space="preserve"> </w:t>
                  </w:r>
                  <w:r>
                    <w:rPr>
                      <w:lang w:val="en-US"/>
                    </w:rPr>
                    <w:t>are addressed.</w:t>
                  </w:r>
                </w:p>
              </w:txbxContent>
            </v:textbox>
          </v:shape>
        </w:pict>
      </w:r>
    </w:p>
    <w:p w14:paraId="18F27176" w14:textId="0FFD5B2C" w:rsidR="005814C9" w:rsidRDefault="00CA09B2">
      <w:pPr>
        <w:rPr>
          <w:lang w:val="en-US"/>
        </w:rPr>
      </w:pPr>
      <w:r w:rsidRPr="006F604C">
        <w:rPr>
          <w:lang w:val="en-US"/>
        </w:rPr>
        <w:br w:type="page"/>
      </w:r>
      <w:r w:rsidR="008D595C" w:rsidRPr="006F604C">
        <w:rPr>
          <w:lang w:val="en-US"/>
        </w:rPr>
        <w:lastRenderedPageBreak/>
        <w:t xml:space="preserve">The comments are </w:t>
      </w:r>
      <w:r w:rsidR="0016140B" w:rsidRPr="006F604C">
        <w:rPr>
          <w:lang w:val="en-US"/>
        </w:rPr>
        <w:t xml:space="preserve">available in: </w:t>
      </w:r>
      <w:hyperlink r:id="rId10" w:history="1">
        <w:r w:rsidR="007754BD" w:rsidRPr="00961C70">
          <w:rPr>
            <w:rStyle w:val="Hyperlink"/>
            <w:lang w:val="en-US"/>
          </w:rPr>
          <w:t>https://mentor.ieee.org/802.11/dcn/20/11-20-1887-05-00bd-tgbd-lb251-comments.xlsx</w:t>
        </w:r>
      </w:hyperlink>
      <w:r w:rsidR="004C2290" w:rsidRPr="006F604C">
        <w:rPr>
          <w:lang w:val="en-US"/>
        </w:rPr>
        <w:t>.</w:t>
      </w:r>
      <w:r w:rsidR="008D595C" w:rsidRPr="006F604C">
        <w:rPr>
          <w:lang w:val="en-US"/>
        </w:rPr>
        <w:t xml:space="preserve"> </w:t>
      </w:r>
      <w:r w:rsidR="005814C9" w:rsidRPr="006F604C">
        <w:rPr>
          <w:lang w:val="en-US"/>
        </w:rPr>
        <w:t>The proposed resolutions are grouped by clause, page and line number.</w:t>
      </w:r>
    </w:p>
    <w:p w14:paraId="059F5166" w14:textId="4C026230" w:rsidR="007F7298" w:rsidRDefault="007F7298">
      <w:pPr>
        <w:rPr>
          <w:lang w:val="en-US"/>
        </w:rPr>
      </w:pPr>
    </w:p>
    <w:p w14:paraId="7926475E" w14:textId="77777777" w:rsidR="007F7298" w:rsidRDefault="007F7298" w:rsidP="007F7298">
      <w:pPr>
        <w:rPr>
          <w:lang w:val="en-US"/>
        </w:rPr>
      </w:pPr>
      <w:r>
        <w:rPr>
          <w:lang w:val="en-US"/>
        </w:rPr>
        <w:t>Status: Highlighting in CID column indicates the status of the discussion on the CID:</w:t>
      </w:r>
    </w:p>
    <w:p w14:paraId="4C8CD763" w14:textId="77777777" w:rsidR="007F7298" w:rsidRDefault="007F7298" w:rsidP="007F7298">
      <w:pPr>
        <w:rPr>
          <w:lang w:val="en-US"/>
        </w:rPr>
      </w:pPr>
      <w:r w:rsidRPr="00CB3F2C">
        <w:rPr>
          <w:lang w:val="en-US"/>
        </w:rPr>
        <w:t>Not Discussed</w:t>
      </w:r>
      <w:r>
        <w:rPr>
          <w:lang w:val="en-US"/>
        </w:rPr>
        <w:t xml:space="preserve"> (not highlighted)</w:t>
      </w:r>
    </w:p>
    <w:p w14:paraId="522FBCB7" w14:textId="77777777" w:rsidR="007F7298" w:rsidRDefault="007F7298" w:rsidP="007F7298">
      <w:pPr>
        <w:rPr>
          <w:lang w:val="en-US"/>
        </w:rPr>
      </w:pPr>
      <w:r w:rsidRPr="004D6E8D">
        <w:rPr>
          <w:highlight w:val="yellow"/>
          <w:lang w:val="en-US"/>
        </w:rPr>
        <w:t>Discussed additional discussion required</w:t>
      </w:r>
      <w:r>
        <w:rPr>
          <w:lang w:val="en-US"/>
        </w:rPr>
        <w:t xml:space="preserve"> (date of discussion(s) is(are) located below CID number)</w:t>
      </w:r>
    </w:p>
    <w:p w14:paraId="0C67AAD3" w14:textId="77777777" w:rsidR="007F7298" w:rsidRDefault="007F7298" w:rsidP="007F7298">
      <w:pPr>
        <w:rPr>
          <w:lang w:val="en-US"/>
        </w:rPr>
      </w:pPr>
      <w:r w:rsidRPr="004D6E8D">
        <w:rPr>
          <w:highlight w:val="cyan"/>
          <w:lang w:val="en-US"/>
        </w:rPr>
        <w:t>Discussed</w:t>
      </w:r>
      <w:r>
        <w:rPr>
          <w:highlight w:val="cyan"/>
          <w:lang w:val="en-US"/>
        </w:rPr>
        <w:t xml:space="preserve"> </w:t>
      </w:r>
      <w:r w:rsidRPr="004D6E8D">
        <w:rPr>
          <w:highlight w:val="cyan"/>
          <w:lang w:val="en-US"/>
        </w:rPr>
        <w:t>/</w:t>
      </w:r>
      <w:r>
        <w:rPr>
          <w:highlight w:val="cyan"/>
          <w:lang w:val="en-US"/>
        </w:rPr>
        <w:t xml:space="preserve"> </w:t>
      </w:r>
      <w:r w:rsidRPr="004D6E8D">
        <w:rPr>
          <w:highlight w:val="cyan"/>
          <w:lang w:val="en-US"/>
        </w:rPr>
        <w:t>ready for SP</w:t>
      </w:r>
      <w:r>
        <w:rPr>
          <w:lang w:val="en-US"/>
        </w:rPr>
        <w:t xml:space="preserve"> (date of discussion(s) is(are) located below CID number)</w:t>
      </w:r>
    </w:p>
    <w:p w14:paraId="00111B2D" w14:textId="77777777" w:rsidR="007F7298" w:rsidRDefault="007F7298" w:rsidP="007F7298">
      <w:pPr>
        <w:rPr>
          <w:lang w:val="en-US"/>
        </w:rPr>
      </w:pPr>
      <w:r w:rsidRPr="00C94209">
        <w:rPr>
          <w:highlight w:val="magenta"/>
          <w:lang w:val="en-US"/>
        </w:rPr>
        <w:t>SP run / ready for Motion</w:t>
      </w:r>
      <w:r>
        <w:rPr>
          <w:lang w:val="en-US"/>
        </w:rPr>
        <w:t xml:space="preserve"> (date of the SP is located below the date of discussion)</w:t>
      </w:r>
    </w:p>
    <w:p w14:paraId="2B4C3B81" w14:textId="77777777" w:rsidR="007F7298" w:rsidRDefault="007F7298" w:rsidP="007F7298">
      <w:pPr>
        <w:rPr>
          <w:lang w:val="en-US"/>
        </w:rPr>
      </w:pPr>
      <w:r w:rsidRPr="00807FEE">
        <w:rPr>
          <w:highlight w:val="green"/>
          <w:lang w:val="en-US"/>
        </w:rPr>
        <w:t>Motioned</w:t>
      </w:r>
      <w:r>
        <w:rPr>
          <w:lang w:val="en-US"/>
        </w:rPr>
        <w:t xml:space="preserve"> (date of Motion is located below the date of the SP)</w:t>
      </w:r>
    </w:p>
    <w:p w14:paraId="26939982" w14:textId="77777777" w:rsidR="007F7298" w:rsidRDefault="007F7298" w:rsidP="007F7298">
      <w:pPr>
        <w:rPr>
          <w:lang w:val="en-US"/>
        </w:rPr>
      </w:pPr>
    </w:p>
    <w:p w14:paraId="0774E8F2" w14:textId="77777777" w:rsidR="007F7298" w:rsidRDefault="007F7298" w:rsidP="007F7298">
      <w:pPr>
        <w:rPr>
          <w:lang w:val="en-US"/>
        </w:rPr>
      </w:pPr>
      <w:r>
        <w:rPr>
          <w:lang w:val="en-US"/>
        </w:rPr>
        <w:t>Resolution Status: Highlighting in the Resolution column indicates:</w:t>
      </w:r>
    </w:p>
    <w:p w14:paraId="2B1941CA" w14:textId="77777777" w:rsidR="007F7298" w:rsidRDefault="007F7298" w:rsidP="007F7298">
      <w:pPr>
        <w:rPr>
          <w:lang w:val="en-US"/>
        </w:rPr>
      </w:pPr>
      <w:r w:rsidRPr="00F81605">
        <w:rPr>
          <w:highlight w:val="yellow"/>
          <w:lang w:val="en-US"/>
        </w:rPr>
        <w:t>Yellow highlighted text</w:t>
      </w:r>
      <w:r>
        <w:rPr>
          <w:lang w:val="en-US"/>
        </w:rPr>
        <w:t xml:space="preserve"> needs to be discussed</w:t>
      </w:r>
    </w:p>
    <w:p w14:paraId="02FDACDE" w14:textId="77777777" w:rsidR="007F7298" w:rsidRDefault="007F7298" w:rsidP="007F7298">
      <w:pPr>
        <w:rPr>
          <w:lang w:val="en-US"/>
        </w:rPr>
      </w:pPr>
      <w:r w:rsidRPr="00F81605">
        <w:rPr>
          <w:highlight w:val="red"/>
          <w:lang w:val="en-US"/>
        </w:rPr>
        <w:t>Red highlighted text</w:t>
      </w:r>
      <w:r>
        <w:rPr>
          <w:lang w:val="en-US"/>
        </w:rPr>
        <w:t xml:space="preserve"> has been discussed and additional discussion is required </w:t>
      </w:r>
    </w:p>
    <w:p w14:paraId="127DA4C1" w14:textId="77777777" w:rsidR="007F7298" w:rsidRPr="006F604C" w:rsidRDefault="007F7298">
      <w:pPr>
        <w:rPr>
          <w:lang w:val="en-US"/>
        </w:rPr>
      </w:pPr>
    </w:p>
    <w:p w14:paraId="5B3DABB7" w14:textId="77777777" w:rsidR="005814C9" w:rsidRPr="006F604C" w:rsidRDefault="005814C9">
      <w:pPr>
        <w:rPr>
          <w:lang w:val="en-US"/>
        </w:rPr>
      </w:pPr>
    </w:p>
    <w:p w14:paraId="368F17BB" w14:textId="272D853F" w:rsidR="005724DE" w:rsidRDefault="005724DE" w:rsidP="005724DE">
      <w:pPr>
        <w:keepNext/>
        <w:rPr>
          <w:b/>
          <w:bCs/>
          <w:lang w:val="en-US"/>
        </w:rPr>
      </w:pPr>
      <w:r w:rsidRPr="006F604C">
        <w:rPr>
          <w:b/>
          <w:bCs/>
          <w:lang w:val="en-US"/>
        </w:rPr>
        <w:t xml:space="preserve">CIDs for Clause </w:t>
      </w:r>
      <w:r w:rsidR="00CB314D">
        <w:rPr>
          <w:b/>
          <w:bCs/>
          <w:lang w:val="en-US"/>
        </w:rPr>
        <w:t>31.2.3</w:t>
      </w:r>
      <w:r w:rsidRPr="006F604C">
        <w:rPr>
          <w:b/>
          <w:bCs/>
          <w:lang w:val="en-US"/>
        </w:rPr>
        <w:t>, Page , line :</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479"/>
        <w:gridCol w:w="2970"/>
        <w:gridCol w:w="3780"/>
      </w:tblGrid>
      <w:tr w:rsidR="00623225" w:rsidRPr="0079616C" w14:paraId="5887FBD9" w14:textId="7F4BFFBA" w:rsidTr="00790CE3">
        <w:trPr>
          <w:cantSplit/>
          <w:trHeight w:val="188"/>
          <w:tblHeader/>
        </w:trPr>
        <w:tc>
          <w:tcPr>
            <w:tcW w:w="661" w:type="dxa"/>
            <w:shd w:val="clear" w:color="auto" w:fill="auto"/>
            <w:hideMark/>
          </w:tcPr>
          <w:p w14:paraId="298D9927"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CID</w:t>
            </w:r>
          </w:p>
        </w:tc>
        <w:tc>
          <w:tcPr>
            <w:tcW w:w="3479" w:type="dxa"/>
            <w:shd w:val="clear" w:color="auto" w:fill="auto"/>
            <w:hideMark/>
          </w:tcPr>
          <w:p w14:paraId="4CAC86DD"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Comment</w:t>
            </w:r>
          </w:p>
        </w:tc>
        <w:tc>
          <w:tcPr>
            <w:tcW w:w="2970" w:type="dxa"/>
            <w:shd w:val="clear" w:color="auto" w:fill="auto"/>
            <w:hideMark/>
          </w:tcPr>
          <w:p w14:paraId="11BE9C89" w14:textId="77777777" w:rsidR="00623225" w:rsidRPr="0079616C" w:rsidRDefault="00623225" w:rsidP="0079616C">
            <w:pPr>
              <w:rPr>
                <w:rFonts w:ascii="Arial" w:hAnsi="Arial" w:cs="Arial"/>
                <w:b/>
                <w:bCs/>
                <w:sz w:val="20"/>
                <w:lang w:val="en-US"/>
              </w:rPr>
            </w:pPr>
            <w:r w:rsidRPr="0079616C">
              <w:rPr>
                <w:rFonts w:ascii="Arial" w:hAnsi="Arial" w:cs="Arial"/>
                <w:b/>
                <w:bCs/>
                <w:sz w:val="20"/>
                <w:lang w:val="en-US"/>
              </w:rPr>
              <w:t>Proposed Change</w:t>
            </w:r>
          </w:p>
        </w:tc>
        <w:tc>
          <w:tcPr>
            <w:tcW w:w="3780" w:type="dxa"/>
          </w:tcPr>
          <w:p w14:paraId="219E9043" w14:textId="6CC33B78" w:rsidR="00623225" w:rsidRPr="0079616C" w:rsidRDefault="00F75411" w:rsidP="0079616C">
            <w:pPr>
              <w:rPr>
                <w:rFonts w:ascii="Arial" w:hAnsi="Arial" w:cs="Arial"/>
                <w:b/>
                <w:bCs/>
                <w:sz w:val="20"/>
                <w:lang w:val="en-US"/>
              </w:rPr>
            </w:pPr>
            <w:r>
              <w:rPr>
                <w:rFonts w:ascii="Arial" w:hAnsi="Arial" w:cs="Arial"/>
                <w:b/>
                <w:bCs/>
                <w:sz w:val="20"/>
                <w:lang w:val="en-US"/>
              </w:rPr>
              <w:t>Resolution</w:t>
            </w:r>
          </w:p>
        </w:tc>
      </w:tr>
      <w:tr w:rsidR="00880A3B" w:rsidRPr="004153FB" w14:paraId="5830A08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07EED39" w14:textId="77777777" w:rsidR="00880A3B" w:rsidRPr="004153FB" w:rsidRDefault="00880A3B" w:rsidP="003173DE">
            <w:pPr>
              <w:rPr>
                <w:rFonts w:ascii="Arial" w:hAnsi="Arial" w:cs="Arial"/>
                <w:sz w:val="20"/>
                <w:lang w:val="en-US"/>
              </w:rPr>
            </w:pPr>
            <w:r w:rsidRPr="004153FB">
              <w:rPr>
                <w:rFonts w:ascii="Arial" w:hAnsi="Arial" w:cs="Arial"/>
                <w:sz w:val="20"/>
                <w:lang w:val="en-US"/>
              </w:rPr>
              <w:t>1565</w:t>
            </w:r>
          </w:p>
        </w:tc>
        <w:tc>
          <w:tcPr>
            <w:tcW w:w="3479" w:type="dxa"/>
            <w:tcBorders>
              <w:top w:val="single" w:sz="4" w:space="0" w:color="auto"/>
              <w:left w:val="single" w:sz="4" w:space="0" w:color="auto"/>
              <w:bottom w:val="single" w:sz="4" w:space="0" w:color="auto"/>
              <w:right w:val="single" w:sz="4" w:space="0" w:color="auto"/>
            </w:tcBorders>
            <w:hideMark/>
          </w:tcPr>
          <w:p w14:paraId="705F674A" w14:textId="77777777" w:rsidR="00880A3B" w:rsidRPr="004153FB" w:rsidRDefault="00880A3B" w:rsidP="003173DE">
            <w:pPr>
              <w:rPr>
                <w:rFonts w:ascii="Arial" w:hAnsi="Arial" w:cs="Arial"/>
                <w:sz w:val="20"/>
                <w:lang w:val="en-US"/>
              </w:rPr>
            </w:pPr>
            <w:r w:rsidRPr="004153FB">
              <w:rPr>
                <w:rFonts w:ascii="Arial" w:hAnsi="Arial" w:cs="Arial"/>
                <w:sz w:val="20"/>
                <w:lang w:val="en-US"/>
              </w:rPr>
              <w:t>What capabilities are referred in the phrase "... to exchange capabilities?"</w:t>
            </w:r>
          </w:p>
        </w:tc>
        <w:tc>
          <w:tcPr>
            <w:tcW w:w="2970" w:type="dxa"/>
            <w:tcBorders>
              <w:top w:val="single" w:sz="4" w:space="0" w:color="auto"/>
              <w:left w:val="single" w:sz="4" w:space="0" w:color="auto"/>
              <w:bottom w:val="single" w:sz="4" w:space="0" w:color="auto"/>
              <w:right w:val="single" w:sz="4" w:space="0" w:color="auto"/>
            </w:tcBorders>
            <w:hideMark/>
          </w:tcPr>
          <w:p w14:paraId="170A7BF2" w14:textId="77777777" w:rsidR="00880A3B" w:rsidRPr="004153FB" w:rsidRDefault="00880A3B" w:rsidP="003173DE">
            <w:pPr>
              <w:rPr>
                <w:rFonts w:ascii="Arial" w:hAnsi="Arial" w:cs="Arial"/>
                <w:sz w:val="20"/>
                <w:lang w:val="en-US"/>
              </w:rPr>
            </w:pPr>
            <w:r w:rsidRPr="004153FB">
              <w:rPr>
                <w:rFonts w:ascii="Arial" w:hAnsi="Arial" w:cs="Arial"/>
                <w:sz w:val="20"/>
                <w:lang w:val="en-US"/>
              </w:rPr>
              <w:t>Please clarify.</w:t>
            </w:r>
          </w:p>
        </w:tc>
        <w:tc>
          <w:tcPr>
            <w:tcW w:w="3780" w:type="dxa"/>
            <w:tcBorders>
              <w:top w:val="single" w:sz="4" w:space="0" w:color="auto"/>
              <w:left w:val="single" w:sz="4" w:space="0" w:color="auto"/>
              <w:bottom w:val="single" w:sz="4" w:space="0" w:color="auto"/>
              <w:right w:val="single" w:sz="4" w:space="0" w:color="auto"/>
            </w:tcBorders>
          </w:tcPr>
          <w:p w14:paraId="0841A259"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58FDE2FB"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There is no need to clarify as the requirement has been rewritten and the phase “… to exchange capabilities” is removed.  </w:t>
            </w:r>
          </w:p>
          <w:p w14:paraId="1EF9AF4C" w14:textId="77777777" w:rsidR="00880A3B" w:rsidRPr="00F11EA5" w:rsidRDefault="00880A3B" w:rsidP="003173DE">
            <w:pPr>
              <w:rPr>
                <w:rFonts w:ascii="Arial" w:hAnsi="Arial" w:cs="Arial"/>
                <w:sz w:val="20"/>
                <w:lang w:val="en-US"/>
              </w:rPr>
            </w:pPr>
            <w:r w:rsidRPr="00F11EA5">
              <w:rPr>
                <w:rFonts w:ascii="Arial" w:hAnsi="Arial" w:cs="Arial"/>
                <w:sz w:val="20"/>
                <w:lang w:val="en-US"/>
              </w:rPr>
              <w:t>The sentence is replaced with:</w:t>
            </w:r>
          </w:p>
          <w:p w14:paraId="6BC6B09A"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4071F46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6EBA52B5" w14:textId="77777777" w:rsidR="00880A3B" w:rsidRPr="00F11EA5" w:rsidRDefault="00880A3B" w:rsidP="003173DE">
            <w:pPr>
              <w:rPr>
                <w:rFonts w:ascii="Arial" w:hAnsi="Arial" w:cs="Arial"/>
                <w:sz w:val="20"/>
                <w:lang w:val="en-US"/>
              </w:rPr>
            </w:pPr>
          </w:p>
          <w:p w14:paraId="7D03DF8A" w14:textId="77777777" w:rsidR="00880A3B" w:rsidRPr="00F11EA5" w:rsidRDefault="00880A3B" w:rsidP="003173DE">
            <w:pPr>
              <w:rPr>
                <w:rFonts w:ascii="Arial" w:hAnsi="Arial" w:cs="Arial"/>
                <w:sz w:val="20"/>
                <w:lang w:val="en-US"/>
              </w:rPr>
            </w:pPr>
            <w:r w:rsidRPr="00F11EA5">
              <w:rPr>
                <w:rFonts w:ascii="Arial" w:hAnsi="Arial" w:cs="Arial"/>
                <w:sz w:val="20"/>
                <w:lang w:val="en-US"/>
              </w:rPr>
              <w:t>Editor: please see 1495</w:t>
            </w:r>
          </w:p>
          <w:p w14:paraId="18A39FA8" w14:textId="77777777" w:rsidR="00880A3B" w:rsidRPr="004153FB" w:rsidRDefault="00880A3B" w:rsidP="003173DE">
            <w:pPr>
              <w:rPr>
                <w:rFonts w:ascii="Arial" w:hAnsi="Arial" w:cs="Arial"/>
                <w:sz w:val="20"/>
                <w:lang w:val="en-US"/>
              </w:rPr>
            </w:pPr>
          </w:p>
        </w:tc>
      </w:tr>
      <w:tr w:rsidR="00880A3B" w:rsidRPr="004153FB" w14:paraId="16F7B8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C8A8912" w14:textId="77777777" w:rsidR="00880A3B" w:rsidRPr="004153FB" w:rsidRDefault="00880A3B" w:rsidP="003173DE">
            <w:pPr>
              <w:rPr>
                <w:rFonts w:ascii="Arial" w:hAnsi="Arial" w:cs="Arial"/>
                <w:sz w:val="20"/>
                <w:lang w:val="en-US"/>
              </w:rPr>
            </w:pPr>
            <w:r w:rsidRPr="004153FB">
              <w:rPr>
                <w:rFonts w:ascii="Arial" w:hAnsi="Arial" w:cs="Arial"/>
                <w:sz w:val="20"/>
                <w:lang w:val="en-US"/>
              </w:rPr>
              <w:t>1495</w:t>
            </w:r>
          </w:p>
        </w:tc>
        <w:tc>
          <w:tcPr>
            <w:tcW w:w="3479" w:type="dxa"/>
            <w:tcBorders>
              <w:top w:val="single" w:sz="4" w:space="0" w:color="auto"/>
              <w:left w:val="single" w:sz="4" w:space="0" w:color="auto"/>
              <w:bottom w:val="single" w:sz="4" w:space="0" w:color="auto"/>
              <w:right w:val="single" w:sz="4" w:space="0" w:color="auto"/>
            </w:tcBorders>
            <w:hideMark/>
          </w:tcPr>
          <w:p w14:paraId="49B95C51" w14:textId="77777777" w:rsidR="00880A3B" w:rsidRPr="004153FB" w:rsidRDefault="00880A3B" w:rsidP="003173DE">
            <w:pPr>
              <w:rPr>
                <w:rFonts w:ascii="Arial" w:hAnsi="Arial" w:cs="Arial"/>
                <w:sz w:val="20"/>
                <w:lang w:val="en-US"/>
              </w:rPr>
            </w:pPr>
            <w:r w:rsidRPr="004153FB">
              <w:rPr>
                <w:rFonts w:ascii="Arial" w:hAnsi="Arial" w:cs="Arial"/>
                <w:sz w:val="20"/>
                <w:lang w:val="en-US"/>
              </w:rPr>
              <w:t>"without the requirement to exchange capabilities" is ambiguous. It implies that frame aggregation parameters are not negotiated.</w:t>
            </w:r>
          </w:p>
        </w:tc>
        <w:tc>
          <w:tcPr>
            <w:tcW w:w="2970" w:type="dxa"/>
            <w:tcBorders>
              <w:top w:val="single" w:sz="4" w:space="0" w:color="auto"/>
              <w:left w:val="single" w:sz="4" w:space="0" w:color="auto"/>
              <w:bottom w:val="single" w:sz="4" w:space="0" w:color="auto"/>
              <w:right w:val="single" w:sz="4" w:space="0" w:color="auto"/>
            </w:tcBorders>
            <w:hideMark/>
          </w:tcPr>
          <w:p w14:paraId="67177507" w14:textId="77777777" w:rsidR="00880A3B" w:rsidRPr="004153FB" w:rsidRDefault="00880A3B" w:rsidP="003173DE">
            <w:pPr>
              <w:rPr>
                <w:rFonts w:ascii="Arial" w:hAnsi="Arial" w:cs="Arial"/>
                <w:sz w:val="20"/>
                <w:lang w:val="en-US"/>
              </w:rPr>
            </w:pPr>
            <w:r w:rsidRPr="004153FB">
              <w:rPr>
                <w:rFonts w:ascii="Arial" w:hAnsi="Arial" w:cs="Arial"/>
                <w:sz w:val="20"/>
                <w:lang w:val="en-US"/>
              </w:rPr>
              <w:t>Change "Frame aggregation by an NGV STA operates without the requirement to exchange capabilities." to "Frame aggregation parameters  for an NGV STA are specified in a manner beyond the scope of the standard."</w:t>
            </w:r>
          </w:p>
        </w:tc>
        <w:tc>
          <w:tcPr>
            <w:tcW w:w="3780" w:type="dxa"/>
            <w:tcBorders>
              <w:top w:val="single" w:sz="4" w:space="0" w:color="auto"/>
              <w:left w:val="single" w:sz="4" w:space="0" w:color="auto"/>
              <w:bottom w:val="single" w:sz="4" w:space="0" w:color="auto"/>
              <w:right w:val="single" w:sz="4" w:space="0" w:color="auto"/>
            </w:tcBorders>
          </w:tcPr>
          <w:p w14:paraId="09F17313" w14:textId="77777777" w:rsidR="00880A3B" w:rsidRPr="00F11EA5" w:rsidRDefault="00880A3B" w:rsidP="003173DE">
            <w:pPr>
              <w:rPr>
                <w:rFonts w:ascii="Arial" w:hAnsi="Arial" w:cs="Arial"/>
                <w:sz w:val="20"/>
                <w:lang w:val="en-US"/>
              </w:rPr>
            </w:pPr>
            <w:r w:rsidRPr="00F11EA5">
              <w:rPr>
                <w:rFonts w:ascii="Arial" w:hAnsi="Arial" w:cs="Arial"/>
                <w:sz w:val="20"/>
                <w:lang w:val="en-US"/>
              </w:rPr>
              <w:t>Revised</w:t>
            </w:r>
          </w:p>
          <w:p w14:paraId="0ED8581A"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The frame aggregation parameters used by an NGV STA are fixed by the Standard and their specification is not out of scope. </w:t>
            </w:r>
          </w:p>
          <w:p w14:paraId="1CB899C4" w14:textId="77777777" w:rsidR="00880A3B" w:rsidRPr="00F11EA5" w:rsidRDefault="00880A3B" w:rsidP="003173DE">
            <w:pPr>
              <w:rPr>
                <w:rFonts w:ascii="Arial" w:hAnsi="Arial" w:cs="Arial"/>
                <w:sz w:val="20"/>
                <w:lang w:val="en-US"/>
              </w:rPr>
            </w:pPr>
            <w:r w:rsidRPr="00F11EA5">
              <w:rPr>
                <w:rFonts w:ascii="Arial" w:hAnsi="Arial" w:cs="Arial"/>
                <w:sz w:val="20"/>
                <w:lang w:val="en-US"/>
              </w:rPr>
              <w:t>Replace the sentence with:</w:t>
            </w:r>
          </w:p>
          <w:p w14:paraId="70EFB025" w14:textId="77777777" w:rsidR="00880A3B" w:rsidRPr="00F11EA5" w:rsidRDefault="00880A3B" w:rsidP="003173DE">
            <w:pPr>
              <w:rPr>
                <w:rFonts w:ascii="Arial" w:hAnsi="Arial" w:cs="Arial"/>
                <w:sz w:val="20"/>
                <w:lang w:val="en-US"/>
              </w:rPr>
            </w:pPr>
            <w:r w:rsidRPr="00F11EA5">
              <w:rPr>
                <w:rFonts w:ascii="Arial" w:hAnsi="Arial" w:cs="Arial"/>
                <w:sz w:val="20"/>
                <w:lang w:val="en-US"/>
              </w:rPr>
              <w:t xml:space="preserve">“NGV STA frame aggregation parameters are fixed and are defined in this clause.” </w:t>
            </w:r>
          </w:p>
          <w:p w14:paraId="36456145" w14:textId="77777777" w:rsidR="00880A3B" w:rsidRPr="00F11EA5" w:rsidRDefault="00880A3B" w:rsidP="003173DE">
            <w:pPr>
              <w:rPr>
                <w:rFonts w:ascii="Arial" w:hAnsi="Arial" w:cs="Arial"/>
                <w:sz w:val="20"/>
                <w:lang w:val="en-US"/>
              </w:rPr>
            </w:pPr>
          </w:p>
          <w:p w14:paraId="1EB16837" w14:textId="77777777" w:rsidR="00880A3B" w:rsidRPr="004153FB" w:rsidRDefault="00880A3B" w:rsidP="003173DE">
            <w:pPr>
              <w:rPr>
                <w:rFonts w:ascii="Arial" w:hAnsi="Arial" w:cs="Arial"/>
                <w:sz w:val="20"/>
                <w:lang w:val="en-US"/>
              </w:rPr>
            </w:pPr>
            <w:r w:rsidRPr="00F11EA5">
              <w:rPr>
                <w:rFonts w:ascii="Arial" w:hAnsi="Arial" w:cs="Arial"/>
                <w:sz w:val="20"/>
                <w:lang w:val="en-US"/>
              </w:rPr>
              <w:t>Editor: also see CID 1565.</w:t>
            </w:r>
          </w:p>
        </w:tc>
      </w:tr>
      <w:tr w:rsidR="00EA608E" w:rsidRPr="004153FB" w14:paraId="555E36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2AA73" w14:textId="77777777" w:rsidR="00EA608E" w:rsidRPr="004153FB" w:rsidRDefault="00EA608E" w:rsidP="0000475A">
            <w:pPr>
              <w:rPr>
                <w:rFonts w:ascii="Arial" w:hAnsi="Arial" w:cs="Arial"/>
                <w:sz w:val="20"/>
                <w:lang w:val="en-US"/>
              </w:rPr>
            </w:pPr>
            <w:r w:rsidRPr="004153FB">
              <w:rPr>
                <w:rFonts w:ascii="Arial" w:hAnsi="Arial" w:cs="Arial"/>
                <w:sz w:val="20"/>
                <w:lang w:val="en-US"/>
              </w:rPr>
              <w:t>1496</w:t>
            </w:r>
          </w:p>
        </w:tc>
        <w:tc>
          <w:tcPr>
            <w:tcW w:w="3479" w:type="dxa"/>
            <w:tcBorders>
              <w:top w:val="single" w:sz="4" w:space="0" w:color="auto"/>
              <w:left w:val="single" w:sz="4" w:space="0" w:color="auto"/>
              <w:bottom w:val="single" w:sz="4" w:space="0" w:color="auto"/>
              <w:right w:val="single" w:sz="4" w:space="0" w:color="auto"/>
            </w:tcBorders>
            <w:hideMark/>
          </w:tcPr>
          <w:p w14:paraId="5B01D4FE" w14:textId="77777777" w:rsidR="00EA608E" w:rsidRPr="004153FB" w:rsidRDefault="00EA608E" w:rsidP="0000475A">
            <w:pPr>
              <w:rPr>
                <w:rFonts w:ascii="Arial" w:hAnsi="Arial" w:cs="Arial"/>
                <w:sz w:val="20"/>
                <w:lang w:val="en-US"/>
              </w:rPr>
            </w:pPr>
            <w:r w:rsidRPr="004153FB">
              <w:rPr>
                <w:rFonts w:ascii="Arial" w:hAnsi="Arial" w:cs="Arial"/>
                <w:sz w:val="20"/>
                <w:lang w:val="en-US"/>
              </w:rPr>
              <w:t>Since A-MPDU and A-MSDU aggregation is not negotiated, there needs to be either a primitive  to specify the parameters.</w:t>
            </w:r>
          </w:p>
        </w:tc>
        <w:tc>
          <w:tcPr>
            <w:tcW w:w="2970" w:type="dxa"/>
            <w:tcBorders>
              <w:top w:val="single" w:sz="4" w:space="0" w:color="auto"/>
              <w:left w:val="single" w:sz="4" w:space="0" w:color="auto"/>
              <w:bottom w:val="single" w:sz="4" w:space="0" w:color="auto"/>
              <w:right w:val="single" w:sz="4" w:space="0" w:color="auto"/>
            </w:tcBorders>
            <w:hideMark/>
          </w:tcPr>
          <w:p w14:paraId="7054FE98" w14:textId="77777777" w:rsidR="00EA608E" w:rsidRPr="004153FB" w:rsidRDefault="00EA608E" w:rsidP="0000475A">
            <w:pPr>
              <w:rPr>
                <w:rFonts w:ascii="Arial" w:hAnsi="Arial" w:cs="Arial"/>
                <w:sz w:val="20"/>
                <w:lang w:val="en-US"/>
              </w:rPr>
            </w:pPr>
            <w:r w:rsidRPr="004153FB">
              <w:rPr>
                <w:rFonts w:ascii="Arial" w:hAnsi="Arial" w:cs="Arial"/>
                <w:sz w:val="20"/>
                <w:lang w:val="en-US"/>
              </w:rPr>
              <w:t>Add  primitives to configure frame aggregation parameters.</w:t>
            </w:r>
          </w:p>
        </w:tc>
        <w:tc>
          <w:tcPr>
            <w:tcW w:w="3780" w:type="dxa"/>
            <w:tcBorders>
              <w:top w:val="single" w:sz="4" w:space="0" w:color="auto"/>
              <w:left w:val="single" w:sz="4" w:space="0" w:color="auto"/>
              <w:bottom w:val="single" w:sz="4" w:space="0" w:color="auto"/>
              <w:right w:val="single" w:sz="4" w:space="0" w:color="auto"/>
            </w:tcBorders>
          </w:tcPr>
          <w:p w14:paraId="07B803C2" w14:textId="77777777" w:rsidR="00EA608E" w:rsidRPr="00F11EA5" w:rsidRDefault="00EA608E" w:rsidP="0000475A">
            <w:pPr>
              <w:rPr>
                <w:rFonts w:ascii="Arial" w:hAnsi="Arial" w:cs="Arial"/>
                <w:sz w:val="20"/>
                <w:lang w:val="en-US"/>
              </w:rPr>
            </w:pPr>
            <w:r w:rsidRPr="00F11EA5">
              <w:rPr>
                <w:rFonts w:ascii="Arial" w:hAnsi="Arial" w:cs="Arial"/>
                <w:sz w:val="20"/>
                <w:lang w:val="en-US"/>
              </w:rPr>
              <w:t>Rejected</w:t>
            </w:r>
          </w:p>
          <w:p w14:paraId="3974EABD" w14:textId="77777777" w:rsidR="00EA608E" w:rsidRPr="004153FB" w:rsidRDefault="00EA608E" w:rsidP="0000475A">
            <w:pPr>
              <w:rPr>
                <w:rFonts w:ascii="Arial" w:hAnsi="Arial" w:cs="Arial"/>
                <w:sz w:val="20"/>
                <w:lang w:val="en-US"/>
              </w:rPr>
            </w:pPr>
            <w:r w:rsidRPr="00F11EA5">
              <w:rPr>
                <w:rFonts w:ascii="Arial" w:hAnsi="Arial" w:cs="Arial"/>
                <w:sz w:val="20"/>
                <w:lang w:val="en-US"/>
              </w:rPr>
              <w:t xml:space="preserve">There are no external parameters that are supplied to an NGV STA.  An NGV STA may transmit A-MPDUs or A-MSDUs as long as the procedures defined in Clause 10.11, 10.12, and 10.25 are followed, the maximum MPDU length is not exceeded (as per table 31-1, and the 2µs minimum time between adjacent MPDUs is met. </w:t>
            </w:r>
          </w:p>
        </w:tc>
      </w:tr>
      <w:tr w:rsidR="001B28C0" w:rsidRPr="004153FB" w14:paraId="17DD8484"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78BD949" w14:textId="77777777" w:rsidR="001B28C0" w:rsidRPr="004153FB" w:rsidRDefault="001B28C0" w:rsidP="003C3DC7">
            <w:pPr>
              <w:rPr>
                <w:rFonts w:ascii="Arial" w:hAnsi="Arial" w:cs="Arial"/>
                <w:sz w:val="20"/>
                <w:lang w:val="en-US"/>
              </w:rPr>
            </w:pPr>
            <w:r w:rsidRPr="004153FB">
              <w:rPr>
                <w:rFonts w:ascii="Arial" w:hAnsi="Arial" w:cs="Arial"/>
                <w:sz w:val="20"/>
                <w:lang w:val="en-US"/>
              </w:rPr>
              <w:lastRenderedPageBreak/>
              <w:t>1497</w:t>
            </w:r>
          </w:p>
        </w:tc>
        <w:tc>
          <w:tcPr>
            <w:tcW w:w="3479" w:type="dxa"/>
            <w:tcBorders>
              <w:top w:val="single" w:sz="4" w:space="0" w:color="auto"/>
              <w:left w:val="single" w:sz="4" w:space="0" w:color="auto"/>
              <w:bottom w:val="single" w:sz="4" w:space="0" w:color="auto"/>
              <w:right w:val="single" w:sz="4" w:space="0" w:color="auto"/>
            </w:tcBorders>
            <w:hideMark/>
          </w:tcPr>
          <w:p w14:paraId="6B1B76BF" w14:textId="77777777" w:rsidR="001B28C0" w:rsidRPr="004153FB" w:rsidRDefault="001B28C0" w:rsidP="003C3DC7">
            <w:pPr>
              <w:rPr>
                <w:rFonts w:ascii="Arial" w:hAnsi="Arial" w:cs="Arial"/>
                <w:sz w:val="20"/>
                <w:lang w:val="en-US"/>
              </w:rPr>
            </w:pPr>
            <w:r w:rsidRPr="004153FB">
              <w:rPr>
                <w:rFonts w:ascii="Arial" w:hAnsi="Arial" w:cs="Arial"/>
                <w:sz w:val="20"/>
                <w:lang w:val="en-US"/>
              </w:rPr>
              <w:t>A-MPDU/A-MSDU transmission is always optional. "While...." is not required at the cited location.</w:t>
            </w:r>
          </w:p>
        </w:tc>
        <w:tc>
          <w:tcPr>
            <w:tcW w:w="2970" w:type="dxa"/>
            <w:tcBorders>
              <w:top w:val="single" w:sz="4" w:space="0" w:color="auto"/>
              <w:left w:val="single" w:sz="4" w:space="0" w:color="auto"/>
              <w:bottom w:val="single" w:sz="4" w:space="0" w:color="auto"/>
              <w:right w:val="single" w:sz="4" w:space="0" w:color="auto"/>
            </w:tcBorders>
            <w:hideMark/>
          </w:tcPr>
          <w:p w14:paraId="17A76431" w14:textId="77777777" w:rsidR="001B28C0" w:rsidRPr="004153FB" w:rsidRDefault="001B28C0" w:rsidP="003C3DC7">
            <w:pPr>
              <w:rPr>
                <w:rFonts w:ascii="Arial" w:hAnsi="Arial" w:cs="Arial"/>
                <w:sz w:val="20"/>
                <w:lang w:val="en-US"/>
              </w:rPr>
            </w:pPr>
            <w:r w:rsidRPr="004153FB">
              <w:rPr>
                <w:rFonts w:ascii="Arial" w:hAnsi="Arial" w:cs="Arial"/>
                <w:sz w:val="20"/>
                <w:lang w:val="en-US"/>
              </w:rPr>
              <w:t>Change "While it is</w:t>
            </w:r>
            <w:r w:rsidRPr="004153FB">
              <w:rPr>
                <w:rFonts w:ascii="Arial" w:hAnsi="Arial" w:cs="Arial"/>
                <w:sz w:val="20"/>
                <w:lang w:val="en-US"/>
              </w:rPr>
              <w:br/>
              <w:t>not mandatory to transmit an A-MPDU or A-MSDU, an NGV STA" to "An NGV STA"</w:t>
            </w:r>
          </w:p>
        </w:tc>
        <w:tc>
          <w:tcPr>
            <w:tcW w:w="3780" w:type="dxa"/>
            <w:tcBorders>
              <w:top w:val="single" w:sz="4" w:space="0" w:color="auto"/>
              <w:left w:val="single" w:sz="4" w:space="0" w:color="auto"/>
              <w:bottom w:val="single" w:sz="4" w:space="0" w:color="auto"/>
              <w:right w:val="single" w:sz="4" w:space="0" w:color="auto"/>
            </w:tcBorders>
          </w:tcPr>
          <w:p w14:paraId="0BBB675F" w14:textId="77777777" w:rsidR="001B28C0" w:rsidRPr="00F11EA5" w:rsidRDefault="001B28C0" w:rsidP="003C3DC7">
            <w:pPr>
              <w:rPr>
                <w:rFonts w:ascii="Arial" w:hAnsi="Arial" w:cs="Arial"/>
                <w:sz w:val="20"/>
                <w:lang w:val="en-US"/>
              </w:rPr>
            </w:pPr>
            <w:r w:rsidRPr="00F11EA5">
              <w:rPr>
                <w:rFonts w:ascii="Arial" w:hAnsi="Arial" w:cs="Arial"/>
                <w:sz w:val="20"/>
                <w:lang w:val="en-US"/>
              </w:rPr>
              <w:t>Revised</w:t>
            </w:r>
          </w:p>
          <w:p w14:paraId="2F796A80" w14:textId="77777777" w:rsidR="001B28C0" w:rsidRPr="00F11EA5" w:rsidRDefault="001B28C0" w:rsidP="003C3DC7">
            <w:pPr>
              <w:rPr>
                <w:rFonts w:ascii="Arial" w:hAnsi="Arial" w:cs="Arial"/>
                <w:sz w:val="20"/>
                <w:lang w:val="en-US"/>
              </w:rPr>
            </w:pPr>
            <w:r w:rsidRPr="00F11EA5">
              <w:rPr>
                <w:rFonts w:ascii="Arial" w:hAnsi="Arial" w:cs="Arial"/>
                <w:sz w:val="20"/>
                <w:lang w:val="en-US"/>
              </w:rPr>
              <w:t>Agree in principle.</w:t>
            </w:r>
          </w:p>
          <w:p w14:paraId="5FF772CF" w14:textId="77777777" w:rsidR="001B28C0" w:rsidRPr="00F11EA5"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Change: “While it is not mandatory to transmit an A-MPDU or A-MSDU, an NGV STA shall support the reception of an AMSDU and an A-MPDU of the sizes outlined below.”</w:t>
            </w:r>
          </w:p>
          <w:p w14:paraId="32FC65E3" w14:textId="77777777" w:rsidR="001B28C0" w:rsidRPr="004153FB" w:rsidRDefault="001B28C0" w:rsidP="003C3DC7">
            <w:pPr>
              <w:autoSpaceDE w:val="0"/>
              <w:autoSpaceDN w:val="0"/>
              <w:adjustRightInd w:val="0"/>
              <w:rPr>
                <w:rFonts w:ascii="Arial" w:hAnsi="Arial" w:cs="Arial"/>
                <w:sz w:val="20"/>
                <w:lang w:val="en-US"/>
              </w:rPr>
            </w:pPr>
            <w:r w:rsidRPr="00F11EA5">
              <w:rPr>
                <w:rFonts w:ascii="Arial" w:hAnsi="Arial" w:cs="Arial"/>
                <w:sz w:val="20"/>
                <w:lang w:val="en-US"/>
              </w:rPr>
              <w:t>To: “An NGV STA may transmit an A-MPDU or A-MSDU and shall support the reception of an A-MSDU or A-MPDU with aggregation parameters as defined in this clause.”</w:t>
            </w:r>
          </w:p>
        </w:tc>
      </w:tr>
      <w:tr w:rsidR="007D5209" w:rsidRPr="004153FB" w14:paraId="21DEE2C3"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77E2EAD" w14:textId="0C011C60" w:rsidR="007D5209" w:rsidRPr="004153FB" w:rsidRDefault="007D5209" w:rsidP="007D5209">
            <w:pPr>
              <w:rPr>
                <w:rFonts w:ascii="Arial" w:hAnsi="Arial" w:cs="Arial"/>
                <w:sz w:val="20"/>
                <w:lang w:val="en-US"/>
              </w:rPr>
            </w:pPr>
            <w:r w:rsidRPr="004153FB">
              <w:rPr>
                <w:rFonts w:ascii="Arial" w:hAnsi="Arial" w:cs="Arial"/>
                <w:sz w:val="20"/>
                <w:lang w:val="en-US"/>
              </w:rPr>
              <w:t>1426</w:t>
            </w:r>
          </w:p>
        </w:tc>
        <w:tc>
          <w:tcPr>
            <w:tcW w:w="3479" w:type="dxa"/>
            <w:tcBorders>
              <w:top w:val="single" w:sz="4" w:space="0" w:color="auto"/>
              <w:left w:val="single" w:sz="4" w:space="0" w:color="auto"/>
              <w:bottom w:val="single" w:sz="4" w:space="0" w:color="auto"/>
              <w:right w:val="single" w:sz="4" w:space="0" w:color="auto"/>
            </w:tcBorders>
            <w:hideMark/>
          </w:tcPr>
          <w:p w14:paraId="0ED1446B" w14:textId="1A58F889" w:rsidR="007D5209" w:rsidRPr="004153FB" w:rsidRDefault="007D5209" w:rsidP="007D5209">
            <w:pPr>
              <w:rPr>
                <w:rFonts w:ascii="Arial" w:hAnsi="Arial" w:cs="Arial"/>
                <w:sz w:val="20"/>
                <w:lang w:val="en-US"/>
              </w:rPr>
            </w:pPr>
            <w:r w:rsidRPr="004153FB">
              <w:rPr>
                <w:rFonts w:ascii="Arial" w:hAnsi="Arial" w:cs="Arial"/>
                <w:sz w:val="20"/>
                <w:lang w:val="en-US"/>
              </w:rPr>
              <w:t>"An NGV STA shall transmit a maximum MPDU length of 7991 octets, though the maximum may be less for certain MCSs. An NGV STA shall not exceed the maximum TXOP limit of 5484us.</w:t>
            </w:r>
            <w:r w:rsidRPr="004153FB">
              <w:rPr>
                <w:rFonts w:ascii="Arial" w:hAnsi="Arial" w:cs="Arial"/>
                <w:sz w:val="20"/>
                <w:lang w:val="en-US"/>
              </w:rPr>
              <w:br/>
              <w:t>The number of octets that fit in a TXOP limit is shown in Table 31-1 (Maximum NGV MPDU length).." 1) Confusing because the max is not 7991 in all cases.  2) Confusing because it's not clear which of 5484 and the table are normative.  3) Confusing because it's not clear whether this is about the TXOP limit or the maximum PPDU duration.  4) Double full stop</w:t>
            </w:r>
          </w:p>
        </w:tc>
        <w:tc>
          <w:tcPr>
            <w:tcW w:w="2970" w:type="dxa"/>
            <w:tcBorders>
              <w:top w:val="single" w:sz="4" w:space="0" w:color="auto"/>
              <w:left w:val="single" w:sz="4" w:space="0" w:color="auto"/>
              <w:bottom w:val="single" w:sz="4" w:space="0" w:color="auto"/>
              <w:right w:val="single" w:sz="4" w:space="0" w:color="auto"/>
            </w:tcBorders>
            <w:hideMark/>
          </w:tcPr>
          <w:p w14:paraId="0D3A7EBD" w14:textId="4E41AE03" w:rsidR="007D5209" w:rsidRPr="004153FB" w:rsidRDefault="007D5209" w:rsidP="007D5209">
            <w:pPr>
              <w:rPr>
                <w:rFonts w:ascii="Arial" w:hAnsi="Arial" w:cs="Arial"/>
                <w:sz w:val="20"/>
                <w:lang w:val="en-US"/>
              </w:rPr>
            </w:pPr>
            <w:r w:rsidRPr="004153FB">
              <w:rPr>
                <w:rFonts w:ascii="Arial" w:hAnsi="Arial" w:cs="Arial"/>
                <w:sz w:val="20"/>
                <w:lang w:val="en-US"/>
              </w:rPr>
              <w:t>Change to "An NGV STA shall not transmit an MPDU whose length is greater than that shown in Table 31-1.</w:t>
            </w:r>
            <w:r w:rsidRPr="004153FB">
              <w:rPr>
                <w:rFonts w:ascii="Arial" w:hAnsi="Arial" w:cs="Arial"/>
                <w:sz w:val="20"/>
                <w:lang w:val="en-US"/>
              </w:rPr>
              <w:br/>
              <w:t>NOTE---This corresponds to a maximum PPDU duration of 5484 &lt;micro&gt;s."</w:t>
            </w:r>
          </w:p>
        </w:tc>
        <w:tc>
          <w:tcPr>
            <w:tcW w:w="3780" w:type="dxa"/>
            <w:tcBorders>
              <w:top w:val="single" w:sz="4" w:space="0" w:color="auto"/>
              <w:left w:val="single" w:sz="4" w:space="0" w:color="auto"/>
              <w:bottom w:val="single" w:sz="4" w:space="0" w:color="auto"/>
              <w:right w:val="single" w:sz="4" w:space="0" w:color="auto"/>
            </w:tcBorders>
          </w:tcPr>
          <w:p w14:paraId="181CBF2D" w14:textId="29F2CF06"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D135AF" w:rsidRPr="004153FB" w14:paraId="2F52FEB2"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2930B2" w14:textId="77777777" w:rsidR="00D135AF" w:rsidRPr="004153FB" w:rsidRDefault="00D135AF" w:rsidP="00401FE2">
            <w:pPr>
              <w:rPr>
                <w:rFonts w:ascii="Arial" w:hAnsi="Arial" w:cs="Arial"/>
                <w:sz w:val="20"/>
                <w:lang w:val="en-US"/>
              </w:rPr>
            </w:pPr>
            <w:r w:rsidRPr="004153FB">
              <w:rPr>
                <w:rFonts w:ascii="Arial" w:hAnsi="Arial" w:cs="Arial"/>
                <w:sz w:val="20"/>
                <w:lang w:val="en-US"/>
              </w:rPr>
              <w:t>1752</w:t>
            </w:r>
          </w:p>
        </w:tc>
        <w:tc>
          <w:tcPr>
            <w:tcW w:w="3479" w:type="dxa"/>
            <w:tcBorders>
              <w:top w:val="single" w:sz="4" w:space="0" w:color="auto"/>
              <w:left w:val="single" w:sz="4" w:space="0" w:color="auto"/>
              <w:bottom w:val="single" w:sz="4" w:space="0" w:color="auto"/>
              <w:right w:val="single" w:sz="4" w:space="0" w:color="auto"/>
            </w:tcBorders>
            <w:hideMark/>
          </w:tcPr>
          <w:p w14:paraId="573DF3CE" w14:textId="77777777" w:rsidR="00D135AF" w:rsidRPr="004153FB" w:rsidRDefault="00D135AF" w:rsidP="00401FE2">
            <w:pPr>
              <w:rPr>
                <w:rFonts w:ascii="Arial" w:hAnsi="Arial" w:cs="Arial"/>
                <w:sz w:val="20"/>
                <w:lang w:val="en-US"/>
              </w:rPr>
            </w:pPr>
            <w:r w:rsidRPr="004153FB">
              <w:rPr>
                <w:rFonts w:ascii="Arial" w:hAnsi="Arial" w:cs="Arial"/>
                <w:sz w:val="20"/>
                <w:lang w:val="en-US"/>
              </w:rPr>
              <w:t>TXOP limit is something that is specified in the EDCA parameters.</w:t>
            </w:r>
          </w:p>
        </w:tc>
        <w:tc>
          <w:tcPr>
            <w:tcW w:w="2970" w:type="dxa"/>
            <w:tcBorders>
              <w:top w:val="single" w:sz="4" w:space="0" w:color="auto"/>
              <w:left w:val="single" w:sz="4" w:space="0" w:color="auto"/>
              <w:bottom w:val="single" w:sz="4" w:space="0" w:color="auto"/>
              <w:right w:val="single" w:sz="4" w:space="0" w:color="auto"/>
            </w:tcBorders>
            <w:hideMark/>
          </w:tcPr>
          <w:p w14:paraId="7EBF0930" w14:textId="77777777" w:rsidR="00D135AF" w:rsidRPr="004153FB" w:rsidRDefault="00D135AF" w:rsidP="00401FE2">
            <w:pPr>
              <w:rPr>
                <w:rFonts w:ascii="Arial" w:hAnsi="Arial" w:cs="Arial"/>
                <w:sz w:val="20"/>
                <w:lang w:val="en-US"/>
              </w:rPr>
            </w:pPr>
            <w:r w:rsidRPr="004153FB">
              <w:rPr>
                <w:rFonts w:ascii="Arial" w:hAnsi="Arial" w:cs="Arial"/>
                <w:sz w:val="20"/>
                <w:lang w:val="en-US"/>
              </w:rPr>
              <w:t>Change "An NGV STA shall not exceed the maximum TXOP limit of 5484us." to "An NGV STA shall not transmit PPDUs that exceed the maximum PPDU duration of 5484us."</w:t>
            </w:r>
            <w:r w:rsidRPr="004153FB">
              <w:rPr>
                <w:rFonts w:ascii="Arial" w:hAnsi="Arial" w:cs="Arial"/>
                <w:sz w:val="20"/>
                <w:lang w:val="en-US"/>
              </w:rPr>
              <w:br/>
              <w:t>Change "The number of octets that fit in a TXOP limit is shown in Table 31-1 (Maximum NGV MPDU length)." to "The number of octets that fit in the maximum PPDU duration is shown in Table 31-1 (Maximum NGV MPDU size)."</w:t>
            </w:r>
            <w:r w:rsidRPr="004153FB">
              <w:rPr>
                <w:rFonts w:ascii="Arial" w:hAnsi="Arial" w:cs="Arial"/>
                <w:sz w:val="20"/>
                <w:lang w:val="en-US"/>
              </w:rPr>
              <w:br/>
              <w:t>Change "a TXOP limit" to "the maximum TXOP duration" in line 2.</w:t>
            </w:r>
            <w:r w:rsidRPr="004153FB">
              <w:rPr>
                <w:rFonts w:ascii="Arial" w:hAnsi="Arial" w:cs="Arial"/>
                <w:sz w:val="20"/>
                <w:lang w:val="en-US"/>
              </w:rPr>
              <w:br/>
              <w:t>Change the title of Table 31-1 from "Maximum NGV MPDU length" to "Maximum NGV MPDU size".</w:t>
            </w:r>
          </w:p>
        </w:tc>
        <w:tc>
          <w:tcPr>
            <w:tcW w:w="3780" w:type="dxa"/>
            <w:tcBorders>
              <w:top w:val="single" w:sz="4" w:space="0" w:color="auto"/>
              <w:left w:val="single" w:sz="4" w:space="0" w:color="auto"/>
              <w:bottom w:val="single" w:sz="4" w:space="0" w:color="auto"/>
              <w:right w:val="single" w:sz="4" w:space="0" w:color="auto"/>
            </w:tcBorders>
          </w:tcPr>
          <w:p w14:paraId="01D07119" w14:textId="77777777" w:rsidR="00D135AF" w:rsidRPr="00F11EA5" w:rsidRDefault="00D135AF" w:rsidP="00401FE2">
            <w:pPr>
              <w:rPr>
                <w:rFonts w:ascii="Arial" w:hAnsi="Arial" w:cs="Arial"/>
                <w:sz w:val="20"/>
                <w:lang w:val="en-US"/>
              </w:rPr>
            </w:pPr>
            <w:r w:rsidRPr="00F11EA5">
              <w:rPr>
                <w:rFonts w:ascii="Arial" w:hAnsi="Arial" w:cs="Arial"/>
                <w:sz w:val="20"/>
                <w:lang w:val="en-US"/>
              </w:rPr>
              <w:t>Revised</w:t>
            </w:r>
          </w:p>
          <w:p w14:paraId="348F8CE5" w14:textId="77777777" w:rsidR="00D135AF" w:rsidRPr="00F11EA5" w:rsidRDefault="00D135AF" w:rsidP="00401FE2">
            <w:pPr>
              <w:rPr>
                <w:rFonts w:ascii="Arial" w:hAnsi="Arial" w:cs="Arial"/>
                <w:sz w:val="20"/>
                <w:lang w:val="en-US"/>
              </w:rPr>
            </w:pPr>
            <w:r w:rsidRPr="00F11EA5">
              <w:rPr>
                <w:rFonts w:ascii="Arial" w:hAnsi="Arial" w:cs="Arial"/>
                <w:sz w:val="20"/>
                <w:lang w:val="en-US"/>
              </w:rPr>
              <w:t>Agree in principle.</w:t>
            </w:r>
          </w:p>
          <w:p w14:paraId="021D0B9C" w14:textId="77777777" w:rsidR="00D135AF" w:rsidRPr="004153FB" w:rsidRDefault="00D135AF" w:rsidP="00401FE2">
            <w:pPr>
              <w:rPr>
                <w:rFonts w:ascii="Arial" w:hAnsi="Arial" w:cs="Arial"/>
                <w:sz w:val="20"/>
                <w:lang w:val="en-US"/>
              </w:rPr>
            </w:pPr>
            <w:r w:rsidRPr="00F11EA5">
              <w:rPr>
                <w:rFonts w:ascii="Arial" w:hAnsi="Arial" w:cs="Arial"/>
                <w:sz w:val="20"/>
                <w:lang w:val="en-US"/>
              </w:rPr>
              <w:t xml:space="preserve">Make the changes provided, except for: Change “a TXOP limit” to “the maximum TXOP duration” as all the other TXOP references have been removed.  Change “The number of octets that fit in a TXOP limit” to “The maximum number of octets that may be in a NGV MPDU”  </w:t>
            </w:r>
          </w:p>
        </w:tc>
      </w:tr>
      <w:tr w:rsidR="007D5209" w:rsidRPr="004153FB" w14:paraId="1FF1D6B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7EAE1C44" w14:textId="77777777" w:rsidR="007D5209" w:rsidRPr="004153FB" w:rsidRDefault="007D5209" w:rsidP="007D5209">
            <w:pPr>
              <w:rPr>
                <w:rFonts w:ascii="Arial" w:hAnsi="Arial" w:cs="Arial"/>
                <w:sz w:val="20"/>
                <w:lang w:val="en-US"/>
              </w:rPr>
            </w:pPr>
            <w:r w:rsidRPr="004153FB">
              <w:rPr>
                <w:rFonts w:ascii="Arial" w:hAnsi="Arial" w:cs="Arial"/>
                <w:sz w:val="20"/>
                <w:lang w:val="en-US"/>
              </w:rPr>
              <w:t>1133</w:t>
            </w:r>
          </w:p>
        </w:tc>
        <w:tc>
          <w:tcPr>
            <w:tcW w:w="3479" w:type="dxa"/>
            <w:tcBorders>
              <w:top w:val="single" w:sz="4" w:space="0" w:color="auto"/>
              <w:left w:val="single" w:sz="4" w:space="0" w:color="auto"/>
              <w:bottom w:val="single" w:sz="4" w:space="0" w:color="auto"/>
              <w:right w:val="single" w:sz="4" w:space="0" w:color="auto"/>
            </w:tcBorders>
            <w:hideMark/>
          </w:tcPr>
          <w:p w14:paraId="787F5D34" w14:textId="77777777" w:rsidR="007D5209" w:rsidRPr="004153FB" w:rsidRDefault="007D5209" w:rsidP="007D5209">
            <w:pPr>
              <w:rPr>
                <w:rFonts w:ascii="Arial" w:hAnsi="Arial" w:cs="Arial"/>
                <w:sz w:val="20"/>
                <w:lang w:val="en-US"/>
              </w:rPr>
            </w:pPr>
            <w:r w:rsidRPr="004153FB">
              <w:rPr>
                <w:rFonts w:ascii="Arial" w:hAnsi="Arial" w:cs="Arial"/>
                <w:sz w:val="20"/>
                <w:lang w:val="en-US"/>
              </w:rPr>
              <w:t>"2us"  should be "2 ╬╝s"?</w:t>
            </w:r>
          </w:p>
        </w:tc>
        <w:tc>
          <w:tcPr>
            <w:tcW w:w="2970" w:type="dxa"/>
            <w:tcBorders>
              <w:top w:val="single" w:sz="4" w:space="0" w:color="auto"/>
              <w:left w:val="single" w:sz="4" w:space="0" w:color="auto"/>
              <w:bottom w:val="single" w:sz="4" w:space="0" w:color="auto"/>
              <w:right w:val="single" w:sz="4" w:space="0" w:color="auto"/>
            </w:tcBorders>
            <w:hideMark/>
          </w:tcPr>
          <w:p w14:paraId="49278183"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"2us" to "2 ╬╝s"</w:t>
            </w:r>
          </w:p>
        </w:tc>
        <w:tc>
          <w:tcPr>
            <w:tcW w:w="3780" w:type="dxa"/>
            <w:tcBorders>
              <w:top w:val="single" w:sz="4" w:space="0" w:color="auto"/>
              <w:left w:val="single" w:sz="4" w:space="0" w:color="auto"/>
              <w:bottom w:val="single" w:sz="4" w:space="0" w:color="auto"/>
              <w:right w:val="single" w:sz="4" w:space="0" w:color="auto"/>
            </w:tcBorders>
          </w:tcPr>
          <w:p w14:paraId="2157EEB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 –</w:t>
            </w:r>
          </w:p>
          <w:p w14:paraId="456DC4A3" w14:textId="7D0B14F4" w:rsidR="007D5209" w:rsidRPr="00F11EA5" w:rsidRDefault="007D5209" w:rsidP="007D5209">
            <w:pPr>
              <w:rPr>
                <w:rFonts w:ascii="Arial" w:hAnsi="Arial" w:cs="Arial"/>
                <w:sz w:val="20"/>
                <w:lang w:val="en-US"/>
              </w:rPr>
            </w:pPr>
            <w:r w:rsidRPr="00F11EA5">
              <w:rPr>
                <w:rFonts w:ascii="Arial" w:hAnsi="Arial" w:cs="Arial"/>
                <w:sz w:val="20"/>
                <w:lang w:val="en-US"/>
              </w:rPr>
              <w:t>Accept i</w:t>
            </w:r>
            <w:r w:rsidRPr="00F11EA5">
              <w:rPr>
                <w:rFonts w:ascii="Arial" w:hAnsi="Arial" w:cs="Arial"/>
                <w:sz w:val="20"/>
                <w:lang w:val="en-US"/>
              </w:rPr>
              <w:t>n</w:t>
            </w:r>
            <w:r w:rsidRPr="00F11EA5">
              <w:rPr>
                <w:rFonts w:ascii="Arial" w:hAnsi="Arial" w:cs="Arial"/>
                <w:sz w:val="20"/>
                <w:lang w:val="en-US"/>
              </w:rPr>
              <w:t xml:space="preserve"> principl</w:t>
            </w:r>
            <w:r w:rsidRPr="00F11EA5">
              <w:rPr>
                <w:rFonts w:ascii="Arial" w:hAnsi="Arial" w:cs="Arial"/>
                <w:sz w:val="20"/>
                <w:lang w:val="en-US"/>
              </w:rPr>
              <w:t>e</w:t>
            </w:r>
            <w:r w:rsidRPr="00F11EA5">
              <w:rPr>
                <w:rFonts w:ascii="Arial" w:hAnsi="Arial" w:cs="Arial"/>
                <w:sz w:val="20"/>
                <w:lang w:val="en-US"/>
              </w:rPr>
              <w:t xml:space="preserve">, </w:t>
            </w:r>
            <w:r w:rsidRPr="00F11EA5">
              <w:rPr>
                <w:rFonts w:ascii="Arial" w:hAnsi="Arial" w:cs="Arial"/>
                <w:sz w:val="20"/>
                <w:lang w:val="en-US"/>
              </w:rPr>
              <w:t>the</w:t>
            </w:r>
            <w:r w:rsidRPr="00F11EA5">
              <w:rPr>
                <w:rFonts w:ascii="Arial" w:hAnsi="Arial" w:cs="Arial"/>
                <w:sz w:val="20"/>
                <w:lang w:val="en-US"/>
              </w:rPr>
              <w:t xml:space="preserve"> correct character was not provided in the comment due to comment tool limitations. </w:t>
            </w:r>
          </w:p>
          <w:p w14:paraId="0BA04E8B" w14:textId="1F1D791C" w:rsidR="007D5209" w:rsidRPr="004153FB" w:rsidRDefault="007D5209" w:rsidP="007D5209">
            <w:pPr>
              <w:rPr>
                <w:rFonts w:ascii="Arial" w:hAnsi="Arial" w:cs="Arial"/>
                <w:sz w:val="20"/>
                <w:lang w:val="en-US"/>
              </w:rPr>
            </w:pPr>
            <w:r w:rsidRPr="00F11EA5">
              <w:rPr>
                <w:rFonts w:ascii="Arial" w:hAnsi="Arial" w:cs="Arial"/>
                <w:sz w:val="20"/>
                <w:lang w:val="en-US"/>
              </w:rPr>
              <w:t>Replace 2us with 2µs</w:t>
            </w:r>
          </w:p>
        </w:tc>
      </w:tr>
      <w:tr w:rsidR="004C13CA" w:rsidRPr="004153FB" w14:paraId="2B5222C9"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3865F6A7" w14:textId="77777777" w:rsidR="004C13CA" w:rsidRPr="004153FB" w:rsidRDefault="004C13CA" w:rsidP="00401261">
            <w:pPr>
              <w:rPr>
                <w:rFonts w:ascii="Arial" w:hAnsi="Arial" w:cs="Arial"/>
                <w:sz w:val="20"/>
                <w:lang w:val="en-US"/>
              </w:rPr>
            </w:pPr>
            <w:r w:rsidRPr="004153FB">
              <w:rPr>
                <w:rFonts w:ascii="Arial" w:hAnsi="Arial" w:cs="Arial"/>
                <w:sz w:val="20"/>
                <w:lang w:val="en-US"/>
              </w:rPr>
              <w:lastRenderedPageBreak/>
              <w:t>1429</w:t>
            </w:r>
          </w:p>
        </w:tc>
        <w:tc>
          <w:tcPr>
            <w:tcW w:w="3479" w:type="dxa"/>
            <w:tcBorders>
              <w:top w:val="single" w:sz="4" w:space="0" w:color="auto"/>
              <w:left w:val="single" w:sz="4" w:space="0" w:color="auto"/>
              <w:bottom w:val="single" w:sz="4" w:space="0" w:color="auto"/>
              <w:right w:val="single" w:sz="4" w:space="0" w:color="auto"/>
            </w:tcBorders>
            <w:hideMark/>
          </w:tcPr>
          <w:p w14:paraId="3AB43A29" w14:textId="77777777" w:rsidR="004C13CA" w:rsidRPr="004153FB" w:rsidRDefault="004C13CA" w:rsidP="00401261">
            <w:pPr>
              <w:rPr>
                <w:rFonts w:ascii="Arial" w:hAnsi="Arial" w:cs="Arial"/>
                <w:sz w:val="20"/>
                <w:lang w:val="en-US"/>
              </w:rPr>
            </w:pPr>
            <w:r w:rsidRPr="004153FB">
              <w:rPr>
                <w:rFonts w:ascii="Arial" w:hAnsi="Arial" w:cs="Arial"/>
                <w:sz w:val="20"/>
                <w:lang w:val="en-US"/>
              </w:rPr>
              <w:t>"An NGV STA shall support 2us minimum time between the start of adjacent MPDUs within an A-MPDU</w:t>
            </w:r>
            <w:r w:rsidRPr="004153FB">
              <w:rPr>
                <w:rFonts w:ascii="Arial" w:hAnsi="Arial" w:cs="Arial"/>
                <w:sz w:val="20"/>
                <w:lang w:val="en-US"/>
              </w:rPr>
              <w:br/>
              <w:t>that the STA can receive, measured at the PHY SAP (see Clause 10.12.13 (Minimum MPDU Start Spacing</w:t>
            </w:r>
            <w:r w:rsidRPr="004153FB">
              <w:rPr>
                <w:rFonts w:ascii="Arial" w:hAnsi="Arial" w:cs="Arial"/>
                <w:sz w:val="20"/>
                <w:lang w:val="en-US"/>
              </w:rPr>
              <w:br/>
              <w:t>field))" 1) obviously this can only apply to things the STA can receive 2) it's not clear what the relevance of the PHY SAP is here 3) wrong xref</w:t>
            </w:r>
          </w:p>
        </w:tc>
        <w:tc>
          <w:tcPr>
            <w:tcW w:w="2970" w:type="dxa"/>
            <w:tcBorders>
              <w:top w:val="single" w:sz="4" w:space="0" w:color="auto"/>
              <w:left w:val="single" w:sz="4" w:space="0" w:color="auto"/>
              <w:bottom w:val="single" w:sz="4" w:space="0" w:color="auto"/>
              <w:right w:val="single" w:sz="4" w:space="0" w:color="auto"/>
            </w:tcBorders>
            <w:hideMark/>
          </w:tcPr>
          <w:p w14:paraId="2F281A67" w14:textId="77777777" w:rsidR="004C13CA" w:rsidRPr="004153FB" w:rsidRDefault="004C13CA" w:rsidP="00401261">
            <w:pPr>
              <w:rPr>
                <w:rFonts w:ascii="Arial" w:hAnsi="Arial" w:cs="Arial"/>
                <w:sz w:val="20"/>
                <w:lang w:val="en-US"/>
              </w:rPr>
            </w:pPr>
            <w:r w:rsidRPr="004153FB">
              <w:rPr>
                <w:rFonts w:ascii="Arial" w:hAnsi="Arial" w:cs="Arial"/>
                <w:sz w:val="20"/>
                <w:lang w:val="en-US"/>
              </w:rPr>
              <w:t>Change to "An NGV STA shall support 2 &lt;micro&gt;s MPDU start spacing (see 10.12.3)."</w:t>
            </w:r>
          </w:p>
        </w:tc>
        <w:tc>
          <w:tcPr>
            <w:tcW w:w="3780" w:type="dxa"/>
            <w:tcBorders>
              <w:top w:val="single" w:sz="4" w:space="0" w:color="auto"/>
              <w:left w:val="single" w:sz="4" w:space="0" w:color="auto"/>
              <w:bottom w:val="single" w:sz="4" w:space="0" w:color="auto"/>
              <w:right w:val="single" w:sz="4" w:space="0" w:color="auto"/>
            </w:tcBorders>
          </w:tcPr>
          <w:p w14:paraId="30899D49" w14:textId="77777777" w:rsidR="004C13CA" w:rsidRPr="00F11EA5" w:rsidRDefault="004C13CA" w:rsidP="00401261">
            <w:pPr>
              <w:rPr>
                <w:rFonts w:ascii="Arial" w:hAnsi="Arial" w:cs="Arial"/>
                <w:sz w:val="20"/>
                <w:lang w:val="en-US"/>
              </w:rPr>
            </w:pPr>
            <w:r w:rsidRPr="00F11EA5">
              <w:rPr>
                <w:rFonts w:ascii="Arial" w:hAnsi="Arial" w:cs="Arial"/>
                <w:sz w:val="20"/>
                <w:lang w:val="en-US"/>
              </w:rPr>
              <w:t>Reject</w:t>
            </w:r>
          </w:p>
          <w:p w14:paraId="2A63D861" w14:textId="18F9A404" w:rsidR="004C13CA" w:rsidRPr="00F11EA5" w:rsidRDefault="004C13CA" w:rsidP="00401261">
            <w:pPr>
              <w:rPr>
                <w:rFonts w:ascii="Arial" w:hAnsi="Arial" w:cs="Arial"/>
                <w:sz w:val="20"/>
                <w:lang w:val="en-US"/>
              </w:rPr>
            </w:pPr>
            <w:r w:rsidRPr="00F11EA5">
              <w:rPr>
                <w:rFonts w:ascii="Arial" w:hAnsi="Arial" w:cs="Arial"/>
                <w:sz w:val="20"/>
                <w:lang w:val="en-US"/>
              </w:rPr>
              <w:t xml:space="preserve">The minimum MPDU Start Spacing field is set by the intended receiver.  There is no intended receiver in NGV operation.  While this capability can be used and set to a </w:t>
            </w:r>
            <w:r w:rsidR="00F87754" w:rsidRPr="00F11EA5">
              <w:rPr>
                <w:rFonts w:ascii="Arial" w:hAnsi="Arial" w:cs="Arial"/>
                <w:sz w:val="20"/>
                <w:lang w:val="en-US"/>
              </w:rPr>
              <w:t>fixed value</w:t>
            </w:r>
            <w:r w:rsidRPr="00F11EA5">
              <w:rPr>
                <w:rFonts w:ascii="Arial" w:hAnsi="Arial" w:cs="Arial"/>
                <w:sz w:val="20"/>
                <w:lang w:val="en-US"/>
              </w:rPr>
              <w:t xml:space="preserve"> of 2µs, it is clearer to just specify the minimum time between MPDUs. </w:t>
            </w:r>
          </w:p>
          <w:p w14:paraId="5370D96E" w14:textId="77777777" w:rsidR="004C13CA" w:rsidRPr="004153FB" w:rsidRDefault="004C13CA" w:rsidP="00401261">
            <w:pPr>
              <w:rPr>
                <w:rFonts w:ascii="Arial" w:hAnsi="Arial" w:cs="Arial"/>
                <w:sz w:val="20"/>
                <w:lang w:val="en-US"/>
              </w:rPr>
            </w:pPr>
            <w:r w:rsidRPr="00F11EA5">
              <w:rPr>
                <w:rFonts w:ascii="Arial" w:hAnsi="Arial" w:cs="Arial"/>
                <w:sz w:val="20"/>
                <w:lang w:val="en-US"/>
              </w:rPr>
              <w:t xml:space="preserve"> </w:t>
            </w:r>
          </w:p>
        </w:tc>
      </w:tr>
      <w:tr w:rsidR="007D5209" w:rsidRPr="004153FB" w14:paraId="38C7F69A"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BC697AD" w14:textId="77777777" w:rsidR="007D5209" w:rsidRPr="004153FB" w:rsidRDefault="007D5209" w:rsidP="007D5209">
            <w:pPr>
              <w:rPr>
                <w:rFonts w:ascii="Arial" w:hAnsi="Arial" w:cs="Arial"/>
                <w:sz w:val="20"/>
                <w:lang w:val="en-US"/>
              </w:rPr>
            </w:pPr>
            <w:r w:rsidRPr="004153FB">
              <w:rPr>
                <w:rFonts w:ascii="Arial" w:hAnsi="Arial" w:cs="Arial"/>
                <w:sz w:val="20"/>
                <w:lang w:val="en-US"/>
              </w:rPr>
              <w:t>1231</w:t>
            </w:r>
          </w:p>
        </w:tc>
        <w:tc>
          <w:tcPr>
            <w:tcW w:w="3479" w:type="dxa"/>
            <w:tcBorders>
              <w:top w:val="single" w:sz="4" w:space="0" w:color="auto"/>
              <w:left w:val="single" w:sz="4" w:space="0" w:color="auto"/>
              <w:bottom w:val="single" w:sz="4" w:space="0" w:color="auto"/>
              <w:right w:val="single" w:sz="4" w:space="0" w:color="auto"/>
            </w:tcBorders>
            <w:hideMark/>
          </w:tcPr>
          <w:p w14:paraId="2CB58AFC" w14:textId="77777777" w:rsidR="007D5209" w:rsidRPr="004153FB" w:rsidRDefault="007D5209" w:rsidP="007D5209">
            <w:pPr>
              <w:rPr>
                <w:rFonts w:ascii="Arial" w:hAnsi="Arial" w:cs="Arial"/>
                <w:sz w:val="20"/>
                <w:lang w:val="en-US"/>
              </w:rPr>
            </w:pPr>
            <w:r w:rsidRPr="004153FB">
              <w:rPr>
                <w:rFonts w:ascii="Arial" w:hAnsi="Arial" w:cs="Arial"/>
                <w:sz w:val="20"/>
                <w:lang w:val="en-US"/>
              </w:rPr>
              <w:t>The sentence following Table 31-1 is confusing. It states that adjacent MPDUs in an A-MDPU shall be separated by a minimum of 2 microseconds, but it includes the extraneous words "that the STA can receive".  The transmitting STA is not receiving, so those words should be deleted.</w:t>
            </w:r>
          </w:p>
        </w:tc>
        <w:tc>
          <w:tcPr>
            <w:tcW w:w="2970" w:type="dxa"/>
            <w:tcBorders>
              <w:top w:val="single" w:sz="4" w:space="0" w:color="auto"/>
              <w:left w:val="single" w:sz="4" w:space="0" w:color="auto"/>
              <w:bottom w:val="single" w:sz="4" w:space="0" w:color="auto"/>
              <w:right w:val="single" w:sz="4" w:space="0" w:color="auto"/>
            </w:tcBorders>
            <w:hideMark/>
          </w:tcPr>
          <w:p w14:paraId="4BA1B5CB" w14:textId="77777777" w:rsidR="007D5209" w:rsidRPr="004153FB" w:rsidRDefault="007D5209" w:rsidP="007D5209">
            <w:pPr>
              <w:rPr>
                <w:rFonts w:ascii="Arial" w:hAnsi="Arial" w:cs="Arial"/>
                <w:sz w:val="20"/>
                <w:lang w:val="en-US"/>
              </w:rPr>
            </w:pPr>
            <w:r w:rsidRPr="004153FB">
              <w:rPr>
                <w:rFonts w:ascii="Arial" w:hAnsi="Arial" w:cs="Arial"/>
                <w:sz w:val="20"/>
                <w:lang w:val="en-US"/>
              </w:rPr>
              <w:t>Delete "that the STA can receive" so the sentence reads "An NGV STA shall support 2us minimum time between the start of adjacent MPDUs within an A-MPDU measured at the PHY SAP ..."</w:t>
            </w:r>
          </w:p>
        </w:tc>
        <w:tc>
          <w:tcPr>
            <w:tcW w:w="3780" w:type="dxa"/>
            <w:tcBorders>
              <w:top w:val="single" w:sz="4" w:space="0" w:color="auto"/>
              <w:left w:val="single" w:sz="4" w:space="0" w:color="auto"/>
              <w:bottom w:val="single" w:sz="4" w:space="0" w:color="auto"/>
              <w:right w:val="single" w:sz="4" w:space="0" w:color="auto"/>
            </w:tcBorders>
          </w:tcPr>
          <w:p w14:paraId="6C846AFA" w14:textId="0696A94F" w:rsidR="007D5209" w:rsidRPr="00F11EA5" w:rsidRDefault="007D5209" w:rsidP="007D5209">
            <w:pPr>
              <w:rPr>
                <w:rFonts w:ascii="Arial" w:hAnsi="Arial" w:cs="Arial"/>
                <w:sz w:val="20"/>
                <w:lang w:val="en-US"/>
              </w:rPr>
            </w:pPr>
            <w:r w:rsidRPr="00F11EA5">
              <w:rPr>
                <w:rFonts w:ascii="Arial" w:hAnsi="Arial" w:cs="Arial"/>
                <w:sz w:val="20"/>
                <w:lang w:val="en-US"/>
              </w:rPr>
              <w:t xml:space="preserve">Revise – </w:t>
            </w:r>
          </w:p>
          <w:p w14:paraId="3C76C049" w14:textId="7922C4FB" w:rsidR="007D5209" w:rsidRPr="00F11EA5" w:rsidRDefault="007D5209" w:rsidP="007D5209">
            <w:pPr>
              <w:rPr>
                <w:rFonts w:ascii="Arial" w:hAnsi="Arial" w:cs="Arial"/>
                <w:sz w:val="20"/>
                <w:lang w:val="en-US"/>
              </w:rPr>
            </w:pPr>
            <w:r w:rsidRPr="00F11EA5">
              <w:rPr>
                <w:rFonts w:ascii="Arial" w:hAnsi="Arial" w:cs="Arial"/>
                <w:sz w:val="20"/>
                <w:lang w:val="en-US"/>
              </w:rPr>
              <w:t>Accept in principle.</w:t>
            </w:r>
          </w:p>
          <w:p w14:paraId="5C7899EA"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the sentence to read:</w:t>
            </w:r>
          </w:p>
          <w:p w14:paraId="15C81B31" w14:textId="60B507A4" w:rsidR="007D5209" w:rsidRPr="004153FB" w:rsidRDefault="007D5209" w:rsidP="007D5209">
            <w:pPr>
              <w:rPr>
                <w:rFonts w:ascii="Arial" w:hAnsi="Arial" w:cs="Arial"/>
                <w:sz w:val="20"/>
                <w:lang w:val="en-US"/>
              </w:rPr>
            </w:pPr>
            <w:r w:rsidRPr="00F11EA5">
              <w:rPr>
                <w:rFonts w:ascii="Arial" w:hAnsi="Arial" w:cs="Arial"/>
                <w:sz w:val="20"/>
                <w:lang w:val="en-US"/>
              </w:rPr>
              <w:t xml:space="preserve">“An NGV STA shall transmit adjacent MPDUs in an A-MPDU with a minimum of </w:t>
            </w:r>
            <w:r w:rsidRPr="00F11EA5">
              <w:rPr>
                <w:rFonts w:ascii="Arial" w:hAnsi="Arial" w:cs="Arial"/>
                <w:sz w:val="20"/>
                <w:lang w:val="en-US"/>
              </w:rPr>
              <w:t>2µs</w:t>
            </w:r>
            <w:r w:rsidRPr="00F11EA5">
              <w:rPr>
                <w:rFonts w:ascii="Arial" w:hAnsi="Arial" w:cs="Arial"/>
                <w:sz w:val="20"/>
                <w:lang w:val="en-US"/>
              </w:rPr>
              <w:t xml:space="preserve"> between MPDUs.”  </w:t>
            </w:r>
          </w:p>
        </w:tc>
      </w:tr>
      <w:tr w:rsidR="007D5209" w:rsidRPr="004153FB" w14:paraId="7CEDF75E"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6A4C3694" w14:textId="77777777" w:rsidR="007D5209" w:rsidRPr="004153FB" w:rsidRDefault="007D5209" w:rsidP="007D5209">
            <w:pPr>
              <w:rPr>
                <w:rFonts w:ascii="Arial" w:hAnsi="Arial" w:cs="Arial"/>
                <w:sz w:val="20"/>
                <w:lang w:val="en-US"/>
              </w:rPr>
            </w:pPr>
            <w:r w:rsidRPr="004153FB">
              <w:rPr>
                <w:rFonts w:ascii="Arial" w:hAnsi="Arial" w:cs="Arial"/>
                <w:sz w:val="20"/>
                <w:lang w:val="en-US"/>
              </w:rPr>
              <w:t>1282</w:t>
            </w:r>
          </w:p>
        </w:tc>
        <w:tc>
          <w:tcPr>
            <w:tcW w:w="3479" w:type="dxa"/>
            <w:tcBorders>
              <w:top w:val="single" w:sz="4" w:space="0" w:color="auto"/>
              <w:left w:val="single" w:sz="4" w:space="0" w:color="auto"/>
              <w:bottom w:val="single" w:sz="4" w:space="0" w:color="auto"/>
              <w:right w:val="single" w:sz="4" w:space="0" w:color="auto"/>
            </w:tcBorders>
            <w:hideMark/>
          </w:tcPr>
          <w:p w14:paraId="08D6B44B" w14:textId="77777777" w:rsidR="007D5209" w:rsidRPr="004153FB" w:rsidRDefault="007D5209" w:rsidP="007D5209">
            <w:pPr>
              <w:rPr>
                <w:rFonts w:ascii="Arial" w:hAnsi="Arial" w:cs="Arial"/>
                <w:sz w:val="20"/>
                <w:lang w:val="en-US"/>
              </w:rPr>
            </w:pPr>
            <w:r w:rsidRPr="004153FB">
              <w:rPr>
                <w:rFonts w:ascii="Arial" w:hAnsi="Arial" w:cs="Arial"/>
                <w:sz w:val="20"/>
                <w:lang w:val="en-US"/>
              </w:rPr>
              <w:t>the concept of a fixed Block ACK policy seems to be unique to NGV, hence there is no need to give it a name.  All that is required is that the NGV STA behavior be specified.</w:t>
            </w:r>
          </w:p>
        </w:tc>
        <w:tc>
          <w:tcPr>
            <w:tcW w:w="2970" w:type="dxa"/>
            <w:tcBorders>
              <w:top w:val="single" w:sz="4" w:space="0" w:color="auto"/>
              <w:left w:val="single" w:sz="4" w:space="0" w:color="auto"/>
              <w:bottom w:val="single" w:sz="4" w:space="0" w:color="auto"/>
              <w:right w:val="single" w:sz="4" w:space="0" w:color="auto"/>
            </w:tcBorders>
            <w:hideMark/>
          </w:tcPr>
          <w:p w14:paraId="2FCF63A2"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"An NGV STA shall support a fixed Block ACK policy. The Block ACK policy is not setup, modified or torn down. The Block ACK policy does not timeout. An NGV STA shall support the BA buffer size of 32, i.e., the number of MPDUs that can be held in its buffer. Block Acks may be sent without a Block Ack Agreement in place."</w:t>
            </w:r>
            <w:r w:rsidRPr="004153FB">
              <w:rPr>
                <w:rFonts w:ascii="Arial" w:hAnsi="Arial" w:cs="Arial"/>
                <w:sz w:val="20"/>
                <w:lang w:val="en-US"/>
              </w:rPr>
              <w:br/>
              <w:t>With:</w:t>
            </w:r>
            <w:r w:rsidRPr="004153FB">
              <w:rPr>
                <w:rFonts w:ascii="Arial" w:hAnsi="Arial" w:cs="Arial"/>
                <w:sz w:val="20"/>
                <w:lang w:val="en-US"/>
              </w:rPr>
              <w:br/>
              <w:t>"An NGV STA shall support Block ACK, the BA buffer size is set to 32. An NGV STA shall transmit a Block ACK when the BA buffer is full, after transmission the NGV STA shall clear the BA buffer."</w:t>
            </w:r>
          </w:p>
        </w:tc>
        <w:tc>
          <w:tcPr>
            <w:tcW w:w="3780" w:type="dxa"/>
            <w:tcBorders>
              <w:top w:val="single" w:sz="4" w:space="0" w:color="auto"/>
              <w:left w:val="single" w:sz="4" w:space="0" w:color="auto"/>
              <w:bottom w:val="single" w:sz="4" w:space="0" w:color="auto"/>
              <w:right w:val="single" w:sz="4" w:space="0" w:color="auto"/>
            </w:tcBorders>
          </w:tcPr>
          <w:p w14:paraId="422E1525" w14:textId="2F4D5A77" w:rsidR="007D5209" w:rsidRPr="004153FB" w:rsidRDefault="007D5209" w:rsidP="007D5209">
            <w:pPr>
              <w:rPr>
                <w:rFonts w:ascii="Arial" w:hAnsi="Arial" w:cs="Arial"/>
                <w:sz w:val="20"/>
                <w:lang w:val="en-US"/>
              </w:rPr>
            </w:pPr>
            <w:r w:rsidRPr="00F11EA5">
              <w:rPr>
                <w:rFonts w:ascii="Arial" w:hAnsi="Arial" w:cs="Arial"/>
                <w:sz w:val="20"/>
                <w:lang w:val="en-US"/>
              </w:rPr>
              <w:t>Accept</w:t>
            </w:r>
          </w:p>
        </w:tc>
      </w:tr>
      <w:tr w:rsidR="007D5209" w:rsidRPr="004153FB" w14:paraId="51765A95"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11D84810" w14:textId="77777777" w:rsidR="007D5209" w:rsidRPr="004153FB" w:rsidRDefault="007D5209" w:rsidP="007D5209">
            <w:pPr>
              <w:rPr>
                <w:rFonts w:ascii="Arial" w:hAnsi="Arial" w:cs="Arial"/>
                <w:sz w:val="20"/>
                <w:lang w:val="en-US"/>
              </w:rPr>
            </w:pPr>
            <w:r w:rsidRPr="004153FB">
              <w:rPr>
                <w:rFonts w:ascii="Arial" w:hAnsi="Arial" w:cs="Arial"/>
                <w:sz w:val="20"/>
                <w:lang w:val="en-US"/>
              </w:rPr>
              <w:t>1430</w:t>
            </w:r>
          </w:p>
        </w:tc>
        <w:tc>
          <w:tcPr>
            <w:tcW w:w="3479" w:type="dxa"/>
            <w:tcBorders>
              <w:top w:val="single" w:sz="4" w:space="0" w:color="auto"/>
              <w:left w:val="single" w:sz="4" w:space="0" w:color="auto"/>
              <w:bottom w:val="single" w:sz="4" w:space="0" w:color="auto"/>
              <w:right w:val="single" w:sz="4" w:space="0" w:color="auto"/>
            </w:tcBorders>
            <w:hideMark/>
          </w:tcPr>
          <w:p w14:paraId="31514E67" w14:textId="77777777" w:rsidR="007D5209" w:rsidRPr="004153FB" w:rsidRDefault="007D5209" w:rsidP="007D5209">
            <w:pPr>
              <w:rPr>
                <w:rFonts w:ascii="Arial" w:hAnsi="Arial" w:cs="Arial"/>
                <w:sz w:val="20"/>
                <w:lang w:val="en-US"/>
              </w:rPr>
            </w:pPr>
            <w:r w:rsidRPr="004153FB">
              <w:rPr>
                <w:rFonts w:ascii="Arial" w:hAnsi="Arial" w:cs="Arial"/>
                <w:sz w:val="20"/>
                <w:lang w:val="en-US"/>
              </w:rPr>
              <w:t>"An NGV STA shall support a fixed Block ACK policy. The Block ACK policy is not setup, modified or torn</w:t>
            </w:r>
            <w:r w:rsidRPr="004153FB">
              <w:rPr>
                <w:rFonts w:ascii="Arial" w:hAnsi="Arial" w:cs="Arial"/>
                <w:sz w:val="20"/>
                <w:lang w:val="en-US"/>
              </w:rPr>
              <w:br/>
              <w:t>down. The Block ACK policy does not timeout. An NGV STA shall support the BA buffer size of 32, i.e.,</w:t>
            </w:r>
            <w:r w:rsidRPr="004153FB">
              <w:rPr>
                <w:rFonts w:ascii="Arial" w:hAnsi="Arial" w:cs="Arial"/>
                <w:sz w:val="20"/>
                <w:lang w:val="en-US"/>
              </w:rPr>
              <w:br/>
              <w:t>the number of MPDUs that can be held in its buffer. Block Acks may be sent without a Block Ack Agree-</w:t>
            </w:r>
            <w:r w:rsidRPr="004153FB">
              <w:rPr>
                <w:rFonts w:ascii="Arial" w:hAnsi="Arial" w:cs="Arial"/>
                <w:sz w:val="20"/>
                <w:lang w:val="en-US"/>
              </w:rPr>
              <w:br/>
              <w:t>ment in place. " 1) OK, but which BA policy is it. 2) Obviously policies cannot be setup, or torn down etc. 3) No need to ad lib on what buffer size is.  4) Not clear what last sentence means.  5) Not clear about other BA params, e.g. A-MSDU permissibility</w:t>
            </w:r>
          </w:p>
        </w:tc>
        <w:tc>
          <w:tcPr>
            <w:tcW w:w="2970" w:type="dxa"/>
            <w:tcBorders>
              <w:top w:val="single" w:sz="4" w:space="0" w:color="auto"/>
              <w:left w:val="single" w:sz="4" w:space="0" w:color="auto"/>
              <w:bottom w:val="single" w:sz="4" w:space="0" w:color="auto"/>
              <w:right w:val="single" w:sz="4" w:space="0" w:color="auto"/>
            </w:tcBorders>
            <w:hideMark/>
          </w:tcPr>
          <w:p w14:paraId="17398EED" w14:textId="77777777" w:rsidR="007D5209" w:rsidRPr="004153FB" w:rsidRDefault="007D5209" w:rsidP="007D5209">
            <w:pPr>
              <w:rPr>
                <w:rFonts w:ascii="Arial" w:hAnsi="Arial" w:cs="Arial"/>
                <w:sz w:val="20"/>
                <w:lang w:val="en-US"/>
              </w:rPr>
            </w:pPr>
            <w:r w:rsidRPr="004153FB">
              <w:rPr>
                <w:rFonts w:ascii="Arial" w:hAnsi="Arial" w:cs="Arial"/>
                <w:sz w:val="20"/>
                <w:lang w:val="en-US"/>
              </w:rPr>
              <w:t>Change to "All MSDUs shall be transmitted under an implicit block ack agreement, with HT-immediate block ack policy, a buffer size of 32, no timeout, and A-MSDUs permitted."</w:t>
            </w:r>
          </w:p>
        </w:tc>
        <w:tc>
          <w:tcPr>
            <w:tcW w:w="3780" w:type="dxa"/>
            <w:tcBorders>
              <w:top w:val="single" w:sz="4" w:space="0" w:color="auto"/>
              <w:left w:val="single" w:sz="4" w:space="0" w:color="auto"/>
              <w:bottom w:val="single" w:sz="4" w:space="0" w:color="auto"/>
              <w:right w:val="single" w:sz="4" w:space="0" w:color="auto"/>
            </w:tcBorders>
          </w:tcPr>
          <w:p w14:paraId="162CD4D8" w14:textId="77777777" w:rsidR="007D5209" w:rsidRPr="00F11EA5" w:rsidRDefault="007D5209" w:rsidP="007D5209">
            <w:pPr>
              <w:rPr>
                <w:rFonts w:ascii="Arial" w:hAnsi="Arial" w:cs="Arial"/>
                <w:sz w:val="20"/>
                <w:lang w:val="en-US"/>
              </w:rPr>
            </w:pPr>
            <w:r w:rsidRPr="00F11EA5">
              <w:rPr>
                <w:rFonts w:ascii="Arial" w:hAnsi="Arial" w:cs="Arial"/>
                <w:sz w:val="20"/>
                <w:lang w:val="en-US"/>
              </w:rPr>
              <w:t>Revised</w:t>
            </w:r>
          </w:p>
          <w:p w14:paraId="50EE2587" w14:textId="77777777" w:rsidR="007D5209" w:rsidRPr="00F11EA5" w:rsidRDefault="007D5209" w:rsidP="007D5209">
            <w:pPr>
              <w:rPr>
                <w:rFonts w:ascii="Arial" w:hAnsi="Arial" w:cs="Arial"/>
                <w:sz w:val="20"/>
                <w:lang w:val="en-US"/>
              </w:rPr>
            </w:pPr>
            <w:r w:rsidRPr="00F11EA5">
              <w:rPr>
                <w:rFonts w:ascii="Arial" w:hAnsi="Arial" w:cs="Arial"/>
                <w:sz w:val="20"/>
                <w:lang w:val="en-US"/>
              </w:rPr>
              <w:t>Change to:</w:t>
            </w:r>
          </w:p>
          <w:p w14:paraId="5B229BAF" w14:textId="77777777" w:rsidR="007D5209" w:rsidRPr="00F11EA5" w:rsidRDefault="007D5209" w:rsidP="007D5209">
            <w:pPr>
              <w:rPr>
                <w:rFonts w:ascii="Arial" w:hAnsi="Arial" w:cs="Arial"/>
                <w:sz w:val="20"/>
                <w:lang w:val="en-US"/>
              </w:rPr>
            </w:pPr>
            <w:r w:rsidRPr="004153FB">
              <w:rPr>
                <w:rFonts w:ascii="Arial" w:hAnsi="Arial" w:cs="Arial"/>
                <w:sz w:val="20"/>
                <w:lang w:val="en-US"/>
              </w:rPr>
              <w:t>"An NGV STA shall support Block ACK, the BA buffer size is set to 32. An NGV STA shall transmit a Block ACK when the BA buffer is full, after transmission the NGV STA shall clear the BA buffer."</w:t>
            </w:r>
          </w:p>
          <w:p w14:paraId="59BB7B23" w14:textId="77777777" w:rsidR="007D5209" w:rsidRPr="00F11EA5" w:rsidRDefault="007D5209" w:rsidP="007D5209">
            <w:pPr>
              <w:rPr>
                <w:rFonts w:ascii="Arial" w:hAnsi="Arial" w:cs="Arial"/>
                <w:sz w:val="20"/>
                <w:lang w:val="en-US"/>
              </w:rPr>
            </w:pPr>
          </w:p>
          <w:p w14:paraId="086FE381" w14:textId="77777777" w:rsidR="007D5209" w:rsidRPr="00F11EA5" w:rsidRDefault="007D5209" w:rsidP="007D5209">
            <w:pPr>
              <w:rPr>
                <w:rFonts w:ascii="Arial" w:hAnsi="Arial" w:cs="Arial"/>
                <w:sz w:val="20"/>
                <w:lang w:val="en-US"/>
              </w:rPr>
            </w:pPr>
            <w:r w:rsidRPr="00F11EA5">
              <w:rPr>
                <w:rFonts w:ascii="Arial" w:hAnsi="Arial" w:cs="Arial"/>
                <w:sz w:val="20"/>
                <w:lang w:val="en-US"/>
              </w:rPr>
              <w:t xml:space="preserve">Note: 1282 See CID </w:t>
            </w:r>
          </w:p>
          <w:p w14:paraId="47779405" w14:textId="77777777" w:rsidR="007D5209" w:rsidRPr="004153FB" w:rsidRDefault="007D5209" w:rsidP="007D5209">
            <w:pPr>
              <w:rPr>
                <w:rFonts w:ascii="Arial" w:hAnsi="Arial" w:cs="Arial"/>
                <w:sz w:val="20"/>
                <w:lang w:val="en-US"/>
              </w:rPr>
            </w:pPr>
          </w:p>
        </w:tc>
      </w:tr>
      <w:tr w:rsidR="003C39F2" w:rsidRPr="004153FB" w14:paraId="1E7BE5AA"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E8EF43E" w14:textId="77777777" w:rsidR="003C39F2" w:rsidRPr="004153FB" w:rsidRDefault="003C39F2" w:rsidP="001637F9">
            <w:pPr>
              <w:rPr>
                <w:rFonts w:ascii="Arial" w:hAnsi="Arial" w:cs="Arial"/>
                <w:sz w:val="20"/>
                <w:lang w:val="en-US"/>
              </w:rPr>
            </w:pPr>
            <w:r w:rsidRPr="004153FB">
              <w:rPr>
                <w:rFonts w:ascii="Arial" w:hAnsi="Arial" w:cs="Arial"/>
                <w:sz w:val="20"/>
                <w:lang w:val="en-US"/>
              </w:rPr>
              <w:lastRenderedPageBreak/>
              <w:t>1498</w:t>
            </w:r>
          </w:p>
        </w:tc>
        <w:tc>
          <w:tcPr>
            <w:tcW w:w="3479" w:type="dxa"/>
            <w:tcBorders>
              <w:top w:val="single" w:sz="4" w:space="0" w:color="auto"/>
              <w:left w:val="single" w:sz="4" w:space="0" w:color="auto"/>
              <w:bottom w:val="single" w:sz="4" w:space="0" w:color="auto"/>
              <w:right w:val="single" w:sz="4" w:space="0" w:color="auto"/>
            </w:tcBorders>
            <w:hideMark/>
          </w:tcPr>
          <w:p w14:paraId="2D3CE8A8" w14:textId="77777777" w:rsidR="003C39F2" w:rsidRPr="004153FB" w:rsidRDefault="003C39F2" w:rsidP="001637F9">
            <w:pPr>
              <w:rPr>
                <w:rFonts w:ascii="Arial" w:hAnsi="Arial" w:cs="Arial"/>
                <w:sz w:val="20"/>
                <w:lang w:val="en-US"/>
              </w:rPr>
            </w:pPr>
            <w:r w:rsidRPr="004153FB">
              <w:rPr>
                <w:rFonts w:ascii="Arial" w:hAnsi="Arial" w:cs="Arial"/>
                <w:sz w:val="20"/>
                <w:lang w:val="en-US"/>
              </w:rPr>
              <w:t>If an NGV STA supports a fixed BlockACK policy, there needs to be configuration variables where it can be stored.</w:t>
            </w:r>
          </w:p>
        </w:tc>
        <w:tc>
          <w:tcPr>
            <w:tcW w:w="2970" w:type="dxa"/>
            <w:tcBorders>
              <w:top w:val="single" w:sz="4" w:space="0" w:color="auto"/>
              <w:left w:val="single" w:sz="4" w:space="0" w:color="auto"/>
              <w:bottom w:val="single" w:sz="4" w:space="0" w:color="auto"/>
              <w:right w:val="single" w:sz="4" w:space="0" w:color="auto"/>
            </w:tcBorders>
            <w:hideMark/>
          </w:tcPr>
          <w:p w14:paraId="14B651B8" w14:textId="77777777" w:rsidR="003C39F2" w:rsidRPr="004153FB" w:rsidRDefault="003C39F2" w:rsidP="001637F9">
            <w:pPr>
              <w:rPr>
                <w:rFonts w:ascii="Arial" w:hAnsi="Arial" w:cs="Arial"/>
                <w:sz w:val="20"/>
                <w:lang w:val="en-US"/>
              </w:rPr>
            </w:pPr>
            <w:r w:rsidRPr="004153FB">
              <w:rPr>
                <w:rFonts w:ascii="Arial" w:hAnsi="Arial" w:cs="Arial"/>
                <w:sz w:val="20"/>
                <w:lang w:val="en-US"/>
              </w:rPr>
              <w:t>Add MIB variables to store the BA Policy parameters.</w:t>
            </w:r>
          </w:p>
        </w:tc>
        <w:tc>
          <w:tcPr>
            <w:tcW w:w="3780" w:type="dxa"/>
            <w:tcBorders>
              <w:top w:val="single" w:sz="4" w:space="0" w:color="auto"/>
              <w:left w:val="single" w:sz="4" w:space="0" w:color="auto"/>
              <w:bottom w:val="single" w:sz="4" w:space="0" w:color="auto"/>
              <w:right w:val="single" w:sz="4" w:space="0" w:color="auto"/>
            </w:tcBorders>
          </w:tcPr>
          <w:p w14:paraId="3169CDC5" w14:textId="77777777" w:rsidR="003C39F2" w:rsidRPr="00F11EA5" w:rsidRDefault="003C39F2" w:rsidP="001637F9">
            <w:pPr>
              <w:rPr>
                <w:rFonts w:ascii="Arial" w:hAnsi="Arial" w:cs="Arial"/>
                <w:sz w:val="20"/>
                <w:lang w:val="en-US"/>
              </w:rPr>
            </w:pPr>
            <w:r w:rsidRPr="00F11EA5">
              <w:rPr>
                <w:rFonts w:ascii="Arial" w:hAnsi="Arial" w:cs="Arial"/>
                <w:sz w:val="20"/>
                <w:lang w:val="en-US"/>
              </w:rPr>
              <w:t>Reject</w:t>
            </w:r>
          </w:p>
          <w:p w14:paraId="4307D4CF" w14:textId="50B3D127" w:rsidR="003C39F2" w:rsidRPr="004153FB" w:rsidRDefault="003C39F2" w:rsidP="001637F9">
            <w:pPr>
              <w:rPr>
                <w:rFonts w:ascii="Arial" w:hAnsi="Arial" w:cs="Arial"/>
                <w:sz w:val="20"/>
                <w:lang w:val="en-US"/>
              </w:rPr>
            </w:pPr>
            <w:r w:rsidRPr="00F11EA5">
              <w:rPr>
                <w:rFonts w:ascii="Arial" w:hAnsi="Arial" w:cs="Arial"/>
                <w:sz w:val="20"/>
                <w:lang w:val="en-US"/>
              </w:rPr>
              <w:t>There are no MIB variables for the NGV Block</w:t>
            </w:r>
            <w:r w:rsidR="00F87754" w:rsidRPr="00F11EA5">
              <w:rPr>
                <w:rFonts w:ascii="Arial" w:hAnsi="Arial" w:cs="Arial"/>
                <w:sz w:val="20"/>
                <w:lang w:val="en-US"/>
              </w:rPr>
              <w:t xml:space="preserve"> </w:t>
            </w:r>
            <w:r w:rsidRPr="00F11EA5">
              <w:rPr>
                <w:rFonts w:ascii="Arial" w:hAnsi="Arial" w:cs="Arial"/>
                <w:sz w:val="20"/>
                <w:lang w:val="en-US"/>
              </w:rPr>
              <w:t xml:space="preserve">ACK policy, the configuration variables are set by the specification. The BA buffer size is 32, and there is no Block ACK agreement. </w:t>
            </w:r>
          </w:p>
        </w:tc>
      </w:tr>
      <w:tr w:rsidR="0090517E" w:rsidRPr="004153FB" w14:paraId="1B12F37C"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tcPr>
          <w:p w14:paraId="5037C390" w14:textId="7BADED4B" w:rsidR="0090517E" w:rsidRPr="004153FB" w:rsidRDefault="0090517E" w:rsidP="0090517E">
            <w:pPr>
              <w:rPr>
                <w:rFonts w:ascii="Arial" w:hAnsi="Arial" w:cs="Arial"/>
                <w:sz w:val="20"/>
                <w:lang w:val="en-US"/>
              </w:rPr>
            </w:pPr>
            <w:r w:rsidRPr="00F11EA5">
              <w:rPr>
                <w:rFonts w:ascii="Arial" w:hAnsi="Arial" w:cs="Arial"/>
                <w:sz w:val="20"/>
                <w:lang w:val="en-US"/>
              </w:rPr>
              <w:t>1040</w:t>
            </w:r>
          </w:p>
        </w:tc>
        <w:tc>
          <w:tcPr>
            <w:tcW w:w="3479" w:type="dxa"/>
            <w:tcBorders>
              <w:top w:val="single" w:sz="4" w:space="0" w:color="auto"/>
              <w:left w:val="nil"/>
              <w:bottom w:val="single" w:sz="4" w:space="0" w:color="auto"/>
              <w:right w:val="single" w:sz="4" w:space="0" w:color="auto"/>
            </w:tcBorders>
            <w:shd w:val="clear" w:color="auto" w:fill="auto"/>
          </w:tcPr>
          <w:p w14:paraId="0656533E" w14:textId="5306AF7B" w:rsidR="0090517E" w:rsidRPr="004153FB" w:rsidRDefault="0090517E" w:rsidP="0090517E">
            <w:pPr>
              <w:rPr>
                <w:rFonts w:ascii="Arial" w:hAnsi="Arial" w:cs="Arial"/>
                <w:sz w:val="20"/>
                <w:lang w:val="en-US"/>
              </w:rPr>
            </w:pPr>
            <w:r w:rsidRPr="00F11EA5">
              <w:rPr>
                <w:rFonts w:ascii="Arial" w:hAnsi="Arial" w:cs="Arial"/>
                <w:sz w:val="20"/>
                <w:lang w:val="en-US"/>
              </w:rPr>
              <w:t>In other places of the standard phrases like "buffer size of &lt;NUMBER&gt;" seem to be accompanied by units (octets? Bits? Etc)</w:t>
            </w:r>
          </w:p>
        </w:tc>
        <w:tc>
          <w:tcPr>
            <w:tcW w:w="2970" w:type="dxa"/>
            <w:tcBorders>
              <w:top w:val="single" w:sz="4" w:space="0" w:color="auto"/>
              <w:left w:val="single" w:sz="4" w:space="0" w:color="auto"/>
              <w:bottom w:val="single" w:sz="4" w:space="0" w:color="auto"/>
              <w:right w:val="nil"/>
            </w:tcBorders>
            <w:shd w:val="clear" w:color="auto" w:fill="auto"/>
          </w:tcPr>
          <w:p w14:paraId="38C42287" w14:textId="4286DA49" w:rsidR="0090517E" w:rsidRPr="004153FB" w:rsidRDefault="0090517E" w:rsidP="0090517E">
            <w:pPr>
              <w:rPr>
                <w:rFonts w:ascii="Arial" w:hAnsi="Arial" w:cs="Arial"/>
                <w:sz w:val="20"/>
                <w:lang w:val="en-US"/>
              </w:rPr>
            </w:pPr>
            <w:r w:rsidRPr="00F11EA5">
              <w:rPr>
                <w:rFonts w:ascii="Arial" w:hAnsi="Arial" w:cs="Arial"/>
                <w:sz w:val="20"/>
                <w:lang w:val="en-US"/>
              </w:rPr>
              <w:t>Add unit</w:t>
            </w:r>
          </w:p>
        </w:tc>
        <w:tc>
          <w:tcPr>
            <w:tcW w:w="3780" w:type="dxa"/>
            <w:tcBorders>
              <w:top w:val="single" w:sz="4" w:space="0" w:color="auto"/>
              <w:left w:val="single" w:sz="4" w:space="0" w:color="auto"/>
              <w:bottom w:val="single" w:sz="4" w:space="0" w:color="auto"/>
              <w:right w:val="single" w:sz="4" w:space="0" w:color="auto"/>
            </w:tcBorders>
          </w:tcPr>
          <w:p w14:paraId="3A992768" w14:textId="68938D7D" w:rsidR="0090517E" w:rsidRPr="00F11EA5" w:rsidRDefault="00A012F3" w:rsidP="0090517E">
            <w:pPr>
              <w:rPr>
                <w:rFonts w:ascii="Arial" w:hAnsi="Arial" w:cs="Arial"/>
                <w:sz w:val="20"/>
                <w:lang w:val="en-US"/>
              </w:rPr>
            </w:pPr>
            <w:r w:rsidRPr="00F11EA5">
              <w:rPr>
                <w:rFonts w:ascii="Arial" w:hAnsi="Arial" w:cs="Arial"/>
                <w:sz w:val="20"/>
                <w:lang w:val="en-US"/>
              </w:rPr>
              <w:t>Revised</w:t>
            </w:r>
          </w:p>
          <w:p w14:paraId="7FA7D823" w14:textId="6BE192F1" w:rsidR="00644C61" w:rsidRPr="00F11EA5" w:rsidRDefault="00644C61" w:rsidP="0090517E">
            <w:pPr>
              <w:rPr>
                <w:rFonts w:ascii="Arial" w:hAnsi="Arial" w:cs="Arial"/>
                <w:sz w:val="20"/>
                <w:lang w:val="en-US"/>
              </w:rPr>
            </w:pPr>
            <w:r w:rsidRPr="00F11EA5">
              <w:rPr>
                <w:rFonts w:ascii="Arial" w:hAnsi="Arial" w:cs="Arial"/>
                <w:sz w:val="20"/>
                <w:lang w:val="en-US"/>
              </w:rPr>
              <w:t>The unit</w:t>
            </w:r>
            <w:r w:rsidR="001B212B" w:rsidRPr="00F11EA5">
              <w:rPr>
                <w:rFonts w:ascii="Arial" w:hAnsi="Arial" w:cs="Arial"/>
                <w:sz w:val="20"/>
                <w:lang w:val="en-US"/>
              </w:rPr>
              <w:t>s are MPDUs, the requirement is reworked so “unit” is clear.</w:t>
            </w:r>
          </w:p>
          <w:p w14:paraId="6BDB77D1" w14:textId="77777777" w:rsidR="00B90D07" w:rsidRPr="00F11EA5" w:rsidRDefault="00A0010E" w:rsidP="00B90D07">
            <w:pPr>
              <w:autoSpaceDE w:val="0"/>
              <w:autoSpaceDN w:val="0"/>
              <w:adjustRightInd w:val="0"/>
              <w:rPr>
                <w:rFonts w:ascii="Arial" w:hAnsi="Arial" w:cs="Arial"/>
                <w:sz w:val="20"/>
                <w:lang w:val="en-US"/>
              </w:rPr>
            </w:pPr>
            <w:r w:rsidRPr="00F11EA5">
              <w:rPr>
                <w:rFonts w:ascii="Arial" w:hAnsi="Arial" w:cs="Arial"/>
                <w:sz w:val="20"/>
                <w:lang w:val="en-US"/>
              </w:rPr>
              <w:t xml:space="preserve">Replace: </w:t>
            </w:r>
            <w:r w:rsidR="00440370" w:rsidRPr="00F11EA5">
              <w:rPr>
                <w:rFonts w:ascii="Arial" w:hAnsi="Arial" w:cs="Arial"/>
                <w:sz w:val="20"/>
                <w:lang w:val="en-US"/>
              </w:rPr>
              <w:t>“</w:t>
            </w:r>
            <w:r w:rsidR="00440370" w:rsidRPr="00F11EA5">
              <w:rPr>
                <w:rFonts w:ascii="Arial" w:hAnsi="Arial" w:cs="Arial"/>
                <w:sz w:val="20"/>
                <w:lang w:val="en-US"/>
              </w:rPr>
              <w:t xml:space="preserve">An NGV STA shall support the BA buffer size of </w:t>
            </w:r>
            <w:r w:rsidR="00B90D07" w:rsidRPr="00F11EA5">
              <w:rPr>
                <w:rFonts w:ascii="Arial" w:hAnsi="Arial" w:cs="Arial"/>
                <w:sz w:val="20"/>
                <w:lang w:val="en-US"/>
              </w:rPr>
              <w:t>32, i.e.,</w:t>
            </w:r>
          </w:p>
          <w:p w14:paraId="6D867C46" w14:textId="5D9071C7" w:rsidR="00A012F3" w:rsidRPr="00F11EA5" w:rsidRDefault="00B90D07" w:rsidP="00B90D07">
            <w:pPr>
              <w:rPr>
                <w:rFonts w:ascii="Arial" w:hAnsi="Arial" w:cs="Arial"/>
                <w:sz w:val="20"/>
                <w:lang w:val="en-US"/>
              </w:rPr>
            </w:pPr>
            <w:r w:rsidRPr="00F11EA5">
              <w:rPr>
                <w:rFonts w:ascii="Arial" w:hAnsi="Arial" w:cs="Arial"/>
                <w:sz w:val="20"/>
                <w:lang w:val="en-US"/>
              </w:rPr>
              <w:t>the number of MPDUs that can be held in its buffer.</w:t>
            </w:r>
            <w:r w:rsidR="00440370" w:rsidRPr="00F11EA5">
              <w:rPr>
                <w:rFonts w:ascii="Arial" w:hAnsi="Arial" w:cs="Arial"/>
                <w:sz w:val="20"/>
                <w:lang w:val="en-US"/>
              </w:rPr>
              <w:t>”</w:t>
            </w:r>
          </w:p>
          <w:p w14:paraId="67CDC81E" w14:textId="77777777" w:rsidR="00784E09" w:rsidRPr="00F11EA5" w:rsidRDefault="00784E09" w:rsidP="0090517E">
            <w:pPr>
              <w:rPr>
                <w:rFonts w:ascii="Arial" w:hAnsi="Arial" w:cs="Arial"/>
                <w:sz w:val="20"/>
                <w:lang w:val="en-US"/>
              </w:rPr>
            </w:pPr>
            <w:r w:rsidRPr="00F11EA5">
              <w:rPr>
                <w:rFonts w:ascii="Arial" w:hAnsi="Arial" w:cs="Arial"/>
                <w:sz w:val="20"/>
                <w:lang w:val="en-US"/>
              </w:rPr>
              <w:t>With: “</w:t>
            </w:r>
            <w:r w:rsidRPr="00F11EA5">
              <w:rPr>
                <w:rFonts w:ascii="Arial" w:hAnsi="Arial" w:cs="Arial"/>
                <w:sz w:val="20"/>
                <w:lang w:val="en-US"/>
              </w:rPr>
              <w:t xml:space="preserve">An NGV STA shall </w:t>
            </w:r>
            <w:r w:rsidR="001E2D26" w:rsidRPr="00F11EA5">
              <w:rPr>
                <w:rFonts w:ascii="Arial" w:hAnsi="Arial" w:cs="Arial"/>
                <w:sz w:val="20"/>
                <w:lang w:val="en-US"/>
              </w:rPr>
              <w:t>have</w:t>
            </w:r>
            <w:r w:rsidRPr="00F11EA5">
              <w:rPr>
                <w:rFonts w:ascii="Arial" w:hAnsi="Arial" w:cs="Arial"/>
                <w:sz w:val="20"/>
                <w:lang w:val="en-US"/>
              </w:rPr>
              <w:t xml:space="preserve"> </w:t>
            </w:r>
            <w:r w:rsidR="001B4BC9" w:rsidRPr="00F11EA5">
              <w:rPr>
                <w:rFonts w:ascii="Arial" w:hAnsi="Arial" w:cs="Arial"/>
                <w:sz w:val="20"/>
                <w:lang w:val="en-US"/>
              </w:rPr>
              <w:t>a</w:t>
            </w:r>
            <w:r w:rsidRPr="00F11EA5">
              <w:rPr>
                <w:rFonts w:ascii="Arial" w:hAnsi="Arial" w:cs="Arial"/>
                <w:sz w:val="20"/>
                <w:lang w:val="en-US"/>
              </w:rPr>
              <w:t xml:space="preserve"> BA buffer </w:t>
            </w:r>
            <w:r w:rsidR="001B4BC9" w:rsidRPr="00F11EA5">
              <w:rPr>
                <w:rFonts w:ascii="Arial" w:hAnsi="Arial" w:cs="Arial"/>
                <w:sz w:val="20"/>
                <w:lang w:val="en-US"/>
              </w:rPr>
              <w:t xml:space="preserve">large enough to </w:t>
            </w:r>
            <w:r w:rsidR="0038305B" w:rsidRPr="00F11EA5">
              <w:rPr>
                <w:rFonts w:ascii="Arial" w:hAnsi="Arial" w:cs="Arial"/>
                <w:sz w:val="20"/>
                <w:lang w:val="en-US"/>
              </w:rPr>
              <w:t xml:space="preserve">hold </w:t>
            </w:r>
            <w:r w:rsidRPr="00F11EA5">
              <w:rPr>
                <w:rFonts w:ascii="Arial" w:hAnsi="Arial" w:cs="Arial"/>
                <w:sz w:val="20"/>
                <w:lang w:val="en-US"/>
              </w:rPr>
              <w:t>32</w:t>
            </w:r>
            <w:r w:rsidR="0038305B" w:rsidRPr="00F11EA5">
              <w:rPr>
                <w:rFonts w:ascii="Arial" w:hAnsi="Arial" w:cs="Arial"/>
                <w:sz w:val="20"/>
                <w:lang w:val="en-US"/>
              </w:rPr>
              <w:t xml:space="preserve"> MPDUs</w:t>
            </w:r>
            <w:r w:rsidR="001E2D26" w:rsidRPr="00F11EA5">
              <w:rPr>
                <w:rFonts w:ascii="Arial" w:hAnsi="Arial" w:cs="Arial"/>
                <w:sz w:val="20"/>
                <w:lang w:val="en-US"/>
              </w:rPr>
              <w:t>.”</w:t>
            </w:r>
          </w:p>
          <w:p w14:paraId="29EDF6C1" w14:textId="77777777" w:rsidR="00343CD1" w:rsidRPr="00F11EA5" w:rsidRDefault="00343CD1" w:rsidP="0090517E">
            <w:pPr>
              <w:rPr>
                <w:rFonts w:ascii="Arial" w:hAnsi="Arial" w:cs="Arial"/>
                <w:sz w:val="20"/>
                <w:lang w:val="en-US"/>
              </w:rPr>
            </w:pPr>
          </w:p>
          <w:p w14:paraId="576D66F0" w14:textId="10900F43" w:rsidR="00343CD1" w:rsidRPr="004153FB" w:rsidRDefault="00343CD1" w:rsidP="0090517E">
            <w:pPr>
              <w:rPr>
                <w:rFonts w:ascii="Arial" w:hAnsi="Arial" w:cs="Arial"/>
                <w:sz w:val="20"/>
                <w:lang w:val="en-US"/>
              </w:rPr>
            </w:pPr>
            <w:r w:rsidRPr="00F11EA5">
              <w:rPr>
                <w:rFonts w:ascii="Arial" w:hAnsi="Arial" w:cs="Arial"/>
                <w:sz w:val="20"/>
                <w:lang w:val="en-US"/>
              </w:rPr>
              <w:t>Editor</w:t>
            </w:r>
            <w:r w:rsidR="008F7F99" w:rsidRPr="00F11EA5">
              <w:rPr>
                <w:rFonts w:ascii="Arial" w:hAnsi="Arial" w:cs="Arial"/>
                <w:sz w:val="20"/>
                <w:lang w:val="en-US"/>
              </w:rPr>
              <w:t>:</w:t>
            </w:r>
            <w:r w:rsidRPr="00F11EA5">
              <w:rPr>
                <w:rFonts w:ascii="Arial" w:hAnsi="Arial" w:cs="Arial"/>
                <w:sz w:val="20"/>
                <w:lang w:val="en-US"/>
              </w:rPr>
              <w:t xml:space="preserve"> </w:t>
            </w:r>
            <w:r w:rsidR="009313DE" w:rsidRPr="00F11EA5">
              <w:rPr>
                <w:rFonts w:ascii="Arial" w:hAnsi="Arial" w:cs="Arial"/>
                <w:sz w:val="20"/>
                <w:lang w:val="en-US"/>
              </w:rPr>
              <w:t xml:space="preserve">please note units </w:t>
            </w:r>
            <w:r w:rsidR="00B26ED0" w:rsidRPr="00F11EA5">
              <w:rPr>
                <w:rFonts w:ascii="Arial" w:hAnsi="Arial" w:cs="Arial"/>
                <w:sz w:val="20"/>
                <w:lang w:val="en-US"/>
              </w:rPr>
              <w:t xml:space="preserve">are missing from </w:t>
            </w:r>
            <w:r w:rsidR="009313DE" w:rsidRPr="00F11EA5">
              <w:rPr>
                <w:rFonts w:ascii="Arial" w:hAnsi="Arial" w:cs="Arial"/>
                <w:sz w:val="20"/>
                <w:lang w:val="en-US"/>
              </w:rPr>
              <w:t>Table 31-1</w:t>
            </w:r>
            <w:r w:rsidR="005D3226" w:rsidRPr="00F11EA5">
              <w:rPr>
                <w:rFonts w:ascii="Arial" w:hAnsi="Arial" w:cs="Arial"/>
                <w:sz w:val="20"/>
                <w:lang w:val="en-US"/>
              </w:rPr>
              <w:t>, Under the</w:t>
            </w:r>
            <w:r w:rsidR="00CA19CC" w:rsidRPr="00F11EA5">
              <w:rPr>
                <w:rFonts w:ascii="Arial" w:hAnsi="Arial" w:cs="Arial"/>
                <w:sz w:val="20"/>
                <w:lang w:val="en-US"/>
              </w:rPr>
              <w:t xml:space="preserve"> 4 row</w:t>
            </w:r>
            <w:r w:rsidR="005D3226" w:rsidRPr="00F11EA5">
              <w:rPr>
                <w:rFonts w:ascii="Arial" w:hAnsi="Arial" w:cs="Arial"/>
                <w:sz w:val="20"/>
                <w:lang w:val="en-US"/>
              </w:rPr>
              <w:t xml:space="preserve"> heading</w:t>
            </w:r>
            <w:r w:rsidR="00CA19CC" w:rsidRPr="00F11EA5">
              <w:rPr>
                <w:rFonts w:ascii="Arial" w:hAnsi="Arial" w:cs="Arial"/>
                <w:sz w:val="20"/>
                <w:lang w:val="en-US"/>
              </w:rPr>
              <w:t>s</w:t>
            </w:r>
            <w:r w:rsidR="00704166" w:rsidRPr="00F11EA5">
              <w:rPr>
                <w:rFonts w:ascii="Arial" w:hAnsi="Arial" w:cs="Arial"/>
                <w:sz w:val="20"/>
                <w:lang w:val="en-US"/>
              </w:rPr>
              <w:t xml:space="preserve"> </w:t>
            </w:r>
            <w:r w:rsidR="00F65E5F" w:rsidRPr="00F11EA5">
              <w:rPr>
                <w:rFonts w:ascii="Arial" w:hAnsi="Arial" w:cs="Arial"/>
                <w:sz w:val="20"/>
                <w:lang w:val="en-US"/>
              </w:rPr>
              <w:t>(</w:t>
            </w:r>
            <w:r w:rsidR="0012460D" w:rsidRPr="00F11EA5">
              <w:rPr>
                <w:rFonts w:ascii="Arial" w:hAnsi="Arial" w:cs="Arial"/>
                <w:sz w:val="20"/>
                <w:lang w:val="en-US"/>
              </w:rPr>
              <w:t>e.g.,</w:t>
            </w:r>
            <w:r w:rsidR="00F65E5F" w:rsidRPr="00F11EA5">
              <w:rPr>
                <w:rFonts w:ascii="Arial" w:hAnsi="Arial" w:cs="Arial"/>
                <w:sz w:val="20"/>
                <w:lang w:val="en-US"/>
              </w:rPr>
              <w:t xml:space="preserve"> 1SS10 MHz) </w:t>
            </w:r>
            <w:r w:rsidR="00704166" w:rsidRPr="00F11EA5">
              <w:rPr>
                <w:rFonts w:ascii="Arial" w:hAnsi="Arial" w:cs="Arial"/>
                <w:sz w:val="20"/>
                <w:lang w:val="en-US"/>
              </w:rPr>
              <w:t xml:space="preserve">above the MPDU </w:t>
            </w:r>
            <w:r w:rsidR="00F65E5F" w:rsidRPr="00F11EA5">
              <w:rPr>
                <w:rFonts w:ascii="Arial" w:hAnsi="Arial" w:cs="Arial"/>
                <w:sz w:val="20"/>
                <w:lang w:val="en-US"/>
              </w:rPr>
              <w:t>lengths</w:t>
            </w:r>
            <w:r w:rsidR="00CA19CC" w:rsidRPr="00F11EA5">
              <w:rPr>
                <w:rFonts w:ascii="Arial" w:hAnsi="Arial" w:cs="Arial"/>
                <w:sz w:val="20"/>
                <w:lang w:val="en-US"/>
              </w:rPr>
              <w:t xml:space="preserve"> </w:t>
            </w:r>
            <w:r w:rsidR="001559BA" w:rsidRPr="00F11EA5">
              <w:rPr>
                <w:rFonts w:ascii="Arial" w:hAnsi="Arial" w:cs="Arial"/>
                <w:sz w:val="20"/>
                <w:lang w:val="en-US"/>
              </w:rPr>
              <w:t>“</w:t>
            </w:r>
            <w:r w:rsidR="005D3226" w:rsidRPr="00F11EA5">
              <w:rPr>
                <w:rFonts w:ascii="Arial" w:hAnsi="Arial" w:cs="Arial"/>
                <w:sz w:val="20"/>
                <w:lang w:val="en-US"/>
              </w:rPr>
              <w:t>(Octets)</w:t>
            </w:r>
            <w:r w:rsidR="001559BA" w:rsidRPr="00F11EA5">
              <w:rPr>
                <w:rFonts w:ascii="Arial" w:hAnsi="Arial" w:cs="Arial"/>
                <w:sz w:val="20"/>
                <w:lang w:val="en-US"/>
              </w:rPr>
              <w:t xml:space="preserve">” should be added. </w:t>
            </w:r>
            <w:r w:rsidR="005D3226" w:rsidRPr="00F11EA5">
              <w:rPr>
                <w:rFonts w:ascii="Arial" w:hAnsi="Arial" w:cs="Arial"/>
                <w:sz w:val="20"/>
                <w:lang w:val="en-US"/>
              </w:rPr>
              <w:t xml:space="preserve"> </w:t>
            </w:r>
            <w:r w:rsidR="009313DE" w:rsidRPr="00F11EA5">
              <w:rPr>
                <w:rFonts w:ascii="Arial" w:hAnsi="Arial" w:cs="Arial"/>
                <w:sz w:val="20"/>
                <w:lang w:val="en-US"/>
              </w:rPr>
              <w:t xml:space="preserve"> </w:t>
            </w:r>
          </w:p>
        </w:tc>
      </w:tr>
      <w:tr w:rsidR="00002FAB" w:rsidRPr="004153FB" w14:paraId="4166AB8B" w14:textId="77777777" w:rsidTr="0012460D">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0C87C4F" w14:textId="77777777" w:rsidR="00002FAB" w:rsidRPr="004153FB" w:rsidRDefault="00002FAB" w:rsidP="001C3883">
            <w:pPr>
              <w:rPr>
                <w:rFonts w:ascii="Arial" w:hAnsi="Arial" w:cs="Arial"/>
                <w:sz w:val="20"/>
                <w:lang w:val="en-US"/>
              </w:rPr>
            </w:pPr>
            <w:r w:rsidRPr="004153FB">
              <w:rPr>
                <w:rFonts w:ascii="Arial" w:hAnsi="Arial" w:cs="Arial"/>
                <w:sz w:val="20"/>
                <w:lang w:val="en-US"/>
              </w:rPr>
              <w:t>1626</w:t>
            </w:r>
          </w:p>
        </w:tc>
        <w:tc>
          <w:tcPr>
            <w:tcW w:w="3479" w:type="dxa"/>
            <w:tcBorders>
              <w:top w:val="single" w:sz="4" w:space="0" w:color="auto"/>
              <w:left w:val="single" w:sz="4" w:space="0" w:color="auto"/>
              <w:bottom w:val="single" w:sz="4" w:space="0" w:color="auto"/>
              <w:right w:val="single" w:sz="4" w:space="0" w:color="auto"/>
            </w:tcBorders>
            <w:hideMark/>
          </w:tcPr>
          <w:p w14:paraId="3655CCB9" w14:textId="77777777" w:rsidR="00002FAB" w:rsidRPr="004153FB" w:rsidRDefault="00002FAB" w:rsidP="001C3883">
            <w:pPr>
              <w:rPr>
                <w:rFonts w:ascii="Arial" w:hAnsi="Arial" w:cs="Arial"/>
                <w:sz w:val="20"/>
                <w:lang w:val="en-US"/>
              </w:rPr>
            </w:pPr>
            <w:r w:rsidRPr="004153FB">
              <w:rPr>
                <w:rFonts w:ascii="Arial" w:hAnsi="Arial" w:cs="Arial"/>
                <w:sz w:val="20"/>
                <w:lang w:val="en-US"/>
              </w:rPr>
              <w:t>Block Ack is written in several different ways, e.g. Line 39 "Block ACK", Line 41 "Block Ack"</w:t>
            </w:r>
          </w:p>
        </w:tc>
        <w:tc>
          <w:tcPr>
            <w:tcW w:w="2970" w:type="dxa"/>
            <w:tcBorders>
              <w:top w:val="single" w:sz="4" w:space="0" w:color="auto"/>
              <w:left w:val="single" w:sz="4" w:space="0" w:color="auto"/>
              <w:bottom w:val="single" w:sz="4" w:space="0" w:color="auto"/>
              <w:right w:val="single" w:sz="4" w:space="0" w:color="auto"/>
            </w:tcBorders>
            <w:hideMark/>
          </w:tcPr>
          <w:p w14:paraId="149BAFE0" w14:textId="77777777" w:rsidR="00002FAB" w:rsidRPr="004153FB" w:rsidRDefault="00002FAB" w:rsidP="001C3883">
            <w:pPr>
              <w:rPr>
                <w:rFonts w:ascii="Arial" w:hAnsi="Arial" w:cs="Arial"/>
                <w:sz w:val="20"/>
                <w:lang w:val="en-US"/>
              </w:rPr>
            </w:pPr>
            <w:r w:rsidRPr="004153FB">
              <w:rPr>
                <w:rFonts w:ascii="Arial" w:hAnsi="Arial" w:cs="Arial"/>
                <w:sz w:val="20"/>
                <w:lang w:val="en-US"/>
              </w:rPr>
              <w:t>To avoid different ways of writing block Ack use always acronym BA</w:t>
            </w:r>
          </w:p>
        </w:tc>
        <w:tc>
          <w:tcPr>
            <w:tcW w:w="3780" w:type="dxa"/>
            <w:tcBorders>
              <w:top w:val="single" w:sz="4" w:space="0" w:color="auto"/>
              <w:left w:val="single" w:sz="4" w:space="0" w:color="auto"/>
              <w:bottom w:val="single" w:sz="4" w:space="0" w:color="auto"/>
              <w:right w:val="single" w:sz="4" w:space="0" w:color="auto"/>
            </w:tcBorders>
          </w:tcPr>
          <w:p w14:paraId="33B6CF9C" w14:textId="77777777" w:rsidR="00002FAB" w:rsidRPr="00F11EA5" w:rsidRDefault="00002FAB" w:rsidP="001C3883">
            <w:pPr>
              <w:rPr>
                <w:rFonts w:ascii="Arial" w:hAnsi="Arial" w:cs="Arial"/>
                <w:sz w:val="20"/>
                <w:lang w:val="en-US"/>
              </w:rPr>
            </w:pPr>
            <w:r w:rsidRPr="00F11EA5">
              <w:rPr>
                <w:rFonts w:ascii="Arial" w:hAnsi="Arial" w:cs="Arial"/>
                <w:sz w:val="20"/>
                <w:lang w:val="en-US"/>
              </w:rPr>
              <w:t>Revised</w:t>
            </w:r>
          </w:p>
          <w:p w14:paraId="07476619"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Agree in principle. But since this is a stand alone NGV clause defining BA operation.  For the first use of block acknowledgement, the term should be spelled out.  </w:t>
            </w:r>
          </w:p>
          <w:p w14:paraId="59247910" w14:textId="77777777" w:rsidR="00002FAB" w:rsidRPr="00F11EA5" w:rsidRDefault="00002FAB" w:rsidP="001C3883">
            <w:pPr>
              <w:rPr>
                <w:rFonts w:ascii="TimesNewRoman" w:hAnsi="TimesNewRoman" w:cs="TimesNewRoman"/>
                <w:sz w:val="20"/>
                <w:lang w:val="en-US"/>
              </w:rPr>
            </w:pPr>
            <w:r w:rsidRPr="00F11EA5">
              <w:rPr>
                <w:rFonts w:ascii="Arial" w:hAnsi="Arial" w:cs="Arial"/>
                <w:sz w:val="20"/>
                <w:lang w:val="en-US"/>
              </w:rPr>
              <w:t>Therefore, at 39.38: ,  change: “An NGV STA shall support a fixed Block ACK policy.” to “An NGV STA shall support a fixed block acknowledgement (BA) policy.”</w:t>
            </w:r>
            <w:r w:rsidRPr="00F11EA5">
              <w:rPr>
                <w:rFonts w:ascii="TimesNewRoman" w:hAnsi="TimesNewRoman" w:cs="TimesNewRoman"/>
                <w:sz w:val="20"/>
                <w:lang w:val="en-US"/>
              </w:rPr>
              <w:t xml:space="preserve"> </w:t>
            </w:r>
          </w:p>
          <w:p w14:paraId="67454C8D" w14:textId="77777777" w:rsidR="00002FAB" w:rsidRPr="00F11EA5" w:rsidRDefault="00002FAB" w:rsidP="001C3883">
            <w:pPr>
              <w:rPr>
                <w:rFonts w:ascii="Arial" w:hAnsi="Arial" w:cs="Arial"/>
                <w:sz w:val="20"/>
                <w:lang w:val="en-US"/>
              </w:rPr>
            </w:pPr>
            <w:r w:rsidRPr="00F11EA5">
              <w:rPr>
                <w:rFonts w:ascii="Arial" w:hAnsi="Arial" w:cs="Arial"/>
                <w:sz w:val="20"/>
                <w:lang w:val="en-US"/>
              </w:rPr>
              <w:t xml:space="preserve">Change all other instances of Block ACK, block Ack, Block Acks to BA or BAs as required.  At the following locations: 39.38, 39.39, 39.41 (two locations).  </w:t>
            </w:r>
          </w:p>
          <w:p w14:paraId="6896B315" w14:textId="77777777" w:rsidR="00002FAB" w:rsidRPr="00F11EA5" w:rsidRDefault="00002FAB" w:rsidP="001C3883">
            <w:pPr>
              <w:rPr>
                <w:rFonts w:ascii="Arial" w:hAnsi="Arial" w:cs="Arial"/>
                <w:sz w:val="20"/>
                <w:lang w:val="en-US"/>
              </w:rPr>
            </w:pPr>
          </w:p>
          <w:p w14:paraId="7861221D" w14:textId="77777777" w:rsidR="00002FAB" w:rsidRPr="004153FB" w:rsidRDefault="00002FAB" w:rsidP="001C3883">
            <w:pPr>
              <w:rPr>
                <w:rFonts w:ascii="Arial" w:hAnsi="Arial" w:cs="Arial"/>
                <w:sz w:val="20"/>
                <w:lang w:val="en-US"/>
              </w:rPr>
            </w:pPr>
            <w:r w:rsidRPr="00F11EA5">
              <w:rPr>
                <w:rFonts w:ascii="Arial" w:hAnsi="Arial" w:cs="Arial"/>
                <w:sz w:val="20"/>
                <w:lang w:val="en-US"/>
              </w:rPr>
              <w:t xml:space="preserve">Note to Editor: all instances of block ACK throughout clause 31 should be replaced by BA.   </w:t>
            </w:r>
          </w:p>
        </w:tc>
      </w:tr>
      <w:tr w:rsidR="00002FAB" w:rsidRPr="004153FB" w14:paraId="279DEC5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5AF45CC1" w14:textId="77777777" w:rsidR="00002FAB" w:rsidRPr="004153FB" w:rsidRDefault="00002FAB" w:rsidP="00682A3C">
            <w:pPr>
              <w:rPr>
                <w:rFonts w:ascii="Arial" w:hAnsi="Arial" w:cs="Arial"/>
                <w:sz w:val="20"/>
                <w:lang w:val="en-US"/>
              </w:rPr>
            </w:pPr>
            <w:r w:rsidRPr="004153FB">
              <w:rPr>
                <w:rFonts w:ascii="Arial" w:hAnsi="Arial" w:cs="Arial"/>
                <w:sz w:val="20"/>
                <w:lang w:val="en-US"/>
              </w:rPr>
              <w:t>1759</w:t>
            </w:r>
          </w:p>
        </w:tc>
        <w:tc>
          <w:tcPr>
            <w:tcW w:w="3479" w:type="dxa"/>
            <w:tcBorders>
              <w:top w:val="single" w:sz="4" w:space="0" w:color="auto"/>
              <w:left w:val="single" w:sz="4" w:space="0" w:color="auto"/>
              <w:bottom w:val="single" w:sz="4" w:space="0" w:color="auto"/>
              <w:right w:val="single" w:sz="4" w:space="0" w:color="auto"/>
            </w:tcBorders>
            <w:hideMark/>
          </w:tcPr>
          <w:p w14:paraId="6B972FB4" w14:textId="77777777" w:rsidR="00002FAB" w:rsidRPr="004153FB" w:rsidRDefault="00002FAB" w:rsidP="00682A3C">
            <w:pPr>
              <w:rPr>
                <w:rFonts w:ascii="Arial" w:hAnsi="Arial" w:cs="Arial"/>
                <w:sz w:val="20"/>
                <w:lang w:val="en-US"/>
              </w:rPr>
            </w:pPr>
            <w:r w:rsidRPr="004153FB">
              <w:rPr>
                <w:rFonts w:ascii="Arial" w:hAnsi="Arial" w:cs="Arial"/>
                <w:sz w:val="20"/>
                <w:lang w:val="en-US"/>
              </w:rPr>
              <w:t>"An NGV STA shall support the BA buffer size of 32, i.e., the number of MPDUs that can be held in its buffer. Block Acks may be sent without a Block Ack Agreement in place." Is the BlockAck Bitmap length fixed? If fixed, then what will be the actual length? 32 bits or 64 bits? Can a Multi-STA BlockAck frame can be used? Or, only a Compressed format is allowed? Such conditions should be clarified to use BlockAck frames without any negotiation.</w:t>
            </w:r>
          </w:p>
        </w:tc>
        <w:tc>
          <w:tcPr>
            <w:tcW w:w="2970" w:type="dxa"/>
            <w:tcBorders>
              <w:top w:val="single" w:sz="4" w:space="0" w:color="auto"/>
              <w:left w:val="single" w:sz="4" w:space="0" w:color="auto"/>
              <w:bottom w:val="single" w:sz="4" w:space="0" w:color="auto"/>
              <w:right w:val="single" w:sz="4" w:space="0" w:color="auto"/>
            </w:tcBorders>
            <w:hideMark/>
          </w:tcPr>
          <w:p w14:paraId="220DF332" w14:textId="77777777" w:rsidR="00002FAB" w:rsidRPr="004153FB" w:rsidRDefault="00002FAB" w:rsidP="00682A3C">
            <w:pPr>
              <w:rPr>
                <w:rFonts w:ascii="Arial" w:hAnsi="Arial" w:cs="Arial"/>
                <w:sz w:val="20"/>
                <w:lang w:val="en-US"/>
              </w:rPr>
            </w:pPr>
            <w:r w:rsidRPr="004153FB">
              <w:rPr>
                <w:rFonts w:ascii="Arial" w:hAnsi="Arial" w:cs="Arial"/>
                <w:sz w:val="20"/>
                <w:lang w:val="en-US"/>
              </w:rPr>
              <w:t>As in comment.</w:t>
            </w:r>
          </w:p>
        </w:tc>
        <w:tc>
          <w:tcPr>
            <w:tcW w:w="3780" w:type="dxa"/>
            <w:tcBorders>
              <w:top w:val="single" w:sz="4" w:space="0" w:color="auto"/>
              <w:left w:val="single" w:sz="4" w:space="0" w:color="auto"/>
              <w:bottom w:val="single" w:sz="4" w:space="0" w:color="auto"/>
              <w:right w:val="single" w:sz="4" w:space="0" w:color="auto"/>
            </w:tcBorders>
          </w:tcPr>
          <w:p w14:paraId="0C3780BC" w14:textId="77777777" w:rsidR="00002FAB" w:rsidRPr="00F11EA5" w:rsidRDefault="00002FAB" w:rsidP="00682A3C">
            <w:pPr>
              <w:rPr>
                <w:rFonts w:ascii="Arial" w:hAnsi="Arial" w:cs="Arial"/>
                <w:sz w:val="20"/>
                <w:lang w:val="en-US"/>
              </w:rPr>
            </w:pPr>
            <w:r w:rsidRPr="00F11EA5">
              <w:rPr>
                <w:rFonts w:ascii="Arial" w:hAnsi="Arial" w:cs="Arial"/>
                <w:sz w:val="20"/>
                <w:lang w:val="en-US"/>
              </w:rPr>
              <w:t>Revised:</w:t>
            </w:r>
          </w:p>
          <w:p w14:paraId="48526F48"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Agree in principle. </w:t>
            </w:r>
          </w:p>
          <w:p w14:paraId="1D8405D5" w14:textId="77777777" w:rsidR="00002FAB" w:rsidRPr="00F11EA5" w:rsidRDefault="00002FAB" w:rsidP="00682A3C">
            <w:pPr>
              <w:rPr>
                <w:rFonts w:ascii="Arial" w:hAnsi="Arial" w:cs="Arial"/>
                <w:sz w:val="20"/>
                <w:lang w:val="en-US"/>
              </w:rPr>
            </w:pPr>
            <w:r w:rsidRPr="00F11EA5">
              <w:rPr>
                <w:rFonts w:ascii="Arial" w:hAnsi="Arial" w:cs="Arial"/>
                <w:sz w:val="20"/>
                <w:lang w:val="en-US"/>
              </w:rPr>
              <w:t>Add the following at the end of the last paragraph of clause 31.2.3:</w:t>
            </w:r>
          </w:p>
          <w:p w14:paraId="6CE08CB3" w14:textId="77777777" w:rsidR="00002FAB" w:rsidRPr="00F11EA5" w:rsidRDefault="00002FAB" w:rsidP="00682A3C">
            <w:pPr>
              <w:rPr>
                <w:rFonts w:ascii="Arial" w:hAnsi="Arial" w:cs="Arial"/>
                <w:sz w:val="20"/>
                <w:lang w:val="en-US"/>
              </w:rPr>
            </w:pPr>
            <w:r w:rsidRPr="00F11EA5">
              <w:rPr>
                <w:rFonts w:ascii="Arial" w:hAnsi="Arial" w:cs="Arial"/>
                <w:sz w:val="20"/>
                <w:lang w:val="en-US"/>
              </w:rPr>
              <w:t>“The NGV BA frame is a Compressed BA frame (see Clauses 9.3.1.8.1 and 9.3.1.8.2).”</w:t>
            </w:r>
          </w:p>
          <w:p w14:paraId="7D82A470" w14:textId="77777777" w:rsidR="00002FAB" w:rsidRPr="00F11EA5" w:rsidRDefault="00002FAB" w:rsidP="00682A3C">
            <w:pPr>
              <w:rPr>
                <w:rFonts w:ascii="Arial" w:hAnsi="Arial" w:cs="Arial"/>
                <w:sz w:val="20"/>
                <w:lang w:val="en-US"/>
              </w:rPr>
            </w:pPr>
            <w:r w:rsidRPr="00F11EA5">
              <w:rPr>
                <w:rFonts w:ascii="Arial" w:hAnsi="Arial" w:cs="Arial"/>
                <w:sz w:val="20"/>
                <w:lang w:val="en-US"/>
              </w:rPr>
              <w:t xml:space="preserve">Note that even though the BA buffer size is fixed at 32, the NGV BA frame maintains the 64 bit BA bitmap and uses only the first 32 bits.   </w:t>
            </w:r>
          </w:p>
          <w:p w14:paraId="17EB4ECE" w14:textId="77777777" w:rsidR="00002FAB" w:rsidRPr="00F11EA5" w:rsidRDefault="00002FAB" w:rsidP="00682A3C">
            <w:pPr>
              <w:rPr>
                <w:rFonts w:ascii="Arial" w:hAnsi="Arial" w:cs="Arial"/>
                <w:sz w:val="20"/>
                <w:lang w:val="en-US"/>
              </w:rPr>
            </w:pPr>
          </w:p>
          <w:p w14:paraId="393B00E4" w14:textId="77777777" w:rsidR="00002FAB" w:rsidRPr="004153FB" w:rsidRDefault="00002FAB" w:rsidP="00682A3C">
            <w:pPr>
              <w:rPr>
                <w:rFonts w:ascii="Arial" w:hAnsi="Arial" w:cs="Arial"/>
                <w:sz w:val="20"/>
                <w:lang w:val="en-US"/>
              </w:rPr>
            </w:pPr>
          </w:p>
        </w:tc>
      </w:tr>
      <w:tr w:rsidR="00002FAB" w:rsidRPr="004153FB" w14:paraId="2D89448B"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2DF14628" w14:textId="77777777" w:rsidR="00002FAB" w:rsidRPr="004153FB" w:rsidRDefault="00002FAB" w:rsidP="00BF0D95">
            <w:pPr>
              <w:rPr>
                <w:rFonts w:ascii="Arial" w:hAnsi="Arial" w:cs="Arial"/>
                <w:sz w:val="20"/>
                <w:lang w:val="en-US"/>
              </w:rPr>
            </w:pPr>
            <w:r w:rsidRPr="004153FB">
              <w:rPr>
                <w:rFonts w:ascii="Arial" w:hAnsi="Arial" w:cs="Arial"/>
                <w:sz w:val="20"/>
                <w:lang w:val="en-US"/>
              </w:rPr>
              <w:lastRenderedPageBreak/>
              <w:t>1760</w:t>
            </w:r>
          </w:p>
        </w:tc>
        <w:tc>
          <w:tcPr>
            <w:tcW w:w="3479" w:type="dxa"/>
            <w:tcBorders>
              <w:top w:val="single" w:sz="4" w:space="0" w:color="auto"/>
              <w:left w:val="single" w:sz="4" w:space="0" w:color="auto"/>
              <w:bottom w:val="single" w:sz="4" w:space="0" w:color="auto"/>
              <w:right w:val="single" w:sz="4" w:space="0" w:color="auto"/>
            </w:tcBorders>
            <w:hideMark/>
          </w:tcPr>
          <w:p w14:paraId="1C1D4912" w14:textId="77777777" w:rsidR="00002FAB" w:rsidRPr="004153FB" w:rsidRDefault="00002FAB" w:rsidP="00BF0D95">
            <w:pPr>
              <w:rPr>
                <w:rFonts w:ascii="Arial" w:hAnsi="Arial" w:cs="Arial"/>
                <w:sz w:val="20"/>
                <w:lang w:val="en-US"/>
              </w:rPr>
            </w:pPr>
            <w:r w:rsidRPr="004153FB">
              <w:rPr>
                <w:rFonts w:ascii="Arial" w:hAnsi="Arial" w:cs="Arial"/>
                <w:sz w:val="20"/>
                <w:lang w:val="en-US"/>
              </w:rPr>
              <w:t>BlockAck size seems to be fixed. If dot11DynamicEIFSActivated is true, is there any intent to make the EIFS value more shorter by updating Table 10-8--Determination of the EstimatedAckTxTime based on properties of the PPDU causing the EIFS?</w:t>
            </w:r>
          </w:p>
        </w:tc>
        <w:tc>
          <w:tcPr>
            <w:tcW w:w="2970" w:type="dxa"/>
            <w:tcBorders>
              <w:top w:val="single" w:sz="4" w:space="0" w:color="auto"/>
              <w:left w:val="single" w:sz="4" w:space="0" w:color="auto"/>
              <w:bottom w:val="single" w:sz="4" w:space="0" w:color="auto"/>
              <w:right w:val="single" w:sz="4" w:space="0" w:color="auto"/>
            </w:tcBorders>
            <w:hideMark/>
          </w:tcPr>
          <w:p w14:paraId="2A88F788" w14:textId="77777777" w:rsidR="00002FAB" w:rsidRPr="004153FB" w:rsidRDefault="00002FAB" w:rsidP="00BF0D95">
            <w:pPr>
              <w:rPr>
                <w:rFonts w:ascii="Arial" w:hAnsi="Arial" w:cs="Arial"/>
                <w:sz w:val="20"/>
                <w:lang w:val="en-US"/>
              </w:rPr>
            </w:pPr>
            <w:r w:rsidRPr="004153FB">
              <w:rPr>
                <w:rFonts w:ascii="Arial" w:hAnsi="Arial" w:cs="Arial"/>
                <w:sz w:val="20"/>
                <w:lang w:val="en-US"/>
              </w:rPr>
              <w:t>Update Table 10-8.</w:t>
            </w:r>
          </w:p>
        </w:tc>
        <w:tc>
          <w:tcPr>
            <w:tcW w:w="3780" w:type="dxa"/>
            <w:tcBorders>
              <w:top w:val="single" w:sz="4" w:space="0" w:color="auto"/>
              <w:left w:val="single" w:sz="4" w:space="0" w:color="auto"/>
              <w:bottom w:val="single" w:sz="4" w:space="0" w:color="auto"/>
              <w:right w:val="single" w:sz="4" w:space="0" w:color="auto"/>
            </w:tcBorders>
          </w:tcPr>
          <w:p w14:paraId="638CD487" w14:textId="77777777" w:rsidR="00002FAB" w:rsidRPr="00F11EA5" w:rsidRDefault="00002FAB" w:rsidP="00BF0D95">
            <w:pPr>
              <w:rPr>
                <w:rFonts w:ascii="Arial" w:hAnsi="Arial" w:cs="Arial"/>
                <w:sz w:val="20"/>
                <w:lang w:val="en-US"/>
              </w:rPr>
            </w:pPr>
            <w:r w:rsidRPr="00F11EA5">
              <w:rPr>
                <w:rFonts w:ascii="Arial" w:hAnsi="Arial" w:cs="Arial"/>
                <w:sz w:val="20"/>
                <w:lang w:val="en-US"/>
              </w:rPr>
              <w:t>Reject:</w:t>
            </w:r>
          </w:p>
          <w:p w14:paraId="2CC21AC2" w14:textId="77777777" w:rsidR="00002FAB" w:rsidRPr="004153FB" w:rsidRDefault="00002FAB" w:rsidP="00BF0D95">
            <w:pPr>
              <w:rPr>
                <w:rFonts w:ascii="Arial" w:hAnsi="Arial" w:cs="Arial"/>
                <w:sz w:val="20"/>
                <w:lang w:val="en-US"/>
              </w:rPr>
            </w:pPr>
            <w:r w:rsidRPr="00F11EA5">
              <w:rPr>
                <w:rFonts w:ascii="Arial" w:hAnsi="Arial" w:cs="Arial"/>
                <w:sz w:val="20"/>
                <w:lang w:val="en-US"/>
              </w:rPr>
              <w:t xml:space="preserve">There is no intent to shorten the EIFS value and there is no intent to have dot11DynamicEIFSActivated set to true. NGV has a very simple and fixed BA policy, that is optimized for BA in OCB operation.  </w:t>
            </w:r>
          </w:p>
        </w:tc>
      </w:tr>
      <w:tr w:rsidR="00002FAB" w:rsidRPr="004153FB" w14:paraId="366C3AF0"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5774867" w14:textId="77777777" w:rsidR="00002FAB" w:rsidRPr="004153FB" w:rsidRDefault="00002FAB" w:rsidP="00E9315C">
            <w:pPr>
              <w:rPr>
                <w:rFonts w:ascii="Arial" w:hAnsi="Arial" w:cs="Arial"/>
                <w:sz w:val="20"/>
                <w:lang w:val="en-US"/>
              </w:rPr>
            </w:pPr>
            <w:r w:rsidRPr="004153FB">
              <w:rPr>
                <w:rFonts w:ascii="Arial" w:hAnsi="Arial" w:cs="Arial"/>
                <w:sz w:val="20"/>
                <w:lang w:val="en-US"/>
              </w:rPr>
              <w:t>1499</w:t>
            </w:r>
          </w:p>
        </w:tc>
        <w:tc>
          <w:tcPr>
            <w:tcW w:w="3479" w:type="dxa"/>
            <w:tcBorders>
              <w:top w:val="single" w:sz="4" w:space="0" w:color="auto"/>
              <w:left w:val="single" w:sz="4" w:space="0" w:color="auto"/>
              <w:bottom w:val="single" w:sz="4" w:space="0" w:color="auto"/>
              <w:right w:val="single" w:sz="4" w:space="0" w:color="auto"/>
            </w:tcBorders>
            <w:hideMark/>
          </w:tcPr>
          <w:p w14:paraId="0C2164F9" w14:textId="77777777" w:rsidR="00002FAB" w:rsidRPr="004153FB" w:rsidRDefault="00002FAB" w:rsidP="00E9315C">
            <w:pPr>
              <w:rPr>
                <w:rFonts w:ascii="Arial" w:hAnsi="Arial" w:cs="Arial"/>
                <w:sz w:val="20"/>
                <w:lang w:val="en-US"/>
              </w:rPr>
            </w:pPr>
            <w:r w:rsidRPr="004153FB">
              <w:rPr>
                <w:rFonts w:ascii="Arial" w:hAnsi="Arial" w:cs="Arial"/>
                <w:sz w:val="20"/>
                <w:lang w:val="en-US"/>
              </w:rPr>
              <w:t>If a BlockACK policy is not explicitly agreed to, wouldn't it be negotiated in a manner out of the scope of the standard?</w:t>
            </w:r>
          </w:p>
        </w:tc>
        <w:tc>
          <w:tcPr>
            <w:tcW w:w="2970" w:type="dxa"/>
            <w:tcBorders>
              <w:top w:val="single" w:sz="4" w:space="0" w:color="auto"/>
              <w:left w:val="single" w:sz="4" w:space="0" w:color="auto"/>
              <w:bottom w:val="single" w:sz="4" w:space="0" w:color="auto"/>
              <w:right w:val="single" w:sz="4" w:space="0" w:color="auto"/>
            </w:tcBorders>
            <w:hideMark/>
          </w:tcPr>
          <w:p w14:paraId="782B57DB" w14:textId="77777777" w:rsidR="00002FAB" w:rsidRPr="004153FB" w:rsidRDefault="00002FAB" w:rsidP="00E9315C">
            <w:pPr>
              <w:rPr>
                <w:rFonts w:ascii="Arial" w:hAnsi="Arial" w:cs="Arial"/>
                <w:sz w:val="20"/>
                <w:lang w:val="en-US"/>
              </w:rPr>
            </w:pPr>
            <w:r w:rsidRPr="004153FB">
              <w:rPr>
                <w:rFonts w:ascii="Arial" w:hAnsi="Arial" w:cs="Arial"/>
                <w:sz w:val="20"/>
                <w:lang w:val="en-US"/>
              </w:rPr>
              <w:t>Change "Block Acks may be sent without a Block Ack Agreement in place."</w:t>
            </w:r>
          </w:p>
        </w:tc>
        <w:tc>
          <w:tcPr>
            <w:tcW w:w="3780" w:type="dxa"/>
            <w:tcBorders>
              <w:top w:val="single" w:sz="4" w:space="0" w:color="auto"/>
              <w:left w:val="single" w:sz="4" w:space="0" w:color="auto"/>
              <w:bottom w:val="single" w:sz="4" w:space="0" w:color="auto"/>
              <w:right w:val="single" w:sz="4" w:space="0" w:color="auto"/>
            </w:tcBorders>
          </w:tcPr>
          <w:p w14:paraId="31D65DA0" w14:textId="77777777" w:rsidR="00002FAB" w:rsidRPr="00F11EA5" w:rsidRDefault="00002FAB" w:rsidP="00E9315C">
            <w:pPr>
              <w:rPr>
                <w:rFonts w:ascii="Arial" w:hAnsi="Arial" w:cs="Arial"/>
                <w:sz w:val="20"/>
                <w:lang w:val="en-US"/>
              </w:rPr>
            </w:pPr>
            <w:r w:rsidRPr="00F11EA5">
              <w:rPr>
                <w:rFonts w:ascii="Arial" w:hAnsi="Arial" w:cs="Arial"/>
                <w:sz w:val="20"/>
                <w:lang w:val="en-US"/>
              </w:rPr>
              <w:t>Reject</w:t>
            </w:r>
          </w:p>
          <w:p w14:paraId="07D2A0B7" w14:textId="77777777" w:rsidR="00002FAB" w:rsidRPr="004153FB" w:rsidRDefault="00002FAB" w:rsidP="00E9315C">
            <w:pPr>
              <w:rPr>
                <w:rFonts w:ascii="Arial" w:hAnsi="Arial" w:cs="Arial"/>
                <w:sz w:val="20"/>
                <w:lang w:val="en-US"/>
              </w:rPr>
            </w:pPr>
            <w:r w:rsidRPr="00F11EA5">
              <w:rPr>
                <w:rFonts w:ascii="Arial" w:hAnsi="Arial" w:cs="Arial"/>
                <w:sz w:val="20"/>
                <w:lang w:val="en-US"/>
              </w:rPr>
              <w:t>The Block ACK policy for NGV STAs is fix by the specification, nothing is negotiated, there is no BA agreement, and all NGV STAs support the NGV Block ACK.</w:t>
            </w:r>
          </w:p>
        </w:tc>
      </w:tr>
      <w:tr w:rsidR="007D5209" w:rsidRPr="004153FB" w14:paraId="5C6CEBF1"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41139DE9" w14:textId="77777777" w:rsidR="007D5209" w:rsidRPr="004153FB" w:rsidRDefault="007D5209" w:rsidP="007D5209">
            <w:pPr>
              <w:rPr>
                <w:rFonts w:ascii="Arial" w:hAnsi="Arial" w:cs="Arial"/>
                <w:sz w:val="20"/>
                <w:lang w:val="en-US"/>
              </w:rPr>
            </w:pPr>
            <w:r w:rsidRPr="004153FB">
              <w:rPr>
                <w:rFonts w:ascii="Arial" w:hAnsi="Arial" w:cs="Arial"/>
                <w:sz w:val="20"/>
                <w:lang w:val="en-US"/>
              </w:rPr>
              <w:t>1427</w:t>
            </w:r>
          </w:p>
        </w:tc>
        <w:tc>
          <w:tcPr>
            <w:tcW w:w="3479" w:type="dxa"/>
            <w:tcBorders>
              <w:top w:val="single" w:sz="4" w:space="0" w:color="auto"/>
              <w:left w:val="single" w:sz="4" w:space="0" w:color="auto"/>
              <w:bottom w:val="single" w:sz="4" w:space="0" w:color="auto"/>
              <w:right w:val="single" w:sz="4" w:space="0" w:color="auto"/>
            </w:tcBorders>
            <w:hideMark/>
          </w:tcPr>
          <w:p w14:paraId="289DC086" w14:textId="77777777" w:rsidR="007D5209" w:rsidRPr="004153FB" w:rsidRDefault="007D5209" w:rsidP="007D5209">
            <w:pPr>
              <w:rPr>
                <w:rFonts w:ascii="Arial" w:hAnsi="Arial" w:cs="Arial"/>
                <w:sz w:val="20"/>
                <w:lang w:val="en-US"/>
              </w:rPr>
            </w:pPr>
            <w:r w:rsidRPr="004153FB">
              <w:rPr>
                <w:rFonts w:ascii="Arial" w:hAnsi="Arial" w:cs="Arial"/>
                <w:sz w:val="20"/>
                <w:lang w:val="en-US"/>
              </w:rPr>
              <w:t>I think the heading for the middle column should say 10 MHz not 20 MHz</w:t>
            </w:r>
          </w:p>
        </w:tc>
        <w:tc>
          <w:tcPr>
            <w:tcW w:w="2970" w:type="dxa"/>
            <w:tcBorders>
              <w:top w:val="single" w:sz="4" w:space="0" w:color="auto"/>
              <w:left w:val="single" w:sz="4" w:space="0" w:color="auto"/>
              <w:bottom w:val="single" w:sz="4" w:space="0" w:color="auto"/>
              <w:right w:val="single" w:sz="4" w:space="0" w:color="auto"/>
            </w:tcBorders>
            <w:hideMark/>
          </w:tcPr>
          <w:p w14:paraId="46EF9618" w14:textId="77777777" w:rsidR="007D5209" w:rsidRPr="004153FB" w:rsidRDefault="007D5209" w:rsidP="007D5209">
            <w:pPr>
              <w:rPr>
                <w:rFonts w:ascii="Arial" w:hAnsi="Arial" w:cs="Arial"/>
                <w:sz w:val="20"/>
                <w:lang w:val="en-US"/>
              </w:rPr>
            </w:pPr>
            <w:r w:rsidRPr="004153FB">
              <w:rPr>
                <w:rFonts w:ascii="Arial" w:hAnsi="Arial" w:cs="Arial"/>
                <w:sz w:val="20"/>
                <w:lang w:val="en-US"/>
              </w:rPr>
              <w:t>As it says in the comment</w:t>
            </w:r>
          </w:p>
        </w:tc>
        <w:tc>
          <w:tcPr>
            <w:tcW w:w="3780" w:type="dxa"/>
            <w:tcBorders>
              <w:top w:val="single" w:sz="4" w:space="0" w:color="auto"/>
              <w:left w:val="single" w:sz="4" w:space="0" w:color="auto"/>
              <w:bottom w:val="single" w:sz="4" w:space="0" w:color="auto"/>
              <w:right w:val="single" w:sz="4" w:space="0" w:color="auto"/>
            </w:tcBorders>
          </w:tcPr>
          <w:p w14:paraId="6C3EB0FF"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2B897CB7" w14:textId="77777777" w:rsidR="007D5209" w:rsidRPr="00F11EA5" w:rsidRDefault="007D5209" w:rsidP="007D5209">
            <w:pPr>
              <w:rPr>
                <w:rFonts w:ascii="Arial" w:hAnsi="Arial" w:cs="Arial"/>
                <w:sz w:val="20"/>
                <w:lang w:val="en-US"/>
              </w:rPr>
            </w:pPr>
          </w:p>
          <w:p w14:paraId="705DE025" w14:textId="061DF515" w:rsidR="007D5209" w:rsidRPr="004153FB" w:rsidRDefault="007D5209" w:rsidP="007D5209">
            <w:pPr>
              <w:rPr>
                <w:rFonts w:ascii="Arial" w:hAnsi="Arial" w:cs="Arial"/>
                <w:sz w:val="20"/>
                <w:lang w:val="en-US"/>
              </w:rPr>
            </w:pPr>
            <w:r w:rsidRPr="00F11EA5">
              <w:rPr>
                <w:rFonts w:ascii="Arial" w:hAnsi="Arial" w:cs="Arial"/>
                <w:sz w:val="20"/>
                <w:lang w:val="en-US"/>
              </w:rPr>
              <w:t xml:space="preserve">Editor Duplicate comment see CID </w:t>
            </w:r>
            <w:r w:rsidRPr="00F11EA5">
              <w:rPr>
                <w:rFonts w:ascii="Arial" w:hAnsi="Arial" w:cs="Arial"/>
                <w:sz w:val="20"/>
                <w:lang w:val="en-US"/>
              </w:rPr>
              <w:t>1602</w:t>
            </w:r>
          </w:p>
        </w:tc>
      </w:tr>
      <w:tr w:rsidR="007D5209" w:rsidRPr="004153FB" w14:paraId="7C147B47" w14:textId="77777777" w:rsidTr="00790CE3">
        <w:trPr>
          <w:cantSplit/>
          <w:trHeight w:val="188"/>
        </w:trPr>
        <w:tc>
          <w:tcPr>
            <w:tcW w:w="661" w:type="dxa"/>
            <w:tcBorders>
              <w:top w:val="single" w:sz="4" w:space="0" w:color="auto"/>
              <w:left w:val="single" w:sz="4" w:space="0" w:color="auto"/>
              <w:bottom w:val="single" w:sz="4" w:space="0" w:color="auto"/>
              <w:right w:val="single" w:sz="4" w:space="0" w:color="auto"/>
            </w:tcBorders>
            <w:hideMark/>
          </w:tcPr>
          <w:p w14:paraId="0AE37CD3" w14:textId="77777777" w:rsidR="007D5209" w:rsidRPr="004153FB" w:rsidRDefault="007D5209" w:rsidP="007D5209">
            <w:pPr>
              <w:rPr>
                <w:rFonts w:ascii="Arial" w:hAnsi="Arial" w:cs="Arial"/>
                <w:sz w:val="20"/>
                <w:lang w:val="en-US"/>
              </w:rPr>
            </w:pPr>
            <w:r w:rsidRPr="004153FB">
              <w:rPr>
                <w:rFonts w:ascii="Arial" w:hAnsi="Arial" w:cs="Arial"/>
                <w:sz w:val="20"/>
                <w:lang w:val="en-US"/>
              </w:rPr>
              <w:t>1603</w:t>
            </w:r>
          </w:p>
        </w:tc>
        <w:tc>
          <w:tcPr>
            <w:tcW w:w="3479" w:type="dxa"/>
            <w:tcBorders>
              <w:top w:val="single" w:sz="4" w:space="0" w:color="auto"/>
              <w:left w:val="single" w:sz="4" w:space="0" w:color="auto"/>
              <w:bottom w:val="single" w:sz="4" w:space="0" w:color="auto"/>
              <w:right w:val="single" w:sz="4" w:space="0" w:color="auto"/>
            </w:tcBorders>
            <w:hideMark/>
          </w:tcPr>
          <w:p w14:paraId="543860C0" w14:textId="77777777" w:rsidR="007D5209" w:rsidRPr="004153FB" w:rsidRDefault="007D5209" w:rsidP="007D5209">
            <w:pPr>
              <w:rPr>
                <w:rFonts w:ascii="Arial" w:hAnsi="Arial" w:cs="Arial"/>
                <w:sz w:val="20"/>
                <w:lang w:val="en-US"/>
              </w:rPr>
            </w:pPr>
            <w:r w:rsidRPr="004153FB">
              <w:rPr>
                <w:rFonts w:ascii="Arial" w:hAnsi="Arial" w:cs="Arial"/>
                <w:sz w:val="20"/>
                <w:lang w:val="en-US"/>
              </w:rPr>
              <w:t>First row, third column of Table 31-1 has wrong entry</w:t>
            </w:r>
          </w:p>
        </w:tc>
        <w:tc>
          <w:tcPr>
            <w:tcW w:w="2970" w:type="dxa"/>
            <w:tcBorders>
              <w:top w:val="single" w:sz="4" w:space="0" w:color="auto"/>
              <w:left w:val="single" w:sz="4" w:space="0" w:color="auto"/>
              <w:bottom w:val="single" w:sz="4" w:space="0" w:color="auto"/>
              <w:right w:val="single" w:sz="4" w:space="0" w:color="auto"/>
            </w:tcBorders>
            <w:hideMark/>
          </w:tcPr>
          <w:p w14:paraId="11E48523" w14:textId="77777777" w:rsidR="007D5209" w:rsidRPr="004153FB" w:rsidRDefault="007D5209" w:rsidP="007D5209">
            <w:pPr>
              <w:rPr>
                <w:rFonts w:ascii="Arial" w:hAnsi="Arial" w:cs="Arial"/>
                <w:sz w:val="20"/>
                <w:lang w:val="en-US"/>
              </w:rPr>
            </w:pPr>
            <w:r w:rsidRPr="004153FB">
              <w:rPr>
                <w:rFonts w:ascii="Arial" w:hAnsi="Arial" w:cs="Arial"/>
                <w:sz w:val="20"/>
                <w:lang w:val="en-US"/>
              </w:rPr>
              <w:t>Replace "2SS 20 MHz" with "1SS 20 MHz" in row 1, column 3 of Table 31-1</w:t>
            </w:r>
          </w:p>
        </w:tc>
        <w:tc>
          <w:tcPr>
            <w:tcW w:w="3780" w:type="dxa"/>
            <w:tcBorders>
              <w:top w:val="single" w:sz="4" w:space="0" w:color="auto"/>
              <w:left w:val="single" w:sz="4" w:space="0" w:color="auto"/>
              <w:bottom w:val="single" w:sz="4" w:space="0" w:color="auto"/>
              <w:right w:val="single" w:sz="4" w:space="0" w:color="auto"/>
            </w:tcBorders>
          </w:tcPr>
          <w:p w14:paraId="06D44BF6" w14:textId="77777777" w:rsidR="007D5209" w:rsidRPr="00F11EA5" w:rsidRDefault="007D5209" w:rsidP="007D5209">
            <w:pPr>
              <w:rPr>
                <w:rFonts w:ascii="Arial" w:hAnsi="Arial" w:cs="Arial"/>
                <w:sz w:val="20"/>
                <w:lang w:val="en-US"/>
              </w:rPr>
            </w:pPr>
            <w:r w:rsidRPr="00F11EA5">
              <w:rPr>
                <w:rFonts w:ascii="Arial" w:hAnsi="Arial" w:cs="Arial"/>
                <w:sz w:val="20"/>
                <w:lang w:val="en-US"/>
              </w:rPr>
              <w:t>Accept</w:t>
            </w:r>
          </w:p>
          <w:p w14:paraId="1972D158" w14:textId="77777777" w:rsidR="007D5209" w:rsidRPr="00F11EA5" w:rsidRDefault="007D5209" w:rsidP="007D5209">
            <w:pPr>
              <w:rPr>
                <w:rFonts w:ascii="Arial" w:hAnsi="Arial" w:cs="Arial"/>
                <w:sz w:val="20"/>
                <w:lang w:val="en-US"/>
              </w:rPr>
            </w:pPr>
          </w:p>
          <w:p w14:paraId="64D5E08D" w14:textId="77777777" w:rsidR="007D5209" w:rsidRPr="004153FB" w:rsidRDefault="007D5209" w:rsidP="007D5209">
            <w:pPr>
              <w:rPr>
                <w:rFonts w:ascii="Arial" w:hAnsi="Arial" w:cs="Arial"/>
                <w:sz w:val="20"/>
                <w:lang w:val="en-US"/>
              </w:rPr>
            </w:pPr>
            <w:r w:rsidRPr="00F11EA5">
              <w:rPr>
                <w:rFonts w:ascii="Arial" w:hAnsi="Arial" w:cs="Arial"/>
                <w:sz w:val="20"/>
                <w:lang w:val="en-US"/>
              </w:rPr>
              <w:t>Editor Duplicate comment see CID 1427</w:t>
            </w:r>
          </w:p>
        </w:tc>
      </w:tr>
    </w:tbl>
    <w:p w14:paraId="1ACE455D" w14:textId="6340B94B" w:rsidR="00CA09B2" w:rsidRPr="006F604C" w:rsidRDefault="00072B35" w:rsidP="00B34047">
      <w:pPr>
        <w:ind w:left="-90"/>
        <w:rPr>
          <w:b/>
          <w:sz w:val="24"/>
          <w:lang w:val="en-US"/>
        </w:rPr>
      </w:pPr>
      <w:r w:rsidRPr="006F604C">
        <w:rPr>
          <w:sz w:val="24"/>
          <w:lang w:val="en-US"/>
        </w:rPr>
        <w:br w:type="page"/>
      </w:r>
      <w:r w:rsidR="00CA09B2" w:rsidRPr="006F604C">
        <w:rPr>
          <w:b/>
          <w:sz w:val="24"/>
          <w:lang w:val="en-US"/>
        </w:rPr>
        <w:lastRenderedPageBreak/>
        <w:t>References:</w:t>
      </w:r>
    </w:p>
    <w:p w14:paraId="220E879E" w14:textId="77777777" w:rsidR="00C42AED" w:rsidRPr="006F604C" w:rsidRDefault="00C42AED">
      <w:pPr>
        <w:rPr>
          <w:lang w:val="en-US"/>
        </w:rPr>
      </w:pPr>
    </w:p>
    <w:sectPr w:rsidR="00C42AED" w:rsidRPr="006F604C" w:rsidSect="00B34047">
      <w:headerReference w:type="default" r:id="rId11"/>
      <w:footerReference w:type="default" r:id="rId12"/>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B8254" w14:textId="77777777" w:rsidR="00DF3692" w:rsidRDefault="00DF3692">
      <w:r>
        <w:separator/>
      </w:r>
    </w:p>
  </w:endnote>
  <w:endnote w:type="continuationSeparator" w:id="0">
    <w:p w14:paraId="3C68E80B" w14:textId="77777777" w:rsidR="00DF3692" w:rsidRDefault="00DF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1B4905" w:rsidRDefault="00DF3692">
    <w:pPr>
      <w:pStyle w:val="Footer"/>
      <w:tabs>
        <w:tab w:val="clear" w:pos="6480"/>
        <w:tab w:val="center" w:pos="4680"/>
        <w:tab w:val="right" w:pos="9360"/>
      </w:tabs>
    </w:pPr>
    <w:r>
      <w:fldChar w:fldCharType="begin"/>
    </w:r>
    <w:r>
      <w:instrText xml:space="preserve"> SUBJECT  \* MERGEFORMAT </w:instrText>
    </w:r>
    <w:r>
      <w:fldChar w:fldCharType="separate"/>
    </w:r>
    <w:r w:rsidR="001B4905">
      <w:t>Submission</w:t>
    </w:r>
    <w:r>
      <w:fldChar w:fldCharType="end"/>
    </w:r>
    <w:r w:rsidR="001B4905">
      <w:tab/>
      <w:t xml:space="preserve">page </w:t>
    </w:r>
    <w:r w:rsidR="001B4905">
      <w:fldChar w:fldCharType="begin"/>
    </w:r>
    <w:r w:rsidR="001B4905">
      <w:instrText xml:space="preserve">page </w:instrText>
    </w:r>
    <w:r w:rsidR="001B4905">
      <w:fldChar w:fldCharType="separate"/>
    </w:r>
    <w:r w:rsidR="001B4905">
      <w:rPr>
        <w:noProof/>
      </w:rPr>
      <w:t>2</w:t>
    </w:r>
    <w:r w:rsidR="001B4905">
      <w:fldChar w:fldCharType="end"/>
    </w:r>
    <w:r w:rsidR="001B4905">
      <w:tab/>
    </w:r>
    <w:r>
      <w:fldChar w:fldCharType="begin"/>
    </w:r>
    <w:r>
      <w:instrText xml:space="preserve"> COMMENTS  \* MERGEFORMAT </w:instrText>
    </w:r>
    <w:r>
      <w:fldChar w:fldCharType="separate"/>
    </w:r>
    <w:r w:rsidR="001B4905">
      <w:t>Joseph Levy (InterDigital)</w:t>
    </w:r>
    <w:r>
      <w:fldChar w:fldCharType="end"/>
    </w:r>
  </w:p>
  <w:p w14:paraId="01ADD6FD" w14:textId="77777777" w:rsidR="001B4905" w:rsidRDefault="001B4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5C66" w14:textId="77777777" w:rsidR="00DF3692" w:rsidRDefault="00DF3692">
      <w:r>
        <w:separator/>
      </w:r>
    </w:p>
  </w:footnote>
  <w:footnote w:type="continuationSeparator" w:id="0">
    <w:p w14:paraId="4B121626" w14:textId="77777777" w:rsidR="00DF3692" w:rsidRDefault="00DF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098067C8" w:rsidR="001B4905" w:rsidRDefault="00DF3692">
    <w:pPr>
      <w:pStyle w:val="Header"/>
      <w:tabs>
        <w:tab w:val="clear" w:pos="6480"/>
        <w:tab w:val="center" w:pos="4680"/>
        <w:tab w:val="right" w:pos="9360"/>
      </w:tabs>
    </w:pPr>
    <w:r>
      <w:fldChar w:fldCharType="begin"/>
    </w:r>
    <w:r>
      <w:instrText xml:space="preserve"> KEYWORDS  \* MERGEFORMAT </w:instrText>
    </w:r>
    <w:r>
      <w:fldChar w:fldCharType="separate"/>
    </w:r>
    <w:r w:rsidR="00776142">
      <w:t>March 2021</w:t>
    </w:r>
    <w:r>
      <w:fldChar w:fldCharType="end"/>
    </w:r>
    <w:r w:rsidR="001B4905">
      <w:tab/>
    </w:r>
    <w:r w:rsidR="001B4905">
      <w:tab/>
    </w:r>
    <w:r>
      <w:fldChar w:fldCharType="begin"/>
    </w:r>
    <w:r>
      <w:instrText xml:space="preserve"> TITLE  \* MERGEFORMAT </w:instrText>
    </w:r>
    <w:r>
      <w:fldChar w:fldCharType="separate"/>
    </w:r>
    <w:r w:rsidR="00140888">
      <w:t>doc.: IEEE 802.11-21/0171r0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0140D"/>
    <w:rsid w:val="00001EFF"/>
    <w:rsid w:val="00002FAB"/>
    <w:rsid w:val="0000446C"/>
    <w:rsid w:val="000049F7"/>
    <w:rsid w:val="00004C0C"/>
    <w:rsid w:val="0001244E"/>
    <w:rsid w:val="00012C46"/>
    <w:rsid w:val="00017503"/>
    <w:rsid w:val="00021C9B"/>
    <w:rsid w:val="00022B13"/>
    <w:rsid w:val="00030F5C"/>
    <w:rsid w:val="000337B4"/>
    <w:rsid w:val="00036899"/>
    <w:rsid w:val="00040776"/>
    <w:rsid w:val="0004328C"/>
    <w:rsid w:val="000437EA"/>
    <w:rsid w:val="000438DE"/>
    <w:rsid w:val="00054B57"/>
    <w:rsid w:val="00060477"/>
    <w:rsid w:val="00063679"/>
    <w:rsid w:val="000641D9"/>
    <w:rsid w:val="000728A1"/>
    <w:rsid w:val="00072B35"/>
    <w:rsid w:val="000754D3"/>
    <w:rsid w:val="00081FC7"/>
    <w:rsid w:val="000845BD"/>
    <w:rsid w:val="0008752E"/>
    <w:rsid w:val="00093D27"/>
    <w:rsid w:val="00095E7D"/>
    <w:rsid w:val="00097993"/>
    <w:rsid w:val="000A1490"/>
    <w:rsid w:val="000A4186"/>
    <w:rsid w:val="000A473C"/>
    <w:rsid w:val="000B455B"/>
    <w:rsid w:val="000B4E3D"/>
    <w:rsid w:val="000B71AE"/>
    <w:rsid w:val="000C0A2E"/>
    <w:rsid w:val="000C1D12"/>
    <w:rsid w:val="000C2198"/>
    <w:rsid w:val="000C2962"/>
    <w:rsid w:val="000C326A"/>
    <w:rsid w:val="000E06E9"/>
    <w:rsid w:val="000E4BF2"/>
    <w:rsid w:val="000E61BE"/>
    <w:rsid w:val="000E68E7"/>
    <w:rsid w:val="000F3016"/>
    <w:rsid w:val="000F44FC"/>
    <w:rsid w:val="000F6E6D"/>
    <w:rsid w:val="00102328"/>
    <w:rsid w:val="00103314"/>
    <w:rsid w:val="001054B0"/>
    <w:rsid w:val="00105CFA"/>
    <w:rsid w:val="00106DF9"/>
    <w:rsid w:val="00107AAB"/>
    <w:rsid w:val="00112739"/>
    <w:rsid w:val="00114AA0"/>
    <w:rsid w:val="001164EC"/>
    <w:rsid w:val="00123BFF"/>
    <w:rsid w:val="0012460D"/>
    <w:rsid w:val="00136971"/>
    <w:rsid w:val="00140888"/>
    <w:rsid w:val="0014265E"/>
    <w:rsid w:val="001437A5"/>
    <w:rsid w:val="00144B81"/>
    <w:rsid w:val="00146336"/>
    <w:rsid w:val="001520CD"/>
    <w:rsid w:val="001559BA"/>
    <w:rsid w:val="00156DA1"/>
    <w:rsid w:val="0015726D"/>
    <w:rsid w:val="00160F2A"/>
    <w:rsid w:val="0016140B"/>
    <w:rsid w:val="001616CF"/>
    <w:rsid w:val="00162B3D"/>
    <w:rsid w:val="00165F0B"/>
    <w:rsid w:val="001715BE"/>
    <w:rsid w:val="00175B1C"/>
    <w:rsid w:val="001802DB"/>
    <w:rsid w:val="0018044F"/>
    <w:rsid w:val="0018456A"/>
    <w:rsid w:val="00185B99"/>
    <w:rsid w:val="001924F4"/>
    <w:rsid w:val="00192725"/>
    <w:rsid w:val="00195710"/>
    <w:rsid w:val="00196C2A"/>
    <w:rsid w:val="001A1F49"/>
    <w:rsid w:val="001A59FB"/>
    <w:rsid w:val="001A5AD9"/>
    <w:rsid w:val="001A7057"/>
    <w:rsid w:val="001B212B"/>
    <w:rsid w:val="001B28C0"/>
    <w:rsid w:val="001B3110"/>
    <w:rsid w:val="001B4905"/>
    <w:rsid w:val="001B4BC9"/>
    <w:rsid w:val="001B50FD"/>
    <w:rsid w:val="001B6A1D"/>
    <w:rsid w:val="001B7A71"/>
    <w:rsid w:val="001C0557"/>
    <w:rsid w:val="001C301C"/>
    <w:rsid w:val="001C59E6"/>
    <w:rsid w:val="001C6C22"/>
    <w:rsid w:val="001D05C3"/>
    <w:rsid w:val="001D10BA"/>
    <w:rsid w:val="001D2B77"/>
    <w:rsid w:val="001D2E14"/>
    <w:rsid w:val="001D53F5"/>
    <w:rsid w:val="001D5E79"/>
    <w:rsid w:val="001D723B"/>
    <w:rsid w:val="001D7B5A"/>
    <w:rsid w:val="001E1163"/>
    <w:rsid w:val="001E29BD"/>
    <w:rsid w:val="001E2D26"/>
    <w:rsid w:val="001F0118"/>
    <w:rsid w:val="001F672E"/>
    <w:rsid w:val="002008AA"/>
    <w:rsid w:val="00201B10"/>
    <w:rsid w:val="002022D5"/>
    <w:rsid w:val="00206FBA"/>
    <w:rsid w:val="0021186C"/>
    <w:rsid w:val="00214DE5"/>
    <w:rsid w:val="0021586D"/>
    <w:rsid w:val="00220A19"/>
    <w:rsid w:val="00221D20"/>
    <w:rsid w:val="00222F64"/>
    <w:rsid w:val="00227AB9"/>
    <w:rsid w:val="00230207"/>
    <w:rsid w:val="00232D1B"/>
    <w:rsid w:val="00235869"/>
    <w:rsid w:val="002373F4"/>
    <w:rsid w:val="00241314"/>
    <w:rsid w:val="00247605"/>
    <w:rsid w:val="00254AA4"/>
    <w:rsid w:val="002559E5"/>
    <w:rsid w:val="0025664E"/>
    <w:rsid w:val="00260631"/>
    <w:rsid w:val="0026086F"/>
    <w:rsid w:val="00271BC7"/>
    <w:rsid w:val="00272812"/>
    <w:rsid w:val="00274808"/>
    <w:rsid w:val="00283128"/>
    <w:rsid w:val="00283CF2"/>
    <w:rsid w:val="00283D46"/>
    <w:rsid w:val="0028640E"/>
    <w:rsid w:val="0029020B"/>
    <w:rsid w:val="00292961"/>
    <w:rsid w:val="00294144"/>
    <w:rsid w:val="00295BB7"/>
    <w:rsid w:val="00297FE9"/>
    <w:rsid w:val="002A2C9E"/>
    <w:rsid w:val="002A5B66"/>
    <w:rsid w:val="002B017B"/>
    <w:rsid w:val="002B0286"/>
    <w:rsid w:val="002B1F4A"/>
    <w:rsid w:val="002B2466"/>
    <w:rsid w:val="002B53E1"/>
    <w:rsid w:val="002B7267"/>
    <w:rsid w:val="002B7AAE"/>
    <w:rsid w:val="002C01EC"/>
    <w:rsid w:val="002D03D7"/>
    <w:rsid w:val="002D1A0E"/>
    <w:rsid w:val="002D44BE"/>
    <w:rsid w:val="002D4C67"/>
    <w:rsid w:val="002D67EA"/>
    <w:rsid w:val="002E26C6"/>
    <w:rsid w:val="002E2C8B"/>
    <w:rsid w:val="002E3388"/>
    <w:rsid w:val="002E3E31"/>
    <w:rsid w:val="002E4246"/>
    <w:rsid w:val="002F0E17"/>
    <w:rsid w:val="002F125A"/>
    <w:rsid w:val="002F2488"/>
    <w:rsid w:val="002F5B60"/>
    <w:rsid w:val="00302984"/>
    <w:rsid w:val="00303EEF"/>
    <w:rsid w:val="00304395"/>
    <w:rsid w:val="0030456F"/>
    <w:rsid w:val="00305371"/>
    <w:rsid w:val="00306DCB"/>
    <w:rsid w:val="00312016"/>
    <w:rsid w:val="00312F91"/>
    <w:rsid w:val="003215E1"/>
    <w:rsid w:val="0032396A"/>
    <w:rsid w:val="00325D66"/>
    <w:rsid w:val="00330D5D"/>
    <w:rsid w:val="00335C00"/>
    <w:rsid w:val="00343CD1"/>
    <w:rsid w:val="00343FD9"/>
    <w:rsid w:val="003469B6"/>
    <w:rsid w:val="00346F9D"/>
    <w:rsid w:val="00352152"/>
    <w:rsid w:val="0035229E"/>
    <w:rsid w:val="00352C4C"/>
    <w:rsid w:val="003537E6"/>
    <w:rsid w:val="00355A48"/>
    <w:rsid w:val="00364B13"/>
    <w:rsid w:val="00366D8A"/>
    <w:rsid w:val="00370251"/>
    <w:rsid w:val="00371CD5"/>
    <w:rsid w:val="00373EA6"/>
    <w:rsid w:val="003742CA"/>
    <w:rsid w:val="003743E4"/>
    <w:rsid w:val="00374D9A"/>
    <w:rsid w:val="00376B01"/>
    <w:rsid w:val="0038305B"/>
    <w:rsid w:val="00387586"/>
    <w:rsid w:val="00390C95"/>
    <w:rsid w:val="00395324"/>
    <w:rsid w:val="00395863"/>
    <w:rsid w:val="0039609B"/>
    <w:rsid w:val="003970A5"/>
    <w:rsid w:val="00397109"/>
    <w:rsid w:val="003A1D7F"/>
    <w:rsid w:val="003A3F94"/>
    <w:rsid w:val="003A5DCB"/>
    <w:rsid w:val="003A6E77"/>
    <w:rsid w:val="003A7D4A"/>
    <w:rsid w:val="003B0DCF"/>
    <w:rsid w:val="003B3D14"/>
    <w:rsid w:val="003B428B"/>
    <w:rsid w:val="003B4D6A"/>
    <w:rsid w:val="003C39F2"/>
    <w:rsid w:val="003C7266"/>
    <w:rsid w:val="003D12D2"/>
    <w:rsid w:val="003D4102"/>
    <w:rsid w:val="003D7BCE"/>
    <w:rsid w:val="003E023A"/>
    <w:rsid w:val="003E1DB7"/>
    <w:rsid w:val="003E2A01"/>
    <w:rsid w:val="003F0154"/>
    <w:rsid w:val="003F7308"/>
    <w:rsid w:val="00401218"/>
    <w:rsid w:val="00404432"/>
    <w:rsid w:val="00407B8F"/>
    <w:rsid w:val="004153FB"/>
    <w:rsid w:val="00420B29"/>
    <w:rsid w:val="0042516E"/>
    <w:rsid w:val="00427259"/>
    <w:rsid w:val="004276A6"/>
    <w:rsid w:val="004330B8"/>
    <w:rsid w:val="0043311E"/>
    <w:rsid w:val="0044000B"/>
    <w:rsid w:val="00440370"/>
    <w:rsid w:val="004405F8"/>
    <w:rsid w:val="0044120A"/>
    <w:rsid w:val="00441833"/>
    <w:rsid w:val="00442033"/>
    <w:rsid w:val="00442037"/>
    <w:rsid w:val="00447384"/>
    <w:rsid w:val="004478FF"/>
    <w:rsid w:val="004514AE"/>
    <w:rsid w:val="00452422"/>
    <w:rsid w:val="0045405C"/>
    <w:rsid w:val="00456EFC"/>
    <w:rsid w:val="00457BE7"/>
    <w:rsid w:val="00460581"/>
    <w:rsid w:val="00460BA1"/>
    <w:rsid w:val="00462AC8"/>
    <w:rsid w:val="0046520D"/>
    <w:rsid w:val="004678D0"/>
    <w:rsid w:val="00472BDB"/>
    <w:rsid w:val="00480345"/>
    <w:rsid w:val="00484AAB"/>
    <w:rsid w:val="00484D63"/>
    <w:rsid w:val="00486F90"/>
    <w:rsid w:val="004933B2"/>
    <w:rsid w:val="00493D7E"/>
    <w:rsid w:val="00494E5B"/>
    <w:rsid w:val="004A2C08"/>
    <w:rsid w:val="004A5E57"/>
    <w:rsid w:val="004A6841"/>
    <w:rsid w:val="004B064B"/>
    <w:rsid w:val="004B13A9"/>
    <w:rsid w:val="004B1D34"/>
    <w:rsid w:val="004B4B2D"/>
    <w:rsid w:val="004B6598"/>
    <w:rsid w:val="004C13CA"/>
    <w:rsid w:val="004C1E51"/>
    <w:rsid w:val="004C2290"/>
    <w:rsid w:val="004C5399"/>
    <w:rsid w:val="004D3035"/>
    <w:rsid w:val="004D3FD8"/>
    <w:rsid w:val="004D41BE"/>
    <w:rsid w:val="004E53E0"/>
    <w:rsid w:val="004E59BD"/>
    <w:rsid w:val="004E6B99"/>
    <w:rsid w:val="004E6D65"/>
    <w:rsid w:val="004F02EA"/>
    <w:rsid w:val="004F3281"/>
    <w:rsid w:val="004F32A2"/>
    <w:rsid w:val="004F37AB"/>
    <w:rsid w:val="004F3E24"/>
    <w:rsid w:val="004F469D"/>
    <w:rsid w:val="004F4CF2"/>
    <w:rsid w:val="004F5829"/>
    <w:rsid w:val="004F62E4"/>
    <w:rsid w:val="005005CA"/>
    <w:rsid w:val="00501979"/>
    <w:rsid w:val="005038F2"/>
    <w:rsid w:val="005053D5"/>
    <w:rsid w:val="005060AB"/>
    <w:rsid w:val="0050661C"/>
    <w:rsid w:val="005128E9"/>
    <w:rsid w:val="00513623"/>
    <w:rsid w:val="0051573F"/>
    <w:rsid w:val="0051732E"/>
    <w:rsid w:val="0052102C"/>
    <w:rsid w:val="005222F0"/>
    <w:rsid w:val="005238DC"/>
    <w:rsid w:val="00525F03"/>
    <w:rsid w:val="00530238"/>
    <w:rsid w:val="00531F56"/>
    <w:rsid w:val="00531F7D"/>
    <w:rsid w:val="00532211"/>
    <w:rsid w:val="0053626D"/>
    <w:rsid w:val="005367C3"/>
    <w:rsid w:val="00544C03"/>
    <w:rsid w:val="005479A1"/>
    <w:rsid w:val="00551570"/>
    <w:rsid w:val="005539F6"/>
    <w:rsid w:val="00553AF4"/>
    <w:rsid w:val="00563076"/>
    <w:rsid w:val="005631F6"/>
    <w:rsid w:val="005657D7"/>
    <w:rsid w:val="00565A2B"/>
    <w:rsid w:val="005724DE"/>
    <w:rsid w:val="0057282A"/>
    <w:rsid w:val="00573127"/>
    <w:rsid w:val="005732B5"/>
    <w:rsid w:val="005754C0"/>
    <w:rsid w:val="005769D5"/>
    <w:rsid w:val="00580D90"/>
    <w:rsid w:val="005814C9"/>
    <w:rsid w:val="00582ECA"/>
    <w:rsid w:val="005844AB"/>
    <w:rsid w:val="00585B2D"/>
    <w:rsid w:val="00586576"/>
    <w:rsid w:val="00592654"/>
    <w:rsid w:val="00594D0E"/>
    <w:rsid w:val="00595840"/>
    <w:rsid w:val="00595A3C"/>
    <w:rsid w:val="00595BD5"/>
    <w:rsid w:val="005962D9"/>
    <w:rsid w:val="00596364"/>
    <w:rsid w:val="005A1235"/>
    <w:rsid w:val="005A288F"/>
    <w:rsid w:val="005A2EC9"/>
    <w:rsid w:val="005A2ED5"/>
    <w:rsid w:val="005A40B1"/>
    <w:rsid w:val="005A68AF"/>
    <w:rsid w:val="005B5641"/>
    <w:rsid w:val="005B6C33"/>
    <w:rsid w:val="005C078D"/>
    <w:rsid w:val="005C0C92"/>
    <w:rsid w:val="005C3B99"/>
    <w:rsid w:val="005C58FF"/>
    <w:rsid w:val="005C7A53"/>
    <w:rsid w:val="005D0830"/>
    <w:rsid w:val="005D3226"/>
    <w:rsid w:val="005D400E"/>
    <w:rsid w:val="005D6234"/>
    <w:rsid w:val="005D69D4"/>
    <w:rsid w:val="005E1CAA"/>
    <w:rsid w:val="005E3285"/>
    <w:rsid w:val="005F1089"/>
    <w:rsid w:val="005F1268"/>
    <w:rsid w:val="005F3A4C"/>
    <w:rsid w:val="005F4099"/>
    <w:rsid w:val="005F4EA5"/>
    <w:rsid w:val="005F6033"/>
    <w:rsid w:val="005F753C"/>
    <w:rsid w:val="006008EF"/>
    <w:rsid w:val="00600C58"/>
    <w:rsid w:val="0060663B"/>
    <w:rsid w:val="00607751"/>
    <w:rsid w:val="00610A91"/>
    <w:rsid w:val="00611C46"/>
    <w:rsid w:val="00620BBB"/>
    <w:rsid w:val="00623225"/>
    <w:rsid w:val="00623F7D"/>
    <w:rsid w:val="0062440B"/>
    <w:rsid w:val="00625E0A"/>
    <w:rsid w:val="00627D1D"/>
    <w:rsid w:val="00631E7B"/>
    <w:rsid w:val="0063430C"/>
    <w:rsid w:val="00640DE5"/>
    <w:rsid w:val="00640EA4"/>
    <w:rsid w:val="00641BA4"/>
    <w:rsid w:val="006422EB"/>
    <w:rsid w:val="00644C61"/>
    <w:rsid w:val="00647758"/>
    <w:rsid w:val="00652B05"/>
    <w:rsid w:val="0065324A"/>
    <w:rsid w:val="00654486"/>
    <w:rsid w:val="0065577B"/>
    <w:rsid w:val="00655D7C"/>
    <w:rsid w:val="0066474B"/>
    <w:rsid w:val="0066516D"/>
    <w:rsid w:val="00665669"/>
    <w:rsid w:val="00670C40"/>
    <w:rsid w:val="00676C47"/>
    <w:rsid w:val="00681A57"/>
    <w:rsid w:val="006853A1"/>
    <w:rsid w:val="00685DE3"/>
    <w:rsid w:val="00687BD4"/>
    <w:rsid w:val="006914C0"/>
    <w:rsid w:val="00691857"/>
    <w:rsid w:val="006932A3"/>
    <w:rsid w:val="0069341B"/>
    <w:rsid w:val="006A03B3"/>
    <w:rsid w:val="006A09AE"/>
    <w:rsid w:val="006A4A5B"/>
    <w:rsid w:val="006A6546"/>
    <w:rsid w:val="006A737D"/>
    <w:rsid w:val="006A7C84"/>
    <w:rsid w:val="006B2EF0"/>
    <w:rsid w:val="006B3DFF"/>
    <w:rsid w:val="006B3FAF"/>
    <w:rsid w:val="006B6D4C"/>
    <w:rsid w:val="006C01DC"/>
    <w:rsid w:val="006C0727"/>
    <w:rsid w:val="006C0AE5"/>
    <w:rsid w:val="006C0EA2"/>
    <w:rsid w:val="006C107D"/>
    <w:rsid w:val="006C39A9"/>
    <w:rsid w:val="006C3E18"/>
    <w:rsid w:val="006C5793"/>
    <w:rsid w:val="006D3D2C"/>
    <w:rsid w:val="006D5F00"/>
    <w:rsid w:val="006D7C87"/>
    <w:rsid w:val="006E145F"/>
    <w:rsid w:val="006E2837"/>
    <w:rsid w:val="006E2ACA"/>
    <w:rsid w:val="006E3CFC"/>
    <w:rsid w:val="006E4F8D"/>
    <w:rsid w:val="006E7789"/>
    <w:rsid w:val="006E77BE"/>
    <w:rsid w:val="006F0FD9"/>
    <w:rsid w:val="006F1385"/>
    <w:rsid w:val="006F1F9B"/>
    <w:rsid w:val="006F604C"/>
    <w:rsid w:val="006F60EA"/>
    <w:rsid w:val="006F6385"/>
    <w:rsid w:val="00700CEC"/>
    <w:rsid w:val="00700D85"/>
    <w:rsid w:val="00700F0B"/>
    <w:rsid w:val="007018B2"/>
    <w:rsid w:val="007019EF"/>
    <w:rsid w:val="00704166"/>
    <w:rsid w:val="00705DEB"/>
    <w:rsid w:val="007072F9"/>
    <w:rsid w:val="00707377"/>
    <w:rsid w:val="00710608"/>
    <w:rsid w:val="00711E46"/>
    <w:rsid w:val="007205CA"/>
    <w:rsid w:val="00722765"/>
    <w:rsid w:val="00723123"/>
    <w:rsid w:val="00725807"/>
    <w:rsid w:val="00725B98"/>
    <w:rsid w:val="00730D98"/>
    <w:rsid w:val="0073430E"/>
    <w:rsid w:val="00743FCF"/>
    <w:rsid w:val="00746D41"/>
    <w:rsid w:val="00763F1D"/>
    <w:rsid w:val="00764C89"/>
    <w:rsid w:val="0076506A"/>
    <w:rsid w:val="00765404"/>
    <w:rsid w:val="00767314"/>
    <w:rsid w:val="00767512"/>
    <w:rsid w:val="00770572"/>
    <w:rsid w:val="00770D53"/>
    <w:rsid w:val="00771A1F"/>
    <w:rsid w:val="00774445"/>
    <w:rsid w:val="007754BD"/>
    <w:rsid w:val="00776142"/>
    <w:rsid w:val="00780D93"/>
    <w:rsid w:val="00784E09"/>
    <w:rsid w:val="007852EC"/>
    <w:rsid w:val="00790CE3"/>
    <w:rsid w:val="0079264B"/>
    <w:rsid w:val="00794418"/>
    <w:rsid w:val="00795CDD"/>
    <w:rsid w:val="0079616C"/>
    <w:rsid w:val="007A0F41"/>
    <w:rsid w:val="007A1A3D"/>
    <w:rsid w:val="007A26ED"/>
    <w:rsid w:val="007A30E5"/>
    <w:rsid w:val="007A3C9F"/>
    <w:rsid w:val="007A5676"/>
    <w:rsid w:val="007B0B12"/>
    <w:rsid w:val="007B1E56"/>
    <w:rsid w:val="007C1669"/>
    <w:rsid w:val="007C4A05"/>
    <w:rsid w:val="007C595D"/>
    <w:rsid w:val="007C6C76"/>
    <w:rsid w:val="007C75EF"/>
    <w:rsid w:val="007D5209"/>
    <w:rsid w:val="007D5663"/>
    <w:rsid w:val="007D56A8"/>
    <w:rsid w:val="007D7311"/>
    <w:rsid w:val="007E1F98"/>
    <w:rsid w:val="007E4F89"/>
    <w:rsid w:val="007E560F"/>
    <w:rsid w:val="007F1B94"/>
    <w:rsid w:val="007F7298"/>
    <w:rsid w:val="008002DD"/>
    <w:rsid w:val="0080130F"/>
    <w:rsid w:val="00802194"/>
    <w:rsid w:val="00803B43"/>
    <w:rsid w:val="00804FD1"/>
    <w:rsid w:val="008138C9"/>
    <w:rsid w:val="00815DEC"/>
    <w:rsid w:val="0081611C"/>
    <w:rsid w:val="0082005E"/>
    <w:rsid w:val="00832E2D"/>
    <w:rsid w:val="008359EB"/>
    <w:rsid w:val="00837D5B"/>
    <w:rsid w:val="008426DA"/>
    <w:rsid w:val="008437FA"/>
    <w:rsid w:val="00843AAB"/>
    <w:rsid w:val="00844780"/>
    <w:rsid w:val="00847CD9"/>
    <w:rsid w:val="00851680"/>
    <w:rsid w:val="0085466C"/>
    <w:rsid w:val="00855A6A"/>
    <w:rsid w:val="00855B29"/>
    <w:rsid w:val="00857DDB"/>
    <w:rsid w:val="00857FEE"/>
    <w:rsid w:val="00862190"/>
    <w:rsid w:val="00864034"/>
    <w:rsid w:val="00864551"/>
    <w:rsid w:val="008717D6"/>
    <w:rsid w:val="0087324D"/>
    <w:rsid w:val="0087500E"/>
    <w:rsid w:val="0087647B"/>
    <w:rsid w:val="00880A3B"/>
    <w:rsid w:val="0088489E"/>
    <w:rsid w:val="00885044"/>
    <w:rsid w:val="00886582"/>
    <w:rsid w:val="00887358"/>
    <w:rsid w:val="00896F4D"/>
    <w:rsid w:val="008A0AF0"/>
    <w:rsid w:val="008A2F42"/>
    <w:rsid w:val="008A38D8"/>
    <w:rsid w:val="008B0E87"/>
    <w:rsid w:val="008B49C0"/>
    <w:rsid w:val="008B7380"/>
    <w:rsid w:val="008C13B4"/>
    <w:rsid w:val="008C16CD"/>
    <w:rsid w:val="008C1AAB"/>
    <w:rsid w:val="008C5969"/>
    <w:rsid w:val="008C702F"/>
    <w:rsid w:val="008C7EA6"/>
    <w:rsid w:val="008D064B"/>
    <w:rsid w:val="008D2C34"/>
    <w:rsid w:val="008D489B"/>
    <w:rsid w:val="008D595C"/>
    <w:rsid w:val="008D7403"/>
    <w:rsid w:val="008E495D"/>
    <w:rsid w:val="008E4E67"/>
    <w:rsid w:val="008F10F5"/>
    <w:rsid w:val="008F159D"/>
    <w:rsid w:val="008F1A09"/>
    <w:rsid w:val="008F2624"/>
    <w:rsid w:val="008F2904"/>
    <w:rsid w:val="008F6C93"/>
    <w:rsid w:val="008F7F99"/>
    <w:rsid w:val="00901310"/>
    <w:rsid w:val="0090517E"/>
    <w:rsid w:val="00907F4C"/>
    <w:rsid w:val="009140FF"/>
    <w:rsid w:val="009161C3"/>
    <w:rsid w:val="00920234"/>
    <w:rsid w:val="00921583"/>
    <w:rsid w:val="00921DE6"/>
    <w:rsid w:val="00925CC4"/>
    <w:rsid w:val="009313DE"/>
    <w:rsid w:val="009315AD"/>
    <w:rsid w:val="0093172B"/>
    <w:rsid w:val="009327F4"/>
    <w:rsid w:val="0095390B"/>
    <w:rsid w:val="00953B81"/>
    <w:rsid w:val="009544E7"/>
    <w:rsid w:val="00956AC3"/>
    <w:rsid w:val="00960B53"/>
    <w:rsid w:val="00962F52"/>
    <w:rsid w:val="0096313D"/>
    <w:rsid w:val="009650B2"/>
    <w:rsid w:val="009718BF"/>
    <w:rsid w:val="0098006A"/>
    <w:rsid w:val="0098176C"/>
    <w:rsid w:val="009825F9"/>
    <w:rsid w:val="00982652"/>
    <w:rsid w:val="00987CAC"/>
    <w:rsid w:val="0099272E"/>
    <w:rsid w:val="00995485"/>
    <w:rsid w:val="0099629D"/>
    <w:rsid w:val="00997407"/>
    <w:rsid w:val="009A24D8"/>
    <w:rsid w:val="009A3B96"/>
    <w:rsid w:val="009A44BA"/>
    <w:rsid w:val="009A6A09"/>
    <w:rsid w:val="009B0587"/>
    <w:rsid w:val="009B2212"/>
    <w:rsid w:val="009B2640"/>
    <w:rsid w:val="009C0421"/>
    <w:rsid w:val="009C3B55"/>
    <w:rsid w:val="009C6D4B"/>
    <w:rsid w:val="009D1762"/>
    <w:rsid w:val="009D5289"/>
    <w:rsid w:val="009E3257"/>
    <w:rsid w:val="009F2FBC"/>
    <w:rsid w:val="009F47C7"/>
    <w:rsid w:val="009F5B21"/>
    <w:rsid w:val="009F6504"/>
    <w:rsid w:val="009F667F"/>
    <w:rsid w:val="009F7BCC"/>
    <w:rsid w:val="00A0010E"/>
    <w:rsid w:val="00A012F3"/>
    <w:rsid w:val="00A047DE"/>
    <w:rsid w:val="00A149FE"/>
    <w:rsid w:val="00A15E5D"/>
    <w:rsid w:val="00A251B4"/>
    <w:rsid w:val="00A26411"/>
    <w:rsid w:val="00A27345"/>
    <w:rsid w:val="00A30D18"/>
    <w:rsid w:val="00A30D59"/>
    <w:rsid w:val="00A32AF2"/>
    <w:rsid w:val="00A35103"/>
    <w:rsid w:val="00A40B29"/>
    <w:rsid w:val="00A41BD1"/>
    <w:rsid w:val="00A47BC6"/>
    <w:rsid w:val="00A5336C"/>
    <w:rsid w:val="00A5552B"/>
    <w:rsid w:val="00A61904"/>
    <w:rsid w:val="00A630E1"/>
    <w:rsid w:val="00A639E6"/>
    <w:rsid w:val="00A72B0F"/>
    <w:rsid w:val="00A81317"/>
    <w:rsid w:val="00A8362E"/>
    <w:rsid w:val="00A83779"/>
    <w:rsid w:val="00A85C45"/>
    <w:rsid w:val="00A85CAB"/>
    <w:rsid w:val="00A86A65"/>
    <w:rsid w:val="00A925B4"/>
    <w:rsid w:val="00A93B33"/>
    <w:rsid w:val="00A949D4"/>
    <w:rsid w:val="00AA04A5"/>
    <w:rsid w:val="00AA0D41"/>
    <w:rsid w:val="00AA1FF1"/>
    <w:rsid w:val="00AA41A0"/>
    <w:rsid w:val="00AA427C"/>
    <w:rsid w:val="00AA511A"/>
    <w:rsid w:val="00AA56F0"/>
    <w:rsid w:val="00AA6B72"/>
    <w:rsid w:val="00AB2BF9"/>
    <w:rsid w:val="00AB54D6"/>
    <w:rsid w:val="00AC20A2"/>
    <w:rsid w:val="00AC4B21"/>
    <w:rsid w:val="00AC637A"/>
    <w:rsid w:val="00AC6473"/>
    <w:rsid w:val="00AD2198"/>
    <w:rsid w:val="00AD4F8F"/>
    <w:rsid w:val="00AD7940"/>
    <w:rsid w:val="00AE1572"/>
    <w:rsid w:val="00AE16A4"/>
    <w:rsid w:val="00AE5BA0"/>
    <w:rsid w:val="00AF012E"/>
    <w:rsid w:val="00AF4808"/>
    <w:rsid w:val="00AF737E"/>
    <w:rsid w:val="00AF742A"/>
    <w:rsid w:val="00B00601"/>
    <w:rsid w:val="00B058D9"/>
    <w:rsid w:val="00B10E2C"/>
    <w:rsid w:val="00B174E7"/>
    <w:rsid w:val="00B17DE8"/>
    <w:rsid w:val="00B20E79"/>
    <w:rsid w:val="00B21E62"/>
    <w:rsid w:val="00B22805"/>
    <w:rsid w:val="00B23161"/>
    <w:rsid w:val="00B25B30"/>
    <w:rsid w:val="00B26485"/>
    <w:rsid w:val="00B26ED0"/>
    <w:rsid w:val="00B30228"/>
    <w:rsid w:val="00B30F4C"/>
    <w:rsid w:val="00B34047"/>
    <w:rsid w:val="00B3433A"/>
    <w:rsid w:val="00B34409"/>
    <w:rsid w:val="00B35BE7"/>
    <w:rsid w:val="00B35BE8"/>
    <w:rsid w:val="00B36F1A"/>
    <w:rsid w:val="00B37817"/>
    <w:rsid w:val="00B40466"/>
    <w:rsid w:val="00B41A88"/>
    <w:rsid w:val="00B443FF"/>
    <w:rsid w:val="00B44B30"/>
    <w:rsid w:val="00B44B6C"/>
    <w:rsid w:val="00B4686E"/>
    <w:rsid w:val="00B52F19"/>
    <w:rsid w:val="00B630A8"/>
    <w:rsid w:val="00B8422A"/>
    <w:rsid w:val="00B8488B"/>
    <w:rsid w:val="00B85F53"/>
    <w:rsid w:val="00B879FE"/>
    <w:rsid w:val="00B90D07"/>
    <w:rsid w:val="00B90FF9"/>
    <w:rsid w:val="00B910D6"/>
    <w:rsid w:val="00B91222"/>
    <w:rsid w:val="00B91C7D"/>
    <w:rsid w:val="00B9381F"/>
    <w:rsid w:val="00B948FD"/>
    <w:rsid w:val="00BA1D4B"/>
    <w:rsid w:val="00BA57C4"/>
    <w:rsid w:val="00BA5AF2"/>
    <w:rsid w:val="00BA6AC4"/>
    <w:rsid w:val="00BA7F27"/>
    <w:rsid w:val="00BC231A"/>
    <w:rsid w:val="00BD12F6"/>
    <w:rsid w:val="00BD2F1F"/>
    <w:rsid w:val="00BD535F"/>
    <w:rsid w:val="00BD64E4"/>
    <w:rsid w:val="00BE15F4"/>
    <w:rsid w:val="00BE3C73"/>
    <w:rsid w:val="00BE68C2"/>
    <w:rsid w:val="00BF2C98"/>
    <w:rsid w:val="00BF7EC3"/>
    <w:rsid w:val="00C03792"/>
    <w:rsid w:val="00C03E36"/>
    <w:rsid w:val="00C06275"/>
    <w:rsid w:val="00C07922"/>
    <w:rsid w:val="00C11B8A"/>
    <w:rsid w:val="00C1240A"/>
    <w:rsid w:val="00C125C6"/>
    <w:rsid w:val="00C126BD"/>
    <w:rsid w:val="00C12AA1"/>
    <w:rsid w:val="00C15DCE"/>
    <w:rsid w:val="00C205E9"/>
    <w:rsid w:val="00C22778"/>
    <w:rsid w:val="00C2556E"/>
    <w:rsid w:val="00C256C7"/>
    <w:rsid w:val="00C2627D"/>
    <w:rsid w:val="00C37665"/>
    <w:rsid w:val="00C37A94"/>
    <w:rsid w:val="00C40C60"/>
    <w:rsid w:val="00C42AED"/>
    <w:rsid w:val="00C43968"/>
    <w:rsid w:val="00C45930"/>
    <w:rsid w:val="00C47B9A"/>
    <w:rsid w:val="00C518BE"/>
    <w:rsid w:val="00C52FBA"/>
    <w:rsid w:val="00C5564A"/>
    <w:rsid w:val="00C569F3"/>
    <w:rsid w:val="00C61123"/>
    <w:rsid w:val="00C61253"/>
    <w:rsid w:val="00C668DA"/>
    <w:rsid w:val="00C67B0B"/>
    <w:rsid w:val="00C778C1"/>
    <w:rsid w:val="00C8538B"/>
    <w:rsid w:val="00C8702A"/>
    <w:rsid w:val="00C901F8"/>
    <w:rsid w:val="00C928C3"/>
    <w:rsid w:val="00C97933"/>
    <w:rsid w:val="00CA068E"/>
    <w:rsid w:val="00CA09B2"/>
    <w:rsid w:val="00CA198E"/>
    <w:rsid w:val="00CA19CC"/>
    <w:rsid w:val="00CA4854"/>
    <w:rsid w:val="00CA5326"/>
    <w:rsid w:val="00CA6D5A"/>
    <w:rsid w:val="00CA77B5"/>
    <w:rsid w:val="00CB314D"/>
    <w:rsid w:val="00CB6902"/>
    <w:rsid w:val="00CB71AD"/>
    <w:rsid w:val="00CC0511"/>
    <w:rsid w:val="00CC11A7"/>
    <w:rsid w:val="00CD36B3"/>
    <w:rsid w:val="00CD6BB0"/>
    <w:rsid w:val="00CE14C7"/>
    <w:rsid w:val="00CE3AE8"/>
    <w:rsid w:val="00CE41ED"/>
    <w:rsid w:val="00CE5D2A"/>
    <w:rsid w:val="00CF4F40"/>
    <w:rsid w:val="00CF5CF7"/>
    <w:rsid w:val="00CF76DF"/>
    <w:rsid w:val="00CF79CC"/>
    <w:rsid w:val="00D01108"/>
    <w:rsid w:val="00D03530"/>
    <w:rsid w:val="00D04004"/>
    <w:rsid w:val="00D0491E"/>
    <w:rsid w:val="00D04D85"/>
    <w:rsid w:val="00D135AF"/>
    <w:rsid w:val="00D13DE3"/>
    <w:rsid w:val="00D140EF"/>
    <w:rsid w:val="00D1536C"/>
    <w:rsid w:val="00D17B9D"/>
    <w:rsid w:val="00D20708"/>
    <w:rsid w:val="00D22E9D"/>
    <w:rsid w:val="00D2370B"/>
    <w:rsid w:val="00D251CB"/>
    <w:rsid w:val="00D30E06"/>
    <w:rsid w:val="00D311F3"/>
    <w:rsid w:val="00D34E5B"/>
    <w:rsid w:val="00D35758"/>
    <w:rsid w:val="00D36193"/>
    <w:rsid w:val="00D4182E"/>
    <w:rsid w:val="00D4258C"/>
    <w:rsid w:val="00D42610"/>
    <w:rsid w:val="00D42ECA"/>
    <w:rsid w:val="00D4331D"/>
    <w:rsid w:val="00D52649"/>
    <w:rsid w:val="00D53C47"/>
    <w:rsid w:val="00D61B78"/>
    <w:rsid w:val="00D61EC7"/>
    <w:rsid w:val="00D639BB"/>
    <w:rsid w:val="00D64EB3"/>
    <w:rsid w:val="00D67493"/>
    <w:rsid w:val="00D71C12"/>
    <w:rsid w:val="00D7209E"/>
    <w:rsid w:val="00D8001D"/>
    <w:rsid w:val="00D806BE"/>
    <w:rsid w:val="00D82646"/>
    <w:rsid w:val="00D832C8"/>
    <w:rsid w:val="00D83DD9"/>
    <w:rsid w:val="00D859D5"/>
    <w:rsid w:val="00D85ADB"/>
    <w:rsid w:val="00D87557"/>
    <w:rsid w:val="00D87AE7"/>
    <w:rsid w:val="00D92F20"/>
    <w:rsid w:val="00D957A1"/>
    <w:rsid w:val="00D97AC9"/>
    <w:rsid w:val="00DA0F06"/>
    <w:rsid w:val="00DA2622"/>
    <w:rsid w:val="00DA2D44"/>
    <w:rsid w:val="00DB4845"/>
    <w:rsid w:val="00DB4A54"/>
    <w:rsid w:val="00DB4E07"/>
    <w:rsid w:val="00DB7A27"/>
    <w:rsid w:val="00DC5A7B"/>
    <w:rsid w:val="00DC68B5"/>
    <w:rsid w:val="00DC6D8B"/>
    <w:rsid w:val="00DC7B0E"/>
    <w:rsid w:val="00DD0F42"/>
    <w:rsid w:val="00DD468D"/>
    <w:rsid w:val="00DD7B0F"/>
    <w:rsid w:val="00DE05E6"/>
    <w:rsid w:val="00DE1583"/>
    <w:rsid w:val="00DE6D03"/>
    <w:rsid w:val="00DF0043"/>
    <w:rsid w:val="00DF1260"/>
    <w:rsid w:val="00DF3692"/>
    <w:rsid w:val="00DF432B"/>
    <w:rsid w:val="00DF5C1C"/>
    <w:rsid w:val="00DF7B71"/>
    <w:rsid w:val="00E0201F"/>
    <w:rsid w:val="00E052FF"/>
    <w:rsid w:val="00E065BF"/>
    <w:rsid w:val="00E079A2"/>
    <w:rsid w:val="00E07DE5"/>
    <w:rsid w:val="00E113A4"/>
    <w:rsid w:val="00E13F76"/>
    <w:rsid w:val="00E16D65"/>
    <w:rsid w:val="00E16E91"/>
    <w:rsid w:val="00E23E42"/>
    <w:rsid w:val="00E25B44"/>
    <w:rsid w:val="00E27761"/>
    <w:rsid w:val="00E31510"/>
    <w:rsid w:val="00E36CF0"/>
    <w:rsid w:val="00E410A6"/>
    <w:rsid w:val="00E41438"/>
    <w:rsid w:val="00E42BAC"/>
    <w:rsid w:val="00E46834"/>
    <w:rsid w:val="00E51080"/>
    <w:rsid w:val="00E53256"/>
    <w:rsid w:val="00E56348"/>
    <w:rsid w:val="00E567D7"/>
    <w:rsid w:val="00E56805"/>
    <w:rsid w:val="00E56D45"/>
    <w:rsid w:val="00E60F1F"/>
    <w:rsid w:val="00E6110C"/>
    <w:rsid w:val="00E61498"/>
    <w:rsid w:val="00E623CC"/>
    <w:rsid w:val="00E62678"/>
    <w:rsid w:val="00E63C50"/>
    <w:rsid w:val="00E65DE8"/>
    <w:rsid w:val="00E66713"/>
    <w:rsid w:val="00E71FE7"/>
    <w:rsid w:val="00E73AFB"/>
    <w:rsid w:val="00E77495"/>
    <w:rsid w:val="00E774A4"/>
    <w:rsid w:val="00E77768"/>
    <w:rsid w:val="00E83CA7"/>
    <w:rsid w:val="00E8565E"/>
    <w:rsid w:val="00E860B6"/>
    <w:rsid w:val="00E905A3"/>
    <w:rsid w:val="00E92ADF"/>
    <w:rsid w:val="00E956C7"/>
    <w:rsid w:val="00EA0842"/>
    <w:rsid w:val="00EA2C6F"/>
    <w:rsid w:val="00EA3331"/>
    <w:rsid w:val="00EA52CA"/>
    <w:rsid w:val="00EA608E"/>
    <w:rsid w:val="00EA7C04"/>
    <w:rsid w:val="00EB30AC"/>
    <w:rsid w:val="00EB5CD7"/>
    <w:rsid w:val="00EC102E"/>
    <w:rsid w:val="00EC2303"/>
    <w:rsid w:val="00EC2E5C"/>
    <w:rsid w:val="00EC5290"/>
    <w:rsid w:val="00ED17DB"/>
    <w:rsid w:val="00ED51A3"/>
    <w:rsid w:val="00ED6281"/>
    <w:rsid w:val="00ED67D9"/>
    <w:rsid w:val="00ED7D55"/>
    <w:rsid w:val="00EE0136"/>
    <w:rsid w:val="00EE0747"/>
    <w:rsid w:val="00EE09A5"/>
    <w:rsid w:val="00EE25E0"/>
    <w:rsid w:val="00EE525C"/>
    <w:rsid w:val="00EF1179"/>
    <w:rsid w:val="00EF36F4"/>
    <w:rsid w:val="00EF3F34"/>
    <w:rsid w:val="00F025C6"/>
    <w:rsid w:val="00F0450E"/>
    <w:rsid w:val="00F06979"/>
    <w:rsid w:val="00F119AA"/>
    <w:rsid w:val="00F11EA5"/>
    <w:rsid w:val="00F1603D"/>
    <w:rsid w:val="00F201A8"/>
    <w:rsid w:val="00F227EB"/>
    <w:rsid w:val="00F24F0D"/>
    <w:rsid w:val="00F32978"/>
    <w:rsid w:val="00F338C8"/>
    <w:rsid w:val="00F347B5"/>
    <w:rsid w:val="00F40ED1"/>
    <w:rsid w:val="00F41D9C"/>
    <w:rsid w:val="00F42AEA"/>
    <w:rsid w:val="00F44136"/>
    <w:rsid w:val="00F4426E"/>
    <w:rsid w:val="00F448FA"/>
    <w:rsid w:val="00F44BCB"/>
    <w:rsid w:val="00F5007C"/>
    <w:rsid w:val="00F510F5"/>
    <w:rsid w:val="00F519F5"/>
    <w:rsid w:val="00F55305"/>
    <w:rsid w:val="00F55329"/>
    <w:rsid w:val="00F56109"/>
    <w:rsid w:val="00F57674"/>
    <w:rsid w:val="00F643B1"/>
    <w:rsid w:val="00F65975"/>
    <w:rsid w:val="00F65E5F"/>
    <w:rsid w:val="00F6705F"/>
    <w:rsid w:val="00F6729E"/>
    <w:rsid w:val="00F67C1E"/>
    <w:rsid w:val="00F7080F"/>
    <w:rsid w:val="00F73B32"/>
    <w:rsid w:val="00F75411"/>
    <w:rsid w:val="00F7745D"/>
    <w:rsid w:val="00F77511"/>
    <w:rsid w:val="00F84A19"/>
    <w:rsid w:val="00F85C7F"/>
    <w:rsid w:val="00F87754"/>
    <w:rsid w:val="00F87894"/>
    <w:rsid w:val="00F9258D"/>
    <w:rsid w:val="00F93252"/>
    <w:rsid w:val="00F962B8"/>
    <w:rsid w:val="00F97B55"/>
    <w:rsid w:val="00FA133E"/>
    <w:rsid w:val="00FA1F15"/>
    <w:rsid w:val="00FA2249"/>
    <w:rsid w:val="00FA5864"/>
    <w:rsid w:val="00FA7726"/>
    <w:rsid w:val="00FB00DD"/>
    <w:rsid w:val="00FB10E8"/>
    <w:rsid w:val="00FB188C"/>
    <w:rsid w:val="00FB4E84"/>
    <w:rsid w:val="00FB72E6"/>
    <w:rsid w:val="00FC09F1"/>
    <w:rsid w:val="00FC1628"/>
    <w:rsid w:val="00FC1C25"/>
    <w:rsid w:val="00FC26D9"/>
    <w:rsid w:val="00FC4700"/>
    <w:rsid w:val="00FC706C"/>
    <w:rsid w:val="00FD46AB"/>
    <w:rsid w:val="00FD55E1"/>
    <w:rsid w:val="00FD60E9"/>
    <w:rsid w:val="00FD7D93"/>
    <w:rsid w:val="00FE0031"/>
    <w:rsid w:val="00FE2A3A"/>
    <w:rsid w:val="00FE429C"/>
    <w:rsid w:val="00FE6AC0"/>
    <w:rsid w:val="00FE7B63"/>
    <w:rsid w:val="00FF2E1A"/>
    <w:rsid w:val="00FF3DC2"/>
    <w:rsid w:val="00FF3EAB"/>
    <w:rsid w:val="00FF54F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6F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8339">
      <w:bodyDiv w:val="1"/>
      <w:marLeft w:val="0"/>
      <w:marRight w:val="0"/>
      <w:marTop w:val="0"/>
      <w:marBottom w:val="0"/>
      <w:divBdr>
        <w:top w:val="none" w:sz="0" w:space="0" w:color="auto"/>
        <w:left w:val="none" w:sz="0" w:space="0" w:color="auto"/>
        <w:bottom w:val="none" w:sz="0" w:space="0" w:color="auto"/>
        <w:right w:val="none" w:sz="0" w:space="0" w:color="auto"/>
      </w:divBdr>
    </w:div>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180166871">
      <w:bodyDiv w:val="1"/>
      <w:marLeft w:val="0"/>
      <w:marRight w:val="0"/>
      <w:marTop w:val="0"/>
      <w:marBottom w:val="0"/>
      <w:divBdr>
        <w:top w:val="none" w:sz="0" w:space="0" w:color="auto"/>
        <w:left w:val="none" w:sz="0" w:space="0" w:color="auto"/>
        <w:bottom w:val="none" w:sz="0" w:space="0" w:color="auto"/>
        <w:right w:val="none" w:sz="0" w:space="0" w:color="auto"/>
      </w:divBdr>
    </w:div>
    <w:div w:id="269707837">
      <w:bodyDiv w:val="1"/>
      <w:marLeft w:val="0"/>
      <w:marRight w:val="0"/>
      <w:marTop w:val="0"/>
      <w:marBottom w:val="0"/>
      <w:divBdr>
        <w:top w:val="none" w:sz="0" w:space="0" w:color="auto"/>
        <w:left w:val="none" w:sz="0" w:space="0" w:color="auto"/>
        <w:bottom w:val="none" w:sz="0" w:space="0" w:color="auto"/>
        <w:right w:val="none" w:sz="0" w:space="0" w:color="auto"/>
      </w:divBdr>
    </w:div>
    <w:div w:id="318845207">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470709222">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 w:id="1363214640">
      <w:bodyDiv w:val="1"/>
      <w:marLeft w:val="0"/>
      <w:marRight w:val="0"/>
      <w:marTop w:val="0"/>
      <w:marBottom w:val="0"/>
      <w:divBdr>
        <w:top w:val="none" w:sz="0" w:space="0" w:color="auto"/>
        <w:left w:val="none" w:sz="0" w:space="0" w:color="auto"/>
        <w:bottom w:val="none" w:sz="0" w:space="0" w:color="auto"/>
        <w:right w:val="none" w:sz="0" w:space="0" w:color="auto"/>
      </w:divBdr>
    </w:div>
    <w:div w:id="1665890805">
      <w:bodyDiv w:val="1"/>
      <w:marLeft w:val="0"/>
      <w:marRight w:val="0"/>
      <w:marTop w:val="0"/>
      <w:marBottom w:val="0"/>
      <w:divBdr>
        <w:top w:val="none" w:sz="0" w:space="0" w:color="auto"/>
        <w:left w:val="none" w:sz="0" w:space="0" w:color="auto"/>
        <w:bottom w:val="none" w:sz="0" w:space="0" w:color="auto"/>
        <w:right w:val="none" w:sz="0" w:space="0" w:color="auto"/>
      </w:divBdr>
    </w:div>
    <w:div w:id="1690451447">
      <w:bodyDiv w:val="1"/>
      <w:marLeft w:val="0"/>
      <w:marRight w:val="0"/>
      <w:marTop w:val="0"/>
      <w:marBottom w:val="0"/>
      <w:divBdr>
        <w:top w:val="none" w:sz="0" w:space="0" w:color="auto"/>
        <w:left w:val="none" w:sz="0" w:space="0" w:color="auto"/>
        <w:bottom w:val="none" w:sz="0" w:space="0" w:color="auto"/>
        <w:right w:val="none" w:sz="0" w:space="0" w:color="auto"/>
      </w:divBdr>
    </w:div>
    <w:div w:id="1733573528">
      <w:bodyDiv w:val="1"/>
      <w:marLeft w:val="0"/>
      <w:marRight w:val="0"/>
      <w:marTop w:val="0"/>
      <w:marBottom w:val="0"/>
      <w:divBdr>
        <w:top w:val="none" w:sz="0" w:space="0" w:color="auto"/>
        <w:left w:val="none" w:sz="0" w:space="0" w:color="auto"/>
        <w:bottom w:val="none" w:sz="0" w:space="0" w:color="auto"/>
        <w:right w:val="none" w:sz="0" w:space="0" w:color="auto"/>
      </w:divBdr>
    </w:div>
    <w:div w:id="1823891665">
      <w:bodyDiv w:val="1"/>
      <w:marLeft w:val="0"/>
      <w:marRight w:val="0"/>
      <w:marTop w:val="0"/>
      <w:marBottom w:val="0"/>
      <w:divBdr>
        <w:top w:val="none" w:sz="0" w:space="0" w:color="auto"/>
        <w:left w:val="none" w:sz="0" w:space="0" w:color="auto"/>
        <w:bottom w:val="none" w:sz="0" w:space="0" w:color="auto"/>
        <w:right w:val="none" w:sz="0" w:space="0" w:color="auto"/>
      </w:divBdr>
    </w:div>
    <w:div w:id="1843467731">
      <w:bodyDiv w:val="1"/>
      <w:marLeft w:val="0"/>
      <w:marRight w:val="0"/>
      <w:marTop w:val="0"/>
      <w:marBottom w:val="0"/>
      <w:divBdr>
        <w:top w:val="none" w:sz="0" w:space="0" w:color="auto"/>
        <w:left w:val="none" w:sz="0" w:space="0" w:color="auto"/>
        <w:bottom w:val="none" w:sz="0" w:space="0" w:color="auto"/>
        <w:right w:val="none" w:sz="0" w:space="0" w:color="auto"/>
      </w:divBdr>
    </w:div>
    <w:div w:id="1980917890">
      <w:bodyDiv w:val="1"/>
      <w:marLeft w:val="0"/>
      <w:marRight w:val="0"/>
      <w:marTop w:val="0"/>
      <w:marBottom w:val="0"/>
      <w:divBdr>
        <w:top w:val="none" w:sz="0" w:space="0" w:color="auto"/>
        <w:left w:val="none" w:sz="0" w:space="0" w:color="auto"/>
        <w:bottom w:val="none" w:sz="0" w:space="0" w:color="auto"/>
        <w:right w:val="none" w:sz="0" w:space="0" w:color="auto"/>
      </w:divBdr>
    </w:div>
    <w:div w:id="2048722324">
      <w:bodyDiv w:val="1"/>
      <w:marLeft w:val="0"/>
      <w:marRight w:val="0"/>
      <w:marTop w:val="0"/>
      <w:marBottom w:val="0"/>
      <w:divBdr>
        <w:top w:val="none" w:sz="0" w:space="0" w:color="auto"/>
        <w:left w:val="none" w:sz="0" w:space="0" w:color="auto"/>
        <w:bottom w:val="none" w:sz="0" w:space="0" w:color="auto"/>
        <w:right w:val="none" w:sz="0" w:space="0" w:color="auto"/>
      </w:divBdr>
    </w:div>
    <w:div w:id="2065831921">
      <w:bodyDiv w:val="1"/>
      <w:marLeft w:val="0"/>
      <w:marRight w:val="0"/>
      <w:marTop w:val="0"/>
      <w:marBottom w:val="0"/>
      <w:divBdr>
        <w:top w:val="none" w:sz="0" w:space="0" w:color="auto"/>
        <w:left w:val="none" w:sz="0" w:space="0" w:color="auto"/>
        <w:bottom w:val="none" w:sz="0" w:space="0" w:color="auto"/>
        <w:right w:val="none" w:sz="0" w:space="0" w:color="auto"/>
      </w:divBdr>
    </w:div>
    <w:div w:id="20736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entor.ieee.org/802.11/dcn/20/11-20-1887-05-00bd-tgbd-lb251-comment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66DEF-9DA4-4416-843D-AF63E2F7A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802.11-21/0171r0</vt:lpstr>
    </vt:vector>
  </TitlesOfParts>
  <Company>Some Company</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802.11-21/0171r0</dc:title>
  <dc:subject>Submission</dc:subject>
  <dc:creator>Levy, Joseph</dc:creator>
  <cp:keywords>March 2021</cp:keywords>
  <dc:description>Joseph Levy (InterDigital)</dc:description>
  <cp:lastModifiedBy>Joseph Levy</cp:lastModifiedBy>
  <cp:revision>247</cp:revision>
  <cp:lastPrinted>1900-01-01T05:00:00Z</cp:lastPrinted>
  <dcterms:created xsi:type="dcterms:W3CDTF">2021-01-28T21:26:00Z</dcterms:created>
  <dcterms:modified xsi:type="dcterms:W3CDTF">2021-03-09T06:57:00Z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