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LB251 C</w:t>
            </w:r>
            <w:r w:rsidR="00847C90">
              <w:t xml:space="preserve">omment </w:t>
            </w:r>
            <w:r w:rsidRPr="00F57FD7">
              <w:t>R</w:t>
            </w:r>
            <w:r w:rsidR="00847C90">
              <w:t>esolution for 11bd D1.0</w:t>
            </w:r>
            <w:r w:rsidRPr="00F57FD7">
              <w:t xml:space="preserve"> Clause 4 General descrip</w:t>
            </w:r>
            <w:r>
              <w:t>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E87F5A">
              <w:rPr>
                <w:b w:val="0"/>
                <w:sz w:val="20"/>
              </w:rPr>
              <w:t>2</w:t>
            </w:r>
            <w:r>
              <w:rPr>
                <w:b w:val="0"/>
                <w:sz w:val="20"/>
              </w:rPr>
              <w:t>-</w:t>
            </w:r>
            <w:r w:rsidR="00E87F5A">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17782B">
                              <w:rPr>
                                <w:highlight w:val="cyan"/>
                              </w:rPr>
                              <w:t>1001, 1013, 1014, 1015, 1017, 1095, 1101, 1140, 1181, 1200, 1202, 1268, 1269, 1347, 1509, 1510, 1606, 1607,</w:t>
                            </w:r>
                            <w:r w:rsidRPr="00C36AC3">
                              <w:t xml:space="preserve"> </w:t>
                            </w:r>
                            <w:r w:rsidRPr="0017782B">
                              <w:rPr>
                                <w:highlight w:val="yellow"/>
                              </w:rPr>
                              <w:t>1608,</w:t>
                            </w:r>
                            <w:r w:rsidRPr="00C36AC3">
                              <w:t xml:space="preserve"> </w:t>
                            </w:r>
                            <w:r w:rsidRPr="0017782B">
                              <w:rPr>
                                <w:highlight w:val="cyan"/>
                              </w:rPr>
                              <w:t>1609, 1737, 1738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p w:rsidR="00DA0FAC" w:rsidRDefault="00DA0FAC" w:rsidP="00F57FD7">
                            <w:pPr>
                              <w:pStyle w:val="ListParagraph"/>
                              <w:numPr>
                                <w:ilvl w:val="0"/>
                                <w:numId w:val="1"/>
                              </w:numPr>
                              <w:jc w:val="both"/>
                            </w:pPr>
                            <w:r>
                              <w:t xml:space="preserve">Rev 3: </w:t>
                            </w:r>
                            <w:proofErr w:type="spellStart"/>
                            <w:r>
                              <w:t>Incuded</w:t>
                            </w:r>
                            <w:proofErr w:type="spellEnd"/>
                            <w:r>
                              <w:t xml:space="preserve"> changes due to discussion of CID 1269, 1001, 1140</w:t>
                            </w:r>
                          </w:p>
                          <w:p w:rsidR="00855248" w:rsidRDefault="00974449" w:rsidP="00974449">
                            <w:pPr>
                              <w:pStyle w:val="ListParagraph"/>
                              <w:numPr>
                                <w:ilvl w:val="0"/>
                                <w:numId w:val="1"/>
                              </w:numPr>
                              <w:jc w:val="both"/>
                              <w:rPr>
                                <w:color w:val="000000" w:themeColor="text1"/>
                              </w:rPr>
                            </w:pPr>
                            <w:r w:rsidRPr="00974449">
                              <w:rPr>
                                <w:color w:val="000000" w:themeColor="text1"/>
                              </w:rPr>
                              <w:t>Rev 4:</w:t>
                            </w:r>
                            <w:r>
                              <w:rPr>
                                <w:color w:val="000000" w:themeColor="text1"/>
                              </w:rPr>
                              <w:t xml:space="preserve"> Updated links and highlighted discussed CIDs 1509, 1014, 1015, 1347, 1200, 1606</w:t>
                            </w:r>
                          </w:p>
                          <w:p w:rsidR="00D65EA7" w:rsidRPr="00974449" w:rsidRDefault="00D65EA7" w:rsidP="00974449">
                            <w:pPr>
                              <w:pStyle w:val="ListParagraph"/>
                              <w:numPr>
                                <w:ilvl w:val="0"/>
                                <w:numId w:val="1"/>
                              </w:numPr>
                              <w:jc w:val="both"/>
                              <w:rPr>
                                <w:color w:val="000000" w:themeColor="text1"/>
                              </w:rPr>
                            </w:pPr>
                            <w:r>
                              <w:rPr>
                                <w:color w:val="000000" w:themeColor="text1"/>
                              </w:rPr>
                              <w:t xml:space="preserve">Rev 5: Updated links and </w:t>
                            </w:r>
                            <w:r w:rsidR="0017782B">
                              <w:rPr>
                                <w:color w:val="000000" w:themeColor="text1"/>
                              </w:rPr>
                              <w:t>all comments except for CID 1608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17782B">
                        <w:rPr>
                          <w:highlight w:val="cyan"/>
                        </w:rPr>
                        <w:t>1001, 1013, 1014, 1015, 1017, 1095, 1101, 1140, 1181, 1200, 1202, 1268, 1269, 1347, 1509, 1510, 1606, 1607,</w:t>
                      </w:r>
                      <w:r w:rsidRPr="00C36AC3">
                        <w:t xml:space="preserve"> </w:t>
                      </w:r>
                      <w:r w:rsidRPr="0017782B">
                        <w:rPr>
                          <w:highlight w:val="yellow"/>
                        </w:rPr>
                        <w:t>1608,</w:t>
                      </w:r>
                      <w:r w:rsidRPr="00C36AC3">
                        <w:t xml:space="preserve"> </w:t>
                      </w:r>
                      <w:r w:rsidRPr="0017782B">
                        <w:rPr>
                          <w:highlight w:val="cyan"/>
                        </w:rPr>
                        <w:t>1609, 1737, 1738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p w:rsidR="00DA0FAC" w:rsidRDefault="00DA0FAC" w:rsidP="00F57FD7">
                      <w:pPr>
                        <w:pStyle w:val="ListParagraph"/>
                        <w:numPr>
                          <w:ilvl w:val="0"/>
                          <w:numId w:val="1"/>
                        </w:numPr>
                        <w:jc w:val="both"/>
                      </w:pPr>
                      <w:r>
                        <w:t xml:space="preserve">Rev 3: </w:t>
                      </w:r>
                      <w:proofErr w:type="spellStart"/>
                      <w:r>
                        <w:t>Incuded</w:t>
                      </w:r>
                      <w:proofErr w:type="spellEnd"/>
                      <w:r>
                        <w:t xml:space="preserve"> changes due to discussion of CID 1269, 1001, 1140</w:t>
                      </w:r>
                    </w:p>
                    <w:p w:rsidR="00855248" w:rsidRDefault="00974449" w:rsidP="00974449">
                      <w:pPr>
                        <w:pStyle w:val="ListParagraph"/>
                        <w:numPr>
                          <w:ilvl w:val="0"/>
                          <w:numId w:val="1"/>
                        </w:numPr>
                        <w:jc w:val="both"/>
                        <w:rPr>
                          <w:color w:val="000000" w:themeColor="text1"/>
                        </w:rPr>
                      </w:pPr>
                      <w:r w:rsidRPr="00974449">
                        <w:rPr>
                          <w:color w:val="000000" w:themeColor="text1"/>
                        </w:rPr>
                        <w:t>Rev 4:</w:t>
                      </w:r>
                      <w:r>
                        <w:rPr>
                          <w:color w:val="000000" w:themeColor="text1"/>
                        </w:rPr>
                        <w:t xml:space="preserve"> Updated links and highlighted discussed CIDs 1509, 1014, 1015, 1347, 1200, 1606</w:t>
                      </w:r>
                    </w:p>
                    <w:p w:rsidR="00D65EA7" w:rsidRPr="00974449" w:rsidRDefault="00D65EA7" w:rsidP="00974449">
                      <w:pPr>
                        <w:pStyle w:val="ListParagraph"/>
                        <w:numPr>
                          <w:ilvl w:val="0"/>
                          <w:numId w:val="1"/>
                        </w:numPr>
                        <w:jc w:val="both"/>
                        <w:rPr>
                          <w:color w:val="000000" w:themeColor="text1"/>
                        </w:rPr>
                      </w:pPr>
                      <w:r>
                        <w:rPr>
                          <w:color w:val="000000" w:themeColor="text1"/>
                        </w:rPr>
                        <w:t xml:space="preserve">Rev 5: Updated links and </w:t>
                      </w:r>
                      <w:r w:rsidR="0017782B">
                        <w:rPr>
                          <w:color w:val="000000" w:themeColor="text1"/>
                        </w:rPr>
                        <w:t>all comments except for CID 1608 resolved</w:t>
                      </w:r>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652741" w:rsidRDefault="00652741">
      <w:pPr>
        <w:rPr>
          <w:strike/>
        </w:rPr>
      </w:pPr>
      <w:r w:rsidRPr="00B2231C">
        <w:rPr>
          <w:strike/>
        </w:rPr>
        <w:t>Own comments will be addressed in separate contribution</w:t>
      </w:r>
    </w:p>
    <w:p w:rsidR="00B2231C" w:rsidRDefault="00B2231C">
      <w:pPr>
        <w:rPr>
          <w:highlight w:val="cyan"/>
        </w:rPr>
      </w:pPr>
      <w:r w:rsidRPr="00B2231C">
        <w:rPr>
          <w:highlight w:val="cyan"/>
        </w:rPr>
        <w:t>Presented and discussed, no open discussion points</w:t>
      </w:r>
    </w:p>
    <w:p w:rsidR="00B2231C" w:rsidRPr="00B2231C" w:rsidRDefault="00B2231C">
      <w:r w:rsidRPr="00B2231C">
        <w:rPr>
          <w:highlight w:val="yellow"/>
        </w:rPr>
        <w:t>Under discussion</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35"/>
        <w:gridCol w:w="2016"/>
        <w:gridCol w:w="2104"/>
        <w:gridCol w:w="3810"/>
      </w:tblGrid>
      <w:tr w:rsidR="00DA4975" w:rsidRPr="00F33A98" w:rsidTr="001D7CE6">
        <w:trPr>
          <w:trHeight w:val="189"/>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447"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078"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125"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2037"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7640C8" w:rsidTr="001D7CE6">
        <w:tblPrEx>
          <w:tblCellMar>
            <w:left w:w="70" w:type="dxa"/>
            <w:right w:w="70" w:type="dxa"/>
          </w:tblCellMar>
        </w:tblPrEx>
        <w:trPr>
          <w:trHeight w:val="102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1181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17.15</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some references seem to be missing here. Why only 31.3.2 on DMG STA and not 31.2?</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Please clarify</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w:t>
            </w:r>
            <w:r w:rsidR="003574E5" w:rsidRPr="00641614">
              <w:rPr>
                <w:rFonts w:ascii="Arial" w:hAnsi="Arial" w:cs="Arial"/>
                <w:sz w:val="20"/>
              </w:rPr>
              <w:t>ject</w:t>
            </w:r>
          </w:p>
          <w:p w:rsidR="007640C8" w:rsidRPr="00641614" w:rsidRDefault="007640C8" w:rsidP="00C344FC">
            <w:pPr>
              <w:rPr>
                <w:rFonts w:ascii="Arial" w:hAnsi="Arial" w:cs="Arial"/>
                <w:sz w:val="20"/>
              </w:rPr>
            </w:pPr>
          </w:p>
          <w:p w:rsidR="005079A8" w:rsidRPr="00641614" w:rsidRDefault="00460F97" w:rsidP="00C344FC">
            <w:pPr>
              <w:rPr>
                <w:rFonts w:ascii="Arial" w:hAnsi="Arial" w:cs="Arial"/>
                <w:sz w:val="20"/>
              </w:rPr>
            </w:pPr>
            <w:r w:rsidRPr="00641614">
              <w:rPr>
                <w:rFonts w:ascii="Arial" w:hAnsi="Arial" w:cs="Arial"/>
                <w:sz w:val="20"/>
              </w:rPr>
              <w:t xml:space="preserve">This section addresses only STA transmission of </w:t>
            </w:r>
            <w:r w:rsidRPr="00641614">
              <w:rPr>
                <w:rFonts w:ascii="Arial" w:hAnsi="Arial" w:cs="Arial"/>
                <w:sz w:val="20"/>
                <w:u w:val="single"/>
              </w:rPr>
              <w:t>Data frames</w:t>
            </w:r>
            <w:r w:rsidRPr="00641614">
              <w:rPr>
                <w:rFonts w:ascii="Arial" w:hAnsi="Arial" w:cs="Arial"/>
                <w:sz w:val="20"/>
              </w:rPr>
              <w:t xml:space="preserve"> outside the context of a BSS. Clause 11.18 defines all control and data frame subty</w:t>
            </w:r>
            <w:r w:rsidR="00221721" w:rsidRPr="00641614">
              <w:rPr>
                <w:rFonts w:ascii="Arial" w:hAnsi="Arial" w:cs="Arial"/>
                <w:sz w:val="20"/>
              </w:rPr>
              <w:t>p</w:t>
            </w:r>
            <w:r w:rsidRPr="00641614">
              <w:rPr>
                <w:rFonts w:ascii="Arial" w:hAnsi="Arial" w:cs="Arial"/>
                <w:sz w:val="20"/>
              </w:rPr>
              <w:t xml:space="preserve">es an NGV STA may transmit. As agreed in contribution </w:t>
            </w:r>
            <w:hyperlink r:id="rId8" w:history="1">
              <w:r w:rsidRPr="00641614">
                <w:rPr>
                  <w:rStyle w:val="Hyperlink"/>
                  <w:rFonts w:ascii="Arial" w:hAnsi="Arial" w:cs="Arial"/>
                  <w:sz w:val="20"/>
                </w:rPr>
                <w:t>https://mentor.ieee.org/802.11/dcn/21/11-21-0044-03-00bd-lb251-cids-related-to-dmg-sta-with-ocb-operation.docx</w:t>
              </w:r>
            </w:hyperlink>
            <w:r w:rsidR="00221721" w:rsidRPr="00641614">
              <w:rPr>
                <w:rFonts w:ascii="Arial" w:hAnsi="Arial" w:cs="Arial"/>
                <w:sz w:val="20"/>
              </w:rPr>
              <w:t>,</w:t>
            </w:r>
            <w:r w:rsidRPr="00641614">
              <w:rPr>
                <w:rFonts w:ascii="Arial" w:hAnsi="Arial" w:cs="Arial"/>
                <w:sz w:val="20"/>
              </w:rPr>
              <w:t xml:space="preserve"> </w:t>
            </w:r>
            <w:r w:rsidR="00221721" w:rsidRPr="00641614">
              <w:rPr>
                <w:rFonts w:ascii="Arial" w:hAnsi="Arial" w:cs="Arial"/>
                <w:sz w:val="20"/>
              </w:rPr>
              <w:t xml:space="preserve">all control and data frame subtypes for </w:t>
            </w:r>
            <w:r w:rsidRPr="00641614">
              <w:rPr>
                <w:rFonts w:ascii="Arial" w:hAnsi="Arial" w:cs="Arial"/>
                <w:sz w:val="20"/>
              </w:rPr>
              <w:t xml:space="preserve">a DMG STA (60 GHz band) operating OCB </w:t>
            </w:r>
            <w:r w:rsidR="00221721" w:rsidRPr="00641614">
              <w:rPr>
                <w:rFonts w:ascii="Arial" w:hAnsi="Arial" w:cs="Arial"/>
                <w:sz w:val="20"/>
              </w:rPr>
              <w:t>are now defined in Clause 11.18.</w:t>
            </w:r>
          </w:p>
          <w:p w:rsidR="00221721" w:rsidRPr="00641614" w:rsidRDefault="00221721" w:rsidP="00C344FC">
            <w:pPr>
              <w:rPr>
                <w:rFonts w:ascii="Arial" w:hAnsi="Arial" w:cs="Arial"/>
                <w:sz w:val="20"/>
              </w:rPr>
            </w:pPr>
            <w:r w:rsidRPr="00641614">
              <w:rPr>
                <w:rFonts w:ascii="Arial" w:hAnsi="Arial" w:cs="Arial"/>
                <w:sz w:val="20"/>
              </w:rPr>
              <w:t xml:space="preserve">Hence the change to the NOTE after the first paragraph on P17L11-L16 </w:t>
            </w:r>
            <w:r w:rsidR="009703E3" w:rsidRPr="00641614">
              <w:rPr>
                <w:rFonts w:ascii="Arial" w:hAnsi="Arial" w:cs="Arial"/>
                <w:sz w:val="20"/>
              </w:rPr>
              <w:t>will be removed.</w:t>
            </w:r>
          </w:p>
          <w:p w:rsidR="00337E4E" w:rsidRPr="00641614" w:rsidRDefault="00337E4E" w:rsidP="00C344FC">
            <w:pPr>
              <w:rPr>
                <w:rFonts w:ascii="Arial" w:hAnsi="Arial" w:cs="Arial"/>
                <w:sz w:val="20"/>
              </w:rPr>
            </w:pPr>
          </w:p>
          <w:p w:rsidR="00221721" w:rsidRPr="00641614" w:rsidRDefault="00221721" w:rsidP="0022172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37E4E" w:rsidRPr="00641614" w:rsidRDefault="00221721" w:rsidP="0022172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9"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561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1013</w:t>
            </w:r>
          </w:p>
        </w:tc>
        <w:tc>
          <w:tcPr>
            <w:tcW w:w="447" w:type="pct"/>
            <w:shd w:val="clear" w:color="auto" w:fill="auto"/>
            <w:hideMark/>
          </w:tcPr>
          <w:p w:rsidR="007640C8" w:rsidRPr="00641614" w:rsidRDefault="007640C8" w:rsidP="00DA4975">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Sentence mentions that these STAs are typically used in vehicular environments and also says while operating outside of the context of a BSS. Many questions: Do these STAs typically operate within the context of a BSS if not in vehicular environments? What is a vehicular environment? Perhaps we need a definition for it. </w:t>
            </w:r>
            <w:proofErr w:type="gramStart"/>
            <w:r w:rsidRPr="00641614">
              <w:rPr>
                <w:rFonts w:ascii="Arial" w:hAnsi="Arial" w:cs="Arial"/>
                <w:sz w:val="20"/>
              </w:rPr>
              <w:t>Also</w:t>
            </w:r>
            <w:proofErr w:type="gramEnd"/>
            <w:r w:rsidRPr="00641614">
              <w:rPr>
                <w:rFonts w:ascii="Arial" w:hAnsi="Arial" w:cs="Arial"/>
                <w:sz w:val="20"/>
              </w:rPr>
              <w:t xml:space="preserve"> if they are typically used in these environments then do they non-typically operate in other environments? In addition, the sentence calls out data. Can the STAs also exchange other </w:t>
            </w:r>
            <w:r w:rsidRPr="00641614">
              <w:rPr>
                <w:rFonts w:ascii="Arial" w:hAnsi="Arial" w:cs="Arial"/>
                <w:sz w:val="20"/>
              </w:rPr>
              <w:lastRenderedPageBreak/>
              <w:t>types of frames such as Control, MGMT and so on?</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 xml:space="preserve">As in comment. </w:t>
            </w:r>
            <w:proofErr w:type="gramStart"/>
            <w:r w:rsidRPr="00641614">
              <w:rPr>
                <w:rFonts w:ascii="Arial" w:hAnsi="Arial" w:cs="Arial"/>
                <w:sz w:val="20"/>
              </w:rPr>
              <w:t>Also</w:t>
            </w:r>
            <w:proofErr w:type="gramEnd"/>
            <w:r w:rsidRPr="00641614">
              <w:rPr>
                <w:rFonts w:ascii="Arial" w:hAnsi="Arial" w:cs="Arial"/>
                <w:sz w:val="20"/>
              </w:rPr>
              <w:t xml:space="preserve"> there is a typo "</w:t>
            </w:r>
            <w:proofErr w:type="spellStart"/>
            <w:r w:rsidRPr="00641614">
              <w:rPr>
                <w:rFonts w:ascii="Arial" w:hAnsi="Arial" w:cs="Arial"/>
                <w:sz w:val="20"/>
              </w:rPr>
              <w:t>recieve</w:t>
            </w:r>
            <w:proofErr w:type="spellEnd"/>
            <w:r w:rsidRPr="00641614">
              <w:rPr>
                <w:rFonts w:ascii="Arial" w:hAnsi="Arial" w:cs="Arial"/>
                <w:sz w:val="20"/>
              </w:rPr>
              <w:t>".</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0570EB" w:rsidRPr="00641614" w:rsidRDefault="000570EB" w:rsidP="00C344FC">
            <w:pPr>
              <w:rPr>
                <w:rFonts w:ascii="Arial" w:hAnsi="Arial" w:cs="Arial"/>
                <w:sz w:val="20"/>
              </w:rPr>
            </w:pPr>
          </w:p>
          <w:p w:rsidR="00480B6B" w:rsidRPr="00641614" w:rsidRDefault="000570EB" w:rsidP="00C344FC">
            <w:pPr>
              <w:rPr>
                <w:rFonts w:ascii="Arial" w:hAnsi="Arial" w:cs="Arial"/>
                <w:sz w:val="20"/>
              </w:rPr>
            </w:pPr>
            <w:r w:rsidRPr="00641614">
              <w:rPr>
                <w:rFonts w:ascii="Arial" w:hAnsi="Arial" w:cs="Arial"/>
                <w:sz w:val="20"/>
              </w:rPr>
              <w:t xml:space="preserve">In principle agree with the comment. </w:t>
            </w:r>
            <w:r w:rsidR="00480B6B" w:rsidRPr="00641614">
              <w:rPr>
                <w:rFonts w:ascii="Arial" w:hAnsi="Arial" w:cs="Arial"/>
                <w:sz w:val="20"/>
              </w:rPr>
              <w:t>Hence</w:t>
            </w:r>
            <w:r w:rsidR="00641614" w:rsidRPr="00641614">
              <w:rPr>
                <w:rFonts w:ascii="Arial" w:hAnsi="Arial" w:cs="Arial"/>
                <w:sz w:val="20"/>
              </w:rPr>
              <w:t>,</w:t>
            </w:r>
            <w:r w:rsidR="00480B6B" w:rsidRPr="00641614">
              <w:rPr>
                <w:rFonts w:ascii="Arial" w:hAnsi="Arial" w:cs="Arial"/>
                <w:sz w:val="20"/>
              </w:rPr>
              <w:t xml:space="preserve"> we propose to rewrite the sentence</w:t>
            </w:r>
            <w:r w:rsidR="00CA1475" w:rsidRPr="00641614">
              <w:rPr>
                <w:rFonts w:ascii="Arial" w:hAnsi="Arial" w:cs="Arial"/>
                <w:sz w:val="20"/>
              </w:rPr>
              <w:t xml:space="preserve"> as: </w:t>
            </w:r>
            <w:r w:rsidR="00CA1475" w:rsidRPr="00641614">
              <w:rPr>
                <w:rFonts w:ascii="Arial" w:hAnsi="Arial" w:cs="Arial"/>
                <w:sz w:val="20"/>
              </w:rPr>
              <w:br/>
              <w:t>NGV STAs</w:t>
            </w:r>
            <w:r w:rsidR="000D3551">
              <w:rPr>
                <w:rFonts w:ascii="Arial" w:hAnsi="Arial" w:cs="Arial"/>
                <w:sz w:val="20"/>
              </w:rPr>
              <w:t xml:space="preserve"> are capable of</w:t>
            </w:r>
            <w:r w:rsidR="00CA1475" w:rsidRPr="00641614">
              <w:rPr>
                <w:rFonts w:ascii="Arial" w:hAnsi="Arial" w:cs="Arial"/>
                <w:sz w:val="20"/>
              </w:rPr>
              <w:t xml:space="preserve"> transmit</w:t>
            </w:r>
            <w:r w:rsidR="000D3551">
              <w:rPr>
                <w:rFonts w:ascii="Arial" w:hAnsi="Arial" w:cs="Arial"/>
                <w:sz w:val="20"/>
              </w:rPr>
              <w:t>ting</w:t>
            </w:r>
            <w:r w:rsidR="00CA1475" w:rsidRPr="00641614">
              <w:rPr>
                <w:rFonts w:ascii="Arial" w:hAnsi="Arial" w:cs="Arial"/>
                <w:sz w:val="20"/>
              </w:rPr>
              <w:t xml:space="preserve"> and receiv</w:t>
            </w:r>
            <w:r w:rsidR="00162F52">
              <w:rPr>
                <w:rFonts w:ascii="Arial" w:hAnsi="Arial" w:cs="Arial"/>
                <w:sz w:val="20"/>
              </w:rPr>
              <w:t>ing</w:t>
            </w:r>
            <w:r w:rsidR="00CA1475" w:rsidRPr="00641614">
              <w:rPr>
                <w:rFonts w:ascii="Arial" w:hAnsi="Arial" w:cs="Arial"/>
                <w:sz w:val="20"/>
              </w:rPr>
              <w:t xml:space="preserve"> frames </w:t>
            </w:r>
            <w:r w:rsidR="00162F52">
              <w:rPr>
                <w:rFonts w:ascii="Arial" w:hAnsi="Arial" w:cs="Arial"/>
                <w:sz w:val="20"/>
              </w:rPr>
              <w:t>outside the context of a BSS</w:t>
            </w:r>
            <w:r w:rsidR="003574E5" w:rsidRPr="00641614">
              <w:rPr>
                <w:rFonts w:ascii="Arial" w:hAnsi="Arial" w:cs="Arial"/>
                <w:sz w:val="20"/>
              </w:rPr>
              <w:t xml:space="preserve"> (dot11OCBActivated is true) </w:t>
            </w:r>
            <w:r w:rsidR="00CA1475" w:rsidRPr="00641614">
              <w:rPr>
                <w:rFonts w:ascii="Arial" w:hAnsi="Arial" w:cs="Arial"/>
                <w:sz w:val="20"/>
              </w:rPr>
              <w:t>as specified in 11.18 (STAs communicating Data frames outside the context of a BSS).</w:t>
            </w:r>
          </w:p>
          <w:p w:rsidR="00891A80" w:rsidRPr="00641614" w:rsidRDefault="00891A80" w:rsidP="00891A80">
            <w:pPr>
              <w:rPr>
                <w:rFonts w:ascii="Arial" w:hAnsi="Arial" w:cs="Arial"/>
                <w:sz w:val="20"/>
              </w:rPr>
            </w:pPr>
          </w:p>
          <w:p w:rsidR="00891A80" w:rsidRPr="00641614" w:rsidRDefault="00891A80" w:rsidP="00891A80">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891A80" w:rsidRDefault="00891A80" w:rsidP="00891A80">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0"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1101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Thought I saw an e-mail from Dorothy that in </w:t>
            </w:r>
            <w:proofErr w:type="spellStart"/>
            <w:r w:rsidRPr="00641614">
              <w:rPr>
                <w:rFonts w:ascii="Arial" w:hAnsi="Arial" w:cs="Arial"/>
                <w:sz w:val="20"/>
              </w:rPr>
              <w:t>TGmd</w:t>
            </w:r>
            <w:proofErr w:type="spellEnd"/>
            <w:r w:rsidRPr="00641614">
              <w:rPr>
                <w:rFonts w:ascii="Arial" w:hAnsi="Arial" w:cs="Arial"/>
                <w:sz w:val="20"/>
              </w:rPr>
              <w:t>, the terms "unicast" and multicast are being replaced.</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check to see if this term is officially being changed. If so, please see if this draft amendment needs to be consistent with </w:t>
            </w:r>
            <w:proofErr w:type="spellStart"/>
            <w:r w:rsidRPr="00641614">
              <w:rPr>
                <w:rFonts w:ascii="Arial" w:hAnsi="Arial" w:cs="Arial"/>
                <w:sz w:val="20"/>
              </w:rPr>
              <w:t>TGmd</w:t>
            </w:r>
            <w:proofErr w:type="spellEnd"/>
            <w:r w:rsidRPr="00641614">
              <w:rPr>
                <w:rFonts w:ascii="Arial" w:hAnsi="Arial" w:cs="Arial"/>
                <w:sz w:val="20"/>
              </w:rPr>
              <w:t xml:space="preserve"> and make the appropriate changes throughout the document.</w:t>
            </w:r>
          </w:p>
        </w:tc>
        <w:tc>
          <w:tcPr>
            <w:tcW w:w="2037" w:type="pct"/>
          </w:tcPr>
          <w:p w:rsidR="007640C8" w:rsidRPr="00641614" w:rsidRDefault="006B6CAF"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6B6CAF" w:rsidRPr="00641614" w:rsidRDefault="006B6CAF" w:rsidP="00C344FC">
            <w:pPr>
              <w:rPr>
                <w:rFonts w:ascii="Arial" w:hAnsi="Arial" w:cs="Arial"/>
                <w:sz w:val="20"/>
              </w:rPr>
            </w:pPr>
          </w:p>
          <w:p w:rsidR="006B6CAF" w:rsidRPr="00641614" w:rsidRDefault="002B0CE6" w:rsidP="00C344FC">
            <w:pPr>
              <w:rPr>
                <w:rFonts w:ascii="Arial" w:hAnsi="Arial" w:cs="Arial"/>
                <w:sz w:val="20"/>
              </w:rPr>
            </w:pPr>
            <w:r w:rsidRPr="00641614">
              <w:rPr>
                <w:rFonts w:ascii="Arial" w:hAnsi="Arial" w:cs="Arial"/>
                <w:sz w:val="20"/>
              </w:rPr>
              <w:t xml:space="preserve">Agree </w:t>
            </w:r>
            <w:r w:rsidR="00D22211" w:rsidRPr="00641614">
              <w:rPr>
                <w:rFonts w:ascii="Arial" w:hAnsi="Arial" w:cs="Arial"/>
                <w:sz w:val="20"/>
              </w:rPr>
              <w:t xml:space="preserve">in principle on the comment. </w:t>
            </w:r>
            <w:proofErr w:type="spellStart"/>
            <w:r w:rsidR="00D22211" w:rsidRPr="00641614">
              <w:rPr>
                <w:rFonts w:ascii="Arial" w:hAnsi="Arial" w:cs="Arial"/>
                <w:sz w:val="20"/>
              </w:rPr>
              <w:t>R</w:t>
            </w:r>
            <w:r w:rsidR="003A7996" w:rsidRPr="00641614">
              <w:rPr>
                <w:rFonts w:ascii="Arial" w:hAnsi="Arial" w:cs="Arial"/>
                <w:sz w:val="20"/>
              </w:rPr>
              <w:t>EV</w:t>
            </w:r>
            <w:r w:rsidR="00D22211" w:rsidRPr="00641614">
              <w:rPr>
                <w:rFonts w:ascii="Arial" w:hAnsi="Arial" w:cs="Arial"/>
                <w:sz w:val="20"/>
              </w:rPr>
              <w:t>md</w:t>
            </w:r>
            <w:proofErr w:type="spellEnd"/>
            <w:r w:rsidR="00D22211" w:rsidRPr="00641614">
              <w:rPr>
                <w:rFonts w:ascii="Arial" w:hAnsi="Arial" w:cs="Arial"/>
                <w:sz w:val="20"/>
              </w:rPr>
              <w:t xml:space="preserve"> 5.0 uses instead of “unicast”, “unicast address”, “multicast”, and “multicast address” </w:t>
            </w:r>
            <w:r w:rsidR="000570EB" w:rsidRPr="00641614">
              <w:rPr>
                <w:rFonts w:ascii="Arial" w:hAnsi="Arial" w:cs="Arial"/>
                <w:sz w:val="20"/>
              </w:rPr>
              <w:t xml:space="preserve">the terms </w:t>
            </w:r>
            <w:r w:rsidR="00D22211" w:rsidRPr="00641614">
              <w:rPr>
                <w:rFonts w:ascii="Arial" w:hAnsi="Arial" w:cs="Arial"/>
                <w:sz w:val="20"/>
              </w:rPr>
              <w:t>“individually addressed”, “individual address”, “group addressed”, and “group address”. However, “broadcast” and “broadcast address” are still used.</w:t>
            </w:r>
          </w:p>
          <w:p w:rsidR="002B0CE6" w:rsidRPr="00641614" w:rsidRDefault="002B0CE6" w:rsidP="00C344FC">
            <w:pPr>
              <w:rPr>
                <w:rFonts w:ascii="Arial" w:hAnsi="Arial" w:cs="Arial"/>
                <w:sz w:val="20"/>
              </w:rPr>
            </w:pPr>
          </w:p>
          <w:p w:rsidR="00D22211" w:rsidRPr="00641614" w:rsidRDefault="00D22211" w:rsidP="00D2221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2B0CE6" w:rsidRPr="00641614" w:rsidRDefault="00D22211" w:rsidP="00D2221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replace “unicast” with “individually addressed” throughout IEEE P802.11bd D1.0</w:t>
            </w:r>
          </w:p>
        </w:tc>
      </w:tr>
      <w:tr w:rsidR="007640C8" w:rsidTr="001D7CE6">
        <w:tblPrEx>
          <w:tblCellMar>
            <w:left w:w="70" w:type="dxa"/>
            <w:right w:w="70" w:type="dxa"/>
          </w:tblCellMar>
        </w:tblPrEx>
        <w:trPr>
          <w:trHeight w:val="4335"/>
        </w:trPr>
        <w:tc>
          <w:tcPr>
            <w:tcW w:w="313" w:type="pct"/>
            <w:shd w:val="clear" w:color="auto" w:fill="auto"/>
            <w:hideMark/>
          </w:tcPr>
          <w:p w:rsidR="007640C8" w:rsidRPr="00B2231C" w:rsidRDefault="007640C8" w:rsidP="00C344FC">
            <w:pPr>
              <w:jc w:val="right"/>
              <w:rPr>
                <w:rFonts w:ascii="Arial" w:hAnsi="Arial" w:cs="Arial"/>
                <w:sz w:val="20"/>
                <w:highlight w:val="cyan"/>
              </w:rPr>
            </w:pPr>
            <w:r w:rsidRPr="00B2231C">
              <w:rPr>
                <w:rFonts w:ascii="Arial" w:hAnsi="Arial" w:cs="Arial"/>
                <w:sz w:val="20"/>
                <w:highlight w:val="cyan"/>
              </w:rPr>
              <w:t>1268</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The text could be clearer as it seems to indicate that NGV STAs are only typically operate OCB.  While NGV STAs are typically used in a vehicular environment, I believe they are always </w:t>
            </w:r>
            <w:proofErr w:type="gramStart"/>
            <w:r w:rsidRPr="00641614">
              <w:rPr>
                <w:rFonts w:ascii="Arial" w:hAnsi="Arial" w:cs="Arial"/>
                <w:sz w:val="20"/>
              </w:rPr>
              <w:t>operate</w:t>
            </w:r>
            <w:proofErr w:type="gramEnd"/>
            <w:r w:rsidRPr="00641614">
              <w:rPr>
                <w:rFonts w:ascii="Arial" w:hAnsi="Arial" w:cs="Arial"/>
                <w:sz w:val="20"/>
              </w:rPr>
              <w:t xml:space="preserve"> OCB.  (This doesn't mean a device containing an NGV STA cannot connect associate with a BSS using a "non-NGV" STA, just that the NGV STA does </w:t>
            </w:r>
            <w:r w:rsidRPr="00641614">
              <w:rPr>
                <w:rFonts w:ascii="Arial" w:hAnsi="Arial" w:cs="Arial"/>
                <w:sz w:val="20"/>
              </w:rPr>
              <w:lastRenderedPageBreak/>
              <w:t>not make such associations.)</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Change:</w:t>
            </w:r>
            <w:r w:rsidRPr="00641614">
              <w:rPr>
                <w:rFonts w:ascii="Arial" w:hAnsi="Arial" w:cs="Arial"/>
                <w:sz w:val="20"/>
              </w:rPr>
              <w:br/>
              <w:t>"NGV STAs are typically used in vehicular environments to transmit and receive broadcast and unicast data frames while operating outside the context of a BSS (OCB)."</w:t>
            </w:r>
            <w:r w:rsidRPr="00641614">
              <w:rPr>
                <w:rFonts w:ascii="Arial" w:hAnsi="Arial" w:cs="Arial"/>
                <w:sz w:val="20"/>
              </w:rPr>
              <w:br/>
              <w:t>To be:</w:t>
            </w:r>
            <w:r w:rsidRPr="00641614">
              <w:rPr>
                <w:rFonts w:ascii="Arial" w:hAnsi="Arial" w:cs="Arial"/>
                <w:sz w:val="20"/>
              </w:rPr>
              <w:br/>
              <w:t xml:space="preserve">"NGV STAs are typically used in vehicular environments. NGV STAs transmit and receive broadcast and unicast data </w:t>
            </w:r>
            <w:r w:rsidRPr="00641614">
              <w:rPr>
                <w:rFonts w:ascii="Arial" w:hAnsi="Arial" w:cs="Arial"/>
                <w:sz w:val="20"/>
              </w:rPr>
              <w:lastRenderedPageBreak/>
              <w:t xml:space="preserve">frames while operating </w:t>
            </w:r>
            <w:proofErr w:type="gramStart"/>
            <w:r w:rsidRPr="00641614">
              <w:rPr>
                <w:rFonts w:ascii="Arial" w:hAnsi="Arial" w:cs="Arial"/>
                <w:sz w:val="20"/>
              </w:rPr>
              <w:t>OCB  (</w:t>
            </w:r>
            <w:bookmarkStart w:id="0" w:name="_Hlk62926282"/>
            <w:proofErr w:type="gramEnd"/>
            <w:r w:rsidRPr="00641614">
              <w:rPr>
                <w:rFonts w:ascii="Arial" w:hAnsi="Arial" w:cs="Arial"/>
                <w:sz w:val="20"/>
              </w:rPr>
              <w:t>dot11OCBActivated is true</w:t>
            </w:r>
            <w:bookmarkEnd w:id="0"/>
            <w:r w:rsidRPr="00641614">
              <w:rPr>
                <w:rFonts w:ascii="Arial" w:hAnsi="Arial" w:cs="Arial"/>
                <w:sz w:val="20"/>
              </w:rPr>
              <w:t>)."</w:t>
            </w:r>
          </w:p>
        </w:tc>
        <w:tc>
          <w:tcPr>
            <w:tcW w:w="2037" w:type="pct"/>
          </w:tcPr>
          <w:p w:rsidR="003574E5" w:rsidRPr="00641614" w:rsidRDefault="003574E5" w:rsidP="003574E5">
            <w:pPr>
              <w:rPr>
                <w:rFonts w:ascii="Arial" w:hAnsi="Arial" w:cs="Arial"/>
                <w:sz w:val="20"/>
              </w:rPr>
            </w:pPr>
            <w:r w:rsidRPr="00641614">
              <w:rPr>
                <w:rFonts w:ascii="Arial" w:hAnsi="Arial" w:cs="Arial"/>
                <w:sz w:val="20"/>
              </w:rPr>
              <w:lastRenderedPageBreak/>
              <w:t>Revised</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sz w:val="20"/>
              </w:rPr>
            </w:pPr>
            <w:r w:rsidRPr="00641614">
              <w:rPr>
                <w:rFonts w:ascii="Arial" w:hAnsi="Arial" w:cs="Arial"/>
                <w:sz w:val="20"/>
              </w:rPr>
              <w:t>In principle agree with the comment. Hence</w:t>
            </w:r>
            <w:r w:rsidR="00641614" w:rsidRPr="00641614">
              <w:rPr>
                <w:rFonts w:ascii="Arial" w:hAnsi="Arial" w:cs="Arial"/>
                <w:sz w:val="20"/>
              </w:rPr>
              <w:t>,</w:t>
            </w:r>
            <w:r w:rsidRPr="00641614">
              <w:rPr>
                <w:rFonts w:ascii="Arial" w:hAnsi="Arial" w:cs="Arial"/>
                <w:sz w:val="20"/>
              </w:rPr>
              <w:t xml:space="preserve"> we propose to rewrite the sentence as: </w:t>
            </w:r>
            <w:r w:rsidRPr="00641614">
              <w:rPr>
                <w:rFonts w:ascii="Arial" w:hAnsi="Arial" w:cs="Arial"/>
                <w:sz w:val="20"/>
              </w:rPr>
              <w:br/>
            </w:r>
            <w:r w:rsidR="00162F52" w:rsidRPr="00641614">
              <w:rPr>
                <w:rFonts w:ascii="Arial" w:hAnsi="Arial" w:cs="Arial"/>
                <w:sz w:val="20"/>
              </w:rPr>
              <w:t>NGV STAs</w:t>
            </w:r>
            <w:r w:rsidR="00162F52">
              <w:rPr>
                <w:rFonts w:ascii="Arial" w:hAnsi="Arial" w:cs="Arial"/>
                <w:sz w:val="20"/>
              </w:rPr>
              <w:t xml:space="preserve"> are capable of</w:t>
            </w:r>
            <w:r w:rsidR="00162F52" w:rsidRPr="00641614">
              <w:rPr>
                <w:rFonts w:ascii="Arial" w:hAnsi="Arial" w:cs="Arial"/>
                <w:sz w:val="20"/>
              </w:rPr>
              <w:t xml:space="preserve"> transmit</w:t>
            </w:r>
            <w:r w:rsidR="00162F52">
              <w:rPr>
                <w:rFonts w:ascii="Arial" w:hAnsi="Arial" w:cs="Arial"/>
                <w:sz w:val="20"/>
              </w:rPr>
              <w:t>ting</w:t>
            </w:r>
            <w:r w:rsidR="00162F52" w:rsidRPr="00641614">
              <w:rPr>
                <w:rFonts w:ascii="Arial" w:hAnsi="Arial" w:cs="Arial"/>
                <w:sz w:val="20"/>
              </w:rPr>
              <w:t xml:space="preserve"> and receiv</w:t>
            </w:r>
            <w:r w:rsidR="00162F52">
              <w:rPr>
                <w:rFonts w:ascii="Arial" w:hAnsi="Arial" w:cs="Arial"/>
                <w:sz w:val="20"/>
              </w:rPr>
              <w:t>ing</w:t>
            </w:r>
            <w:r w:rsidR="00162F52" w:rsidRPr="00641614">
              <w:rPr>
                <w:rFonts w:ascii="Arial" w:hAnsi="Arial" w:cs="Arial"/>
                <w:sz w:val="20"/>
              </w:rPr>
              <w:t xml:space="preserve"> frames </w:t>
            </w:r>
            <w:r w:rsidR="00162F52">
              <w:rPr>
                <w:rFonts w:ascii="Arial" w:hAnsi="Arial" w:cs="Arial"/>
                <w:sz w:val="20"/>
              </w:rPr>
              <w:t>outside the context of a BSS</w:t>
            </w:r>
            <w:r w:rsidR="00162F52" w:rsidRPr="00641614">
              <w:rPr>
                <w:rFonts w:ascii="Arial" w:hAnsi="Arial" w:cs="Arial"/>
                <w:sz w:val="20"/>
              </w:rPr>
              <w:t xml:space="preserve"> (dot11OCBActivated is true) as specified in 11.18 (STAs communicating Data frames outside the context of a BSS).</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24432" w:rsidRDefault="003574E5" w:rsidP="003574E5">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1"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7650"/>
        </w:trPr>
        <w:tc>
          <w:tcPr>
            <w:tcW w:w="313" w:type="pct"/>
            <w:shd w:val="clear" w:color="auto" w:fill="auto"/>
            <w:hideMark/>
          </w:tcPr>
          <w:p w:rsidR="007640C8" w:rsidRPr="00E5034B" w:rsidRDefault="007640C8" w:rsidP="00C344FC">
            <w:pPr>
              <w:jc w:val="right"/>
              <w:rPr>
                <w:rFonts w:ascii="Arial" w:hAnsi="Arial" w:cs="Arial"/>
                <w:sz w:val="20"/>
              </w:rPr>
            </w:pPr>
            <w:r w:rsidRPr="00B6679A">
              <w:rPr>
                <w:rFonts w:ascii="Arial" w:hAnsi="Arial" w:cs="Arial"/>
                <w:sz w:val="20"/>
                <w:highlight w:val="cyan"/>
              </w:rPr>
              <w:t>1269</w:t>
            </w:r>
          </w:p>
        </w:tc>
        <w:tc>
          <w:tcPr>
            <w:tcW w:w="447" w:type="pct"/>
            <w:shd w:val="clear" w:color="auto" w:fill="auto"/>
            <w:hideMark/>
          </w:tcPr>
          <w:p w:rsidR="007640C8" w:rsidRPr="00E5034B" w:rsidRDefault="007640C8" w:rsidP="007640C8">
            <w:pPr>
              <w:rPr>
                <w:rFonts w:ascii="Arial" w:hAnsi="Arial" w:cs="Arial"/>
                <w:sz w:val="20"/>
              </w:rPr>
            </w:pPr>
            <w:r w:rsidRPr="00E5034B">
              <w:rPr>
                <w:rFonts w:ascii="Arial" w:hAnsi="Arial" w:cs="Arial"/>
                <w:sz w:val="20"/>
              </w:rPr>
              <w:t>17.33</w:t>
            </w:r>
          </w:p>
        </w:tc>
        <w:tc>
          <w:tcPr>
            <w:tcW w:w="1078"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It would be helpful to provide a better introduction to NGV then simply stating the PHY and MAC features.</w:t>
            </w:r>
          </w:p>
        </w:tc>
        <w:tc>
          <w:tcPr>
            <w:tcW w:w="1125"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Add the following text, based on PAR:</w:t>
            </w:r>
            <w:r w:rsidRPr="00E5034B">
              <w:rPr>
                <w:rFonts w:ascii="Arial" w:hAnsi="Arial" w:cs="Arial"/>
                <w:sz w:val="20"/>
              </w:rPr>
              <w:br/>
              <w:t xml:space="preserve">"NGV STAs have PHY and MAC features to enhance throughput and sensitivity (&gt; twice the throughput and &gt; 3dB lower sensitivity of non-NGV STAs) when operating in high mobility channel environments in the 5.9 GHz band, as defined in clauses E.2.3 and E.2.4.  NGV STAs may optionally operate in the 60 GHz frequency band (57 GHz to 71 GHz) as defined in clause E.1.  NGV STAs may support positioning based on fine timing measurement (see clause 4.3.19.19 and P.3) using 10 and 20 MHz bandwidth PPDUs in the 5.9 GHz band and any PPDUs in the 60 GHz band. NGV STAs </w:t>
            </w:r>
            <w:proofErr w:type="gramStart"/>
            <w:r w:rsidRPr="00E5034B">
              <w:rPr>
                <w:rFonts w:ascii="Arial" w:hAnsi="Arial" w:cs="Arial"/>
                <w:sz w:val="20"/>
              </w:rPr>
              <w:t>support  interoperability</w:t>
            </w:r>
            <w:proofErr w:type="gramEnd"/>
            <w:r w:rsidRPr="00E5034B">
              <w:rPr>
                <w:rFonts w:ascii="Arial" w:hAnsi="Arial" w:cs="Arial"/>
                <w:sz w:val="20"/>
              </w:rPr>
              <w:t xml:space="preserve">, coexistence, backward compatibility, and fairness with non-NGV STAs when </w:t>
            </w:r>
            <w:r w:rsidRPr="00E5034B">
              <w:rPr>
                <w:rFonts w:ascii="Arial" w:hAnsi="Arial" w:cs="Arial"/>
                <w:sz w:val="20"/>
              </w:rPr>
              <w:lastRenderedPageBreak/>
              <w:t>operating OCB in the 5.9 GHz band."</w:t>
            </w:r>
          </w:p>
        </w:tc>
        <w:tc>
          <w:tcPr>
            <w:tcW w:w="2037" w:type="pct"/>
          </w:tcPr>
          <w:p w:rsidR="007640C8" w:rsidRPr="00E5034B" w:rsidRDefault="00797CA3" w:rsidP="00C344FC">
            <w:pPr>
              <w:rPr>
                <w:rFonts w:ascii="Arial" w:hAnsi="Arial" w:cs="Arial"/>
                <w:sz w:val="20"/>
              </w:rPr>
            </w:pPr>
            <w:r w:rsidRPr="00E5034B">
              <w:rPr>
                <w:rFonts w:ascii="Arial" w:hAnsi="Arial" w:cs="Arial"/>
                <w:sz w:val="20"/>
              </w:rPr>
              <w:lastRenderedPageBreak/>
              <w:t>Revise</w:t>
            </w:r>
            <w:r w:rsidR="000D1CB8" w:rsidRPr="00E5034B">
              <w:rPr>
                <w:rFonts w:ascii="Arial" w:hAnsi="Arial" w:cs="Arial"/>
                <w:sz w:val="20"/>
              </w:rPr>
              <w:t>d</w:t>
            </w:r>
          </w:p>
          <w:p w:rsidR="00CA4B1E" w:rsidRPr="00E5034B" w:rsidRDefault="00CA4B1E" w:rsidP="00C344FC">
            <w:pPr>
              <w:rPr>
                <w:rFonts w:ascii="Arial" w:hAnsi="Arial" w:cs="Arial"/>
                <w:sz w:val="20"/>
              </w:rPr>
            </w:pPr>
          </w:p>
          <w:p w:rsidR="00CA4B1E" w:rsidRPr="00E5034B" w:rsidRDefault="00CA4B1E" w:rsidP="00C344FC">
            <w:pPr>
              <w:rPr>
                <w:rFonts w:ascii="Arial" w:hAnsi="Arial" w:cs="Arial"/>
                <w:sz w:val="20"/>
              </w:rPr>
            </w:pPr>
            <w:r w:rsidRPr="00E5034B">
              <w:rPr>
                <w:rFonts w:ascii="Arial" w:hAnsi="Arial" w:cs="Arial"/>
                <w:sz w:val="20"/>
              </w:rPr>
              <w:t>Agree with the comment</w:t>
            </w:r>
            <w:r w:rsidR="002A7BFE" w:rsidRPr="00E5034B">
              <w:rPr>
                <w:rFonts w:ascii="Arial" w:hAnsi="Arial" w:cs="Arial"/>
                <w:sz w:val="20"/>
              </w:rPr>
              <w:t xml:space="preserve"> and revised text.</w:t>
            </w:r>
          </w:p>
          <w:p w:rsidR="005802F8" w:rsidRPr="00E5034B" w:rsidRDefault="005802F8" w:rsidP="00C344FC">
            <w:pPr>
              <w:rPr>
                <w:rFonts w:ascii="Arial" w:hAnsi="Arial" w:cs="Arial"/>
              </w:rPr>
            </w:pPr>
          </w:p>
          <w:p w:rsidR="005802F8" w:rsidRPr="00E5034B" w:rsidRDefault="005802F8" w:rsidP="005802F8">
            <w:pPr>
              <w:rPr>
                <w:rFonts w:ascii="Arial" w:hAnsi="Arial" w:cs="Arial"/>
                <w:sz w:val="20"/>
              </w:rPr>
            </w:pPr>
          </w:p>
          <w:p w:rsidR="005802F8" w:rsidRPr="00E5034B" w:rsidRDefault="005802F8" w:rsidP="005802F8">
            <w:pPr>
              <w:rPr>
                <w:rFonts w:ascii="Arial" w:hAnsi="Arial" w:cs="Arial"/>
                <w:b/>
                <w:sz w:val="20"/>
                <w:u w:val="single"/>
              </w:rPr>
            </w:pPr>
            <w:proofErr w:type="spellStart"/>
            <w:r w:rsidRPr="00E5034B">
              <w:rPr>
                <w:rFonts w:ascii="Arial" w:hAnsi="Arial" w:cs="Arial" w:hint="eastAsia"/>
                <w:b/>
                <w:sz w:val="20"/>
                <w:u w:val="single"/>
              </w:rPr>
              <w:t>TGbd</w:t>
            </w:r>
            <w:proofErr w:type="spellEnd"/>
            <w:r w:rsidRPr="00E5034B">
              <w:rPr>
                <w:rFonts w:ascii="Arial" w:hAnsi="Arial" w:cs="Arial" w:hint="eastAsia"/>
                <w:b/>
                <w:sz w:val="20"/>
                <w:u w:val="single"/>
              </w:rPr>
              <w:t xml:space="preserve"> Editor: </w:t>
            </w:r>
          </w:p>
          <w:p w:rsidR="005802F8" w:rsidRPr="00E5034B" w:rsidRDefault="005802F8" w:rsidP="005802F8">
            <w:pPr>
              <w:rPr>
                <w:rFonts w:ascii="Arial" w:hAnsi="Arial" w:cs="Arial"/>
                <w:sz w:val="20"/>
              </w:rPr>
            </w:pPr>
            <w:r w:rsidRPr="00E5034B">
              <w:rPr>
                <w:rFonts w:ascii="Arial" w:hAnsi="Arial" w:cs="Arial" w:hint="eastAsia"/>
                <w:sz w:val="20"/>
              </w:rPr>
              <w:t>Please</w:t>
            </w:r>
            <w:r w:rsidRPr="00E5034B">
              <w:rPr>
                <w:rFonts w:ascii="Arial" w:hAnsi="Arial" w:cs="Arial"/>
                <w:sz w:val="20"/>
              </w:rPr>
              <w:t xml:space="preserve"> incorporate the changes in </w:t>
            </w:r>
            <w:hyperlink r:id="rId12" w:history="1">
              <w:r w:rsidR="00114AE4">
                <w:rPr>
                  <w:rStyle w:val="Hyperlink"/>
                  <w:rFonts w:ascii="Arial" w:hAnsi="Arial" w:cs="Arial"/>
                  <w:sz w:val="20"/>
                </w:rPr>
                <w:t>https://mentor.ieee.org/802.11/dcn/21/11-21-0083-05-00bd-lb251-cr-for-11bd-d1-0-clause-4.docx</w:t>
              </w:r>
            </w:hyperlink>
          </w:p>
        </w:tc>
      </w:tr>
      <w:tr w:rsidR="007640C8" w:rsidRPr="00C56ED3" w:rsidTr="001D7CE6">
        <w:tblPrEx>
          <w:tblCellMar>
            <w:left w:w="70" w:type="dxa"/>
            <w:right w:w="70" w:type="dxa"/>
          </w:tblCellMar>
        </w:tblPrEx>
        <w:trPr>
          <w:trHeight w:val="3570"/>
        </w:trPr>
        <w:tc>
          <w:tcPr>
            <w:tcW w:w="313" w:type="pct"/>
            <w:shd w:val="clear" w:color="auto" w:fill="auto"/>
            <w:hideMark/>
          </w:tcPr>
          <w:p w:rsidR="007640C8" w:rsidRPr="00C56ED3" w:rsidRDefault="007640C8" w:rsidP="00C344FC">
            <w:pPr>
              <w:jc w:val="right"/>
              <w:rPr>
                <w:rFonts w:ascii="Arial" w:hAnsi="Arial" w:cs="Arial"/>
                <w:sz w:val="20"/>
                <w:lang w:val="de-DE" w:eastAsia="de-DE"/>
              </w:rPr>
            </w:pPr>
            <w:r w:rsidRPr="00DA0FAC">
              <w:rPr>
                <w:rFonts w:ascii="Arial" w:hAnsi="Arial" w:cs="Arial"/>
                <w:sz w:val="20"/>
                <w:highlight w:val="cyan"/>
              </w:rPr>
              <w:t>1001</w:t>
            </w:r>
          </w:p>
        </w:tc>
        <w:tc>
          <w:tcPr>
            <w:tcW w:w="447" w:type="pct"/>
            <w:shd w:val="clear" w:color="auto" w:fill="auto"/>
            <w:hideMark/>
          </w:tcPr>
          <w:p w:rsidR="007640C8" w:rsidRPr="00C56ED3" w:rsidRDefault="007640C8" w:rsidP="00DA4975">
            <w:pPr>
              <w:rPr>
                <w:rFonts w:ascii="Arial" w:hAnsi="Arial" w:cs="Arial"/>
                <w:sz w:val="20"/>
              </w:rPr>
            </w:pPr>
            <w:r w:rsidRPr="00C56ED3">
              <w:rPr>
                <w:rFonts w:ascii="Arial" w:hAnsi="Arial" w:cs="Arial"/>
                <w:sz w:val="20"/>
              </w:rPr>
              <w:t>17.36</w:t>
            </w:r>
          </w:p>
        </w:tc>
        <w:tc>
          <w:tcPr>
            <w:tcW w:w="1078"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 xml:space="preserve">Clause 4.3.17a should follow the IEEE 802.11 style guide text used in clause 4 in </w:t>
            </w:r>
            <w:proofErr w:type="spellStart"/>
            <w:r w:rsidRPr="00C56ED3">
              <w:rPr>
                <w:rFonts w:ascii="Arial" w:hAnsi="Arial" w:cs="Arial"/>
                <w:sz w:val="20"/>
              </w:rPr>
              <w:t>REVmd</w:t>
            </w:r>
            <w:proofErr w:type="spellEnd"/>
            <w:r w:rsidRPr="00C56ED3">
              <w:rPr>
                <w:rFonts w:ascii="Arial" w:hAnsi="Arial" w:cs="Arial"/>
                <w:sz w:val="20"/>
              </w:rPr>
              <w:t xml:space="preserve"> D5.0 and 11ax D7.0 for example. The main PHY features and MAC features should include key features that are core to 11bd, stating those that are "Support for....", "Mandatory support for...", Optional support for....". OFDM should be included as part of the main PHY features.</w:t>
            </w:r>
          </w:p>
        </w:tc>
        <w:tc>
          <w:tcPr>
            <w:tcW w:w="1125"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Add OFDM as a main PHY feature. For each of the bulletized and sub-bullet PHY and MAC features change text to read e.g.</w:t>
            </w:r>
            <w:proofErr w:type="gramStart"/>
            <w:r w:rsidRPr="00C56ED3">
              <w:rPr>
                <w:rFonts w:ascii="Arial" w:hAnsi="Arial" w:cs="Arial"/>
                <w:sz w:val="20"/>
              </w:rPr>
              <w:t>,  "</w:t>
            </w:r>
            <w:proofErr w:type="gramEnd"/>
            <w:r w:rsidRPr="00C56ED3">
              <w:rPr>
                <w:rFonts w:ascii="Arial" w:hAnsi="Arial" w:cs="Arial"/>
                <w:sz w:val="20"/>
              </w:rPr>
              <w:t>Supports new 10 MHz and 20 MHz PPDU formats".  as commented.</w:t>
            </w:r>
          </w:p>
        </w:tc>
        <w:tc>
          <w:tcPr>
            <w:tcW w:w="2037" w:type="pct"/>
          </w:tcPr>
          <w:p w:rsidR="007640C8" w:rsidRPr="00C56ED3" w:rsidRDefault="007640C8" w:rsidP="00C344FC">
            <w:pPr>
              <w:rPr>
                <w:rFonts w:ascii="Arial" w:hAnsi="Arial" w:cs="Arial"/>
                <w:sz w:val="20"/>
              </w:rPr>
            </w:pPr>
            <w:r w:rsidRPr="00C56ED3">
              <w:rPr>
                <w:rFonts w:ascii="Arial" w:hAnsi="Arial" w:cs="Arial"/>
                <w:sz w:val="20"/>
              </w:rPr>
              <w:t>Revised</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Agree in principle with comment</w:t>
            </w:r>
            <w:r w:rsidR="00B64B87" w:rsidRPr="00C56ED3">
              <w:rPr>
                <w:rFonts w:ascii="Arial" w:hAnsi="Arial" w:cs="Arial"/>
                <w:sz w:val="20"/>
              </w:rPr>
              <w:t xml:space="preserve"> on stating </w:t>
            </w:r>
            <w:proofErr w:type="spellStart"/>
            <w:r w:rsidR="00B64B87" w:rsidRPr="00C56ED3">
              <w:rPr>
                <w:rFonts w:ascii="Arial" w:hAnsi="Arial" w:cs="Arial"/>
                <w:sz w:val="20"/>
              </w:rPr>
              <w:t>wihich</w:t>
            </w:r>
            <w:proofErr w:type="spellEnd"/>
            <w:r w:rsidR="00B64B87" w:rsidRPr="00C56ED3">
              <w:rPr>
                <w:rFonts w:ascii="Arial" w:hAnsi="Arial" w:cs="Arial"/>
                <w:sz w:val="20"/>
              </w:rPr>
              <w:t xml:space="preserve"> features are “Mandatory support for” or “Optional support for”</w:t>
            </w:r>
            <w:r w:rsidRPr="00C56ED3">
              <w:rPr>
                <w:rFonts w:ascii="Arial" w:hAnsi="Arial" w:cs="Arial"/>
                <w:sz w:val="20"/>
              </w:rPr>
              <w:t xml:space="preserve">. </w:t>
            </w:r>
            <w:r w:rsidR="00B64B87" w:rsidRPr="00C56ED3">
              <w:rPr>
                <w:rFonts w:ascii="Arial" w:hAnsi="Arial" w:cs="Arial"/>
                <w:sz w:val="20"/>
              </w:rPr>
              <w:t xml:space="preserve">Reviewing Clause 4.3 in </w:t>
            </w:r>
            <w:proofErr w:type="spellStart"/>
            <w:r w:rsidR="00B64B87" w:rsidRPr="00C56ED3">
              <w:rPr>
                <w:rFonts w:ascii="Arial" w:hAnsi="Arial" w:cs="Arial"/>
                <w:sz w:val="20"/>
              </w:rPr>
              <w:t>REVmd</w:t>
            </w:r>
            <w:proofErr w:type="spellEnd"/>
            <w:r w:rsidR="00B64B87" w:rsidRPr="00C56ED3">
              <w:rPr>
                <w:rFonts w:ascii="Arial" w:hAnsi="Arial" w:cs="Arial"/>
                <w:sz w:val="20"/>
              </w:rPr>
              <w:t xml:space="preserve"> D5.0 and 11ax D7.0, OFDM is not mentioned as a main PHY feature for HT, VHT, or HE. Hence, we do not list OFDM as a main PHY feature for NGV. </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Note similar to CID 1140</w:t>
            </w:r>
          </w:p>
          <w:p w:rsidR="00271598" w:rsidRPr="00C56ED3" w:rsidRDefault="00271598" w:rsidP="00C344FC">
            <w:pPr>
              <w:rPr>
                <w:rFonts w:ascii="Arial" w:hAnsi="Arial" w:cs="Arial"/>
              </w:rPr>
            </w:pPr>
          </w:p>
          <w:p w:rsidR="00271598" w:rsidRPr="00C56ED3" w:rsidRDefault="00271598" w:rsidP="00271598">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271598" w:rsidRPr="00C56ED3" w:rsidRDefault="00271598" w:rsidP="00271598">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3" w:history="1">
              <w:r w:rsidR="00114AE4" w:rsidRPr="00600A82">
                <w:rPr>
                  <w:rStyle w:val="Hyperlink"/>
                  <w:rFonts w:ascii="Arial" w:hAnsi="Arial" w:cs="Arial"/>
                  <w:sz w:val="20"/>
                </w:rPr>
                <w:t>https://mentor.ieee.org/802.11/dcn/21/11-21-0083-05-00bd-lb251-cr-for-11bd-d1-0-clause-4.docx</w:t>
              </w:r>
            </w:hyperlink>
          </w:p>
        </w:tc>
      </w:tr>
      <w:tr w:rsidR="002A7BFE" w:rsidTr="005921A2">
        <w:tblPrEx>
          <w:tblCellMar>
            <w:left w:w="70" w:type="dxa"/>
            <w:right w:w="70" w:type="dxa"/>
          </w:tblCellMar>
        </w:tblPrEx>
        <w:trPr>
          <w:trHeight w:val="765"/>
        </w:trPr>
        <w:tc>
          <w:tcPr>
            <w:tcW w:w="313" w:type="pct"/>
            <w:shd w:val="clear" w:color="auto" w:fill="auto"/>
            <w:hideMark/>
          </w:tcPr>
          <w:p w:rsidR="002A7BFE" w:rsidRPr="00C56ED3" w:rsidRDefault="002A7BFE" w:rsidP="005921A2">
            <w:pPr>
              <w:jc w:val="right"/>
              <w:rPr>
                <w:rFonts w:ascii="Arial" w:hAnsi="Arial" w:cs="Arial"/>
                <w:sz w:val="20"/>
              </w:rPr>
            </w:pPr>
            <w:r w:rsidRPr="00DA0FAC">
              <w:rPr>
                <w:rFonts w:ascii="Arial" w:hAnsi="Arial" w:cs="Arial"/>
                <w:sz w:val="20"/>
                <w:highlight w:val="cyan"/>
              </w:rPr>
              <w:t>1140</w:t>
            </w:r>
          </w:p>
        </w:tc>
        <w:tc>
          <w:tcPr>
            <w:tcW w:w="447"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17.36</w:t>
            </w:r>
          </w:p>
        </w:tc>
        <w:tc>
          <w:tcPr>
            <w:tcW w:w="1078"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Please describe whether each feature is mandatory or optional</w:t>
            </w:r>
          </w:p>
        </w:tc>
        <w:tc>
          <w:tcPr>
            <w:tcW w:w="1125"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As in the comment</w:t>
            </w:r>
          </w:p>
        </w:tc>
        <w:tc>
          <w:tcPr>
            <w:tcW w:w="2037" w:type="pct"/>
          </w:tcPr>
          <w:p w:rsidR="002A7BFE" w:rsidRPr="00C56ED3" w:rsidRDefault="0012018C" w:rsidP="005921A2">
            <w:pPr>
              <w:rPr>
                <w:rFonts w:ascii="Arial" w:hAnsi="Arial" w:cs="Arial"/>
                <w:sz w:val="20"/>
              </w:rPr>
            </w:pPr>
            <w:r>
              <w:rPr>
                <w:rFonts w:ascii="Arial" w:hAnsi="Arial" w:cs="Arial"/>
                <w:sz w:val="20"/>
              </w:rPr>
              <w:t>Revis</w:t>
            </w:r>
            <w:r w:rsidR="002A7BFE" w:rsidRPr="00C56ED3">
              <w:rPr>
                <w:rFonts w:ascii="Arial" w:hAnsi="Arial" w:cs="Arial"/>
                <w:sz w:val="20"/>
              </w:rPr>
              <w:t>ed</w:t>
            </w:r>
          </w:p>
          <w:p w:rsidR="002A7BFE" w:rsidRDefault="002A7BFE" w:rsidP="005921A2">
            <w:pPr>
              <w:rPr>
                <w:rFonts w:ascii="Arial" w:hAnsi="Arial" w:cs="Arial"/>
                <w:sz w:val="20"/>
              </w:rPr>
            </w:pPr>
          </w:p>
          <w:p w:rsidR="0012018C" w:rsidRDefault="0012018C" w:rsidP="005921A2">
            <w:pPr>
              <w:rPr>
                <w:rFonts w:ascii="Arial" w:hAnsi="Arial" w:cs="Arial"/>
                <w:sz w:val="20"/>
              </w:rPr>
            </w:pPr>
            <w:r w:rsidRPr="004D01BA">
              <w:rPr>
                <w:rFonts w:ascii="Arial" w:hAnsi="Arial" w:cs="Arial"/>
                <w:sz w:val="20"/>
              </w:rPr>
              <w:t>Agree with comment.</w:t>
            </w:r>
            <w:r>
              <w:rPr>
                <w:rFonts w:ascii="Arial" w:hAnsi="Arial" w:cs="Arial"/>
                <w:sz w:val="20"/>
              </w:rPr>
              <w:t xml:space="preserve"> </w:t>
            </w:r>
            <w:r w:rsidR="00DA0FAC">
              <w:rPr>
                <w:rFonts w:ascii="Arial" w:hAnsi="Arial" w:cs="Arial"/>
                <w:sz w:val="20"/>
              </w:rPr>
              <w:t xml:space="preserve">Reorganized section to clarify which features are </w:t>
            </w:r>
            <w:r w:rsidR="00DA0FAC">
              <w:rPr>
                <w:rFonts w:ascii="Arial" w:hAnsi="Arial" w:cs="Arial"/>
                <w:sz w:val="20"/>
              </w:rPr>
              <w:lastRenderedPageBreak/>
              <w:t>specific to NGV STA in comparison to a non-NGV STA.</w:t>
            </w:r>
          </w:p>
          <w:p w:rsidR="0012018C" w:rsidRPr="00C56ED3" w:rsidRDefault="0012018C" w:rsidP="005921A2">
            <w:pPr>
              <w:rPr>
                <w:rFonts w:ascii="Arial" w:hAnsi="Arial" w:cs="Arial"/>
                <w:sz w:val="20"/>
              </w:rPr>
            </w:pPr>
          </w:p>
          <w:p w:rsidR="002A7BFE" w:rsidRDefault="002A7BFE" w:rsidP="005921A2">
            <w:pPr>
              <w:rPr>
                <w:rFonts w:ascii="Arial" w:hAnsi="Arial" w:cs="Arial"/>
                <w:sz w:val="20"/>
              </w:rPr>
            </w:pPr>
            <w:r w:rsidRPr="00C56ED3">
              <w:rPr>
                <w:rFonts w:ascii="Arial" w:hAnsi="Arial" w:cs="Arial"/>
                <w:sz w:val="20"/>
              </w:rPr>
              <w:t>Note similar to CID 1001</w:t>
            </w:r>
          </w:p>
          <w:p w:rsidR="00DA0FAC" w:rsidRDefault="00DA0FAC" w:rsidP="005921A2">
            <w:pPr>
              <w:rPr>
                <w:rFonts w:ascii="Arial" w:hAnsi="Arial" w:cs="Arial"/>
                <w:sz w:val="20"/>
              </w:rPr>
            </w:pPr>
          </w:p>
          <w:p w:rsidR="00DA0FAC" w:rsidRPr="00C56ED3" w:rsidRDefault="00DA0FAC" w:rsidP="00DA0FAC">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DA0FAC" w:rsidRPr="00C56ED3" w:rsidRDefault="00DA0FAC" w:rsidP="00DA0FAC">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4" w:history="1">
              <w:r w:rsidR="00114AE4">
                <w:rPr>
                  <w:rStyle w:val="Hyperlink"/>
                  <w:rFonts w:ascii="Arial" w:hAnsi="Arial" w:cs="Arial"/>
                  <w:sz w:val="20"/>
                </w:rPr>
                <w:t>https://mentor.ieee.org/802.11/dcn/21/11-21-0083-05-00bd-lb251-cr-for-11bd-d1-0-clause-4.docx</w:t>
              </w:r>
            </w:hyperlink>
          </w:p>
        </w:tc>
      </w:tr>
      <w:tr w:rsidR="000D1CB8" w:rsidRPr="009226C0" w:rsidTr="001D7CE6">
        <w:tblPrEx>
          <w:tblCellMar>
            <w:left w:w="70" w:type="dxa"/>
            <w:right w:w="70" w:type="dxa"/>
          </w:tblCellMar>
        </w:tblPrEx>
        <w:trPr>
          <w:trHeight w:val="2295"/>
        </w:trPr>
        <w:tc>
          <w:tcPr>
            <w:tcW w:w="313" w:type="pct"/>
            <w:shd w:val="clear" w:color="auto" w:fill="auto"/>
            <w:hideMark/>
          </w:tcPr>
          <w:p w:rsidR="000D1CB8" w:rsidRPr="009226C0" w:rsidRDefault="000D1CB8" w:rsidP="005921A2">
            <w:pPr>
              <w:jc w:val="right"/>
              <w:rPr>
                <w:rFonts w:ascii="Arial" w:hAnsi="Arial" w:cs="Arial"/>
                <w:sz w:val="20"/>
              </w:rPr>
            </w:pPr>
            <w:r w:rsidRPr="00142B92">
              <w:rPr>
                <w:rFonts w:ascii="Arial" w:hAnsi="Arial" w:cs="Arial"/>
                <w:sz w:val="20"/>
                <w:highlight w:val="cyan"/>
              </w:rPr>
              <w:lastRenderedPageBreak/>
              <w:t>1509</w:t>
            </w:r>
          </w:p>
        </w:tc>
        <w:tc>
          <w:tcPr>
            <w:tcW w:w="447"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17.36</w:t>
            </w:r>
          </w:p>
        </w:tc>
        <w:tc>
          <w:tcPr>
            <w:tcW w:w="1078"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In the following sentence "New 10 MHz and 20 MHz PPDU formats", please remove the word "new" since this will soon become an old amendment once published. Changing to "10 MHz and 20 MHz NGV PPDU formats" would be more precise.</w:t>
            </w:r>
          </w:p>
        </w:tc>
        <w:tc>
          <w:tcPr>
            <w:tcW w:w="1125"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Change the sentence to "10 MHz and 20 MHz NGV PPDU formats"</w:t>
            </w:r>
          </w:p>
        </w:tc>
        <w:tc>
          <w:tcPr>
            <w:tcW w:w="2037" w:type="pct"/>
          </w:tcPr>
          <w:p w:rsidR="000D1CB8" w:rsidRPr="009226C0" w:rsidRDefault="000D1CB8" w:rsidP="005921A2">
            <w:pPr>
              <w:rPr>
                <w:rFonts w:ascii="Arial" w:hAnsi="Arial" w:cs="Arial"/>
                <w:sz w:val="20"/>
              </w:rPr>
            </w:pPr>
            <w:r w:rsidRPr="009226C0">
              <w:rPr>
                <w:rFonts w:ascii="Arial" w:hAnsi="Arial" w:cs="Arial"/>
                <w:sz w:val="20"/>
              </w:rPr>
              <w:t xml:space="preserve">Accepted </w:t>
            </w:r>
          </w:p>
          <w:p w:rsidR="00B476A3" w:rsidRPr="009226C0" w:rsidRDefault="00B476A3" w:rsidP="005921A2">
            <w:pPr>
              <w:rPr>
                <w:rFonts w:ascii="Arial" w:hAnsi="Arial" w:cs="Arial"/>
                <w:sz w:val="20"/>
              </w:rPr>
            </w:pPr>
          </w:p>
          <w:p w:rsidR="00B476A3" w:rsidRPr="009226C0" w:rsidRDefault="00B476A3" w:rsidP="005921A2">
            <w:pPr>
              <w:rPr>
                <w:rFonts w:ascii="Arial" w:hAnsi="Arial" w:cs="Arial"/>
                <w:sz w:val="20"/>
              </w:rPr>
            </w:pPr>
            <w:r w:rsidRPr="009226C0">
              <w:rPr>
                <w:rFonts w:ascii="Arial" w:hAnsi="Arial" w:cs="Arial"/>
                <w:sz w:val="20"/>
              </w:rPr>
              <w:t>Note similar to CID 1014</w:t>
            </w:r>
          </w:p>
        </w:tc>
      </w:tr>
      <w:tr w:rsidR="007640C8" w:rsidTr="001D7CE6">
        <w:tblPrEx>
          <w:tblCellMar>
            <w:left w:w="70" w:type="dxa"/>
            <w:right w:w="70" w:type="dxa"/>
          </w:tblCellMar>
        </w:tblPrEx>
        <w:trPr>
          <w:trHeight w:val="1530"/>
        </w:trPr>
        <w:tc>
          <w:tcPr>
            <w:tcW w:w="313" w:type="pct"/>
            <w:shd w:val="clear" w:color="auto" w:fill="auto"/>
            <w:hideMark/>
          </w:tcPr>
          <w:p w:rsidR="007640C8" w:rsidRPr="009226C0" w:rsidRDefault="007640C8" w:rsidP="00C344FC">
            <w:pPr>
              <w:jc w:val="right"/>
              <w:rPr>
                <w:rFonts w:ascii="Arial" w:hAnsi="Arial" w:cs="Arial"/>
                <w:sz w:val="20"/>
              </w:rPr>
            </w:pPr>
            <w:r w:rsidRPr="00142B92">
              <w:rPr>
                <w:rFonts w:ascii="Arial" w:hAnsi="Arial" w:cs="Arial"/>
                <w:sz w:val="20"/>
                <w:highlight w:val="cyan"/>
              </w:rPr>
              <w:t>1014</w:t>
            </w:r>
          </w:p>
        </w:tc>
        <w:tc>
          <w:tcPr>
            <w:tcW w:w="447" w:type="pct"/>
            <w:shd w:val="clear" w:color="auto" w:fill="auto"/>
            <w:hideMark/>
          </w:tcPr>
          <w:p w:rsidR="007640C8" w:rsidRPr="009226C0" w:rsidRDefault="007640C8" w:rsidP="007640C8">
            <w:pPr>
              <w:rPr>
                <w:rFonts w:ascii="Arial" w:hAnsi="Arial" w:cs="Arial"/>
                <w:sz w:val="20"/>
              </w:rPr>
            </w:pPr>
            <w:r w:rsidRPr="009226C0">
              <w:rPr>
                <w:rFonts w:ascii="Arial" w:hAnsi="Arial" w:cs="Arial"/>
                <w:sz w:val="20"/>
              </w:rPr>
              <w:t>17.36</w:t>
            </w:r>
          </w:p>
        </w:tc>
        <w:tc>
          <w:tcPr>
            <w:tcW w:w="1078"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At some point in the amendment evolution anything that is currently new becomes old. Please find an alternate word for "new"</w:t>
            </w:r>
          </w:p>
        </w:tc>
        <w:tc>
          <w:tcPr>
            <w:tcW w:w="1125"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As in comment.</w:t>
            </w:r>
          </w:p>
        </w:tc>
        <w:tc>
          <w:tcPr>
            <w:tcW w:w="2037" w:type="pct"/>
          </w:tcPr>
          <w:p w:rsidR="007640C8" w:rsidRPr="009226C0" w:rsidRDefault="00462648" w:rsidP="00C344FC">
            <w:pPr>
              <w:rPr>
                <w:rFonts w:ascii="Arial" w:hAnsi="Arial" w:cs="Arial"/>
                <w:sz w:val="20"/>
              </w:rPr>
            </w:pPr>
            <w:r>
              <w:rPr>
                <w:rFonts w:ascii="Arial" w:hAnsi="Arial" w:cs="Arial"/>
                <w:sz w:val="20"/>
              </w:rPr>
              <w:t>Revised</w:t>
            </w:r>
          </w:p>
          <w:p w:rsidR="000D1CB8" w:rsidRDefault="000D1CB8" w:rsidP="00C344FC">
            <w:pPr>
              <w:rPr>
                <w:rFonts w:ascii="Arial" w:hAnsi="Arial" w:cs="Arial"/>
                <w:sz w:val="20"/>
              </w:rPr>
            </w:pPr>
          </w:p>
          <w:p w:rsidR="00462648" w:rsidRDefault="00462648" w:rsidP="00C344FC">
            <w:pPr>
              <w:rPr>
                <w:rFonts w:ascii="Arial" w:hAnsi="Arial" w:cs="Arial"/>
                <w:sz w:val="20"/>
              </w:rPr>
            </w:pPr>
            <w:r>
              <w:rPr>
                <w:rFonts w:ascii="Arial" w:hAnsi="Arial" w:cs="Arial"/>
                <w:sz w:val="20"/>
              </w:rPr>
              <w:t>Deleted the word “new”</w:t>
            </w:r>
          </w:p>
          <w:p w:rsidR="00462648" w:rsidRPr="009226C0" w:rsidRDefault="00462648" w:rsidP="00C344FC">
            <w:pPr>
              <w:rPr>
                <w:rFonts w:ascii="Arial" w:hAnsi="Arial" w:cs="Arial"/>
                <w:sz w:val="20"/>
              </w:rPr>
            </w:pPr>
          </w:p>
          <w:p w:rsidR="000D1CB8" w:rsidRPr="009226C0" w:rsidRDefault="00B476A3" w:rsidP="00C344FC">
            <w:pPr>
              <w:rPr>
                <w:rFonts w:ascii="Arial" w:hAnsi="Arial" w:cs="Arial"/>
                <w:sz w:val="20"/>
              </w:rPr>
            </w:pPr>
            <w:r w:rsidRPr="009226C0">
              <w:rPr>
                <w:rFonts w:ascii="Arial" w:hAnsi="Arial" w:cs="Arial"/>
                <w:sz w:val="20"/>
              </w:rPr>
              <w:t>Note similar to</w:t>
            </w:r>
            <w:r w:rsidR="000D1CB8" w:rsidRPr="009226C0">
              <w:rPr>
                <w:rFonts w:ascii="Arial" w:hAnsi="Arial" w:cs="Arial"/>
                <w:sz w:val="20"/>
              </w:rPr>
              <w:t xml:space="preserve"> CID 1509</w:t>
            </w:r>
          </w:p>
        </w:tc>
      </w:tr>
      <w:tr w:rsidR="007640C8" w:rsidTr="001D7CE6">
        <w:tblPrEx>
          <w:tblCellMar>
            <w:left w:w="70" w:type="dxa"/>
            <w:right w:w="70" w:type="dxa"/>
          </w:tblCellMar>
        </w:tblPrEx>
        <w:trPr>
          <w:trHeight w:val="1020"/>
        </w:trPr>
        <w:tc>
          <w:tcPr>
            <w:tcW w:w="313" w:type="pct"/>
            <w:shd w:val="clear" w:color="auto" w:fill="auto"/>
            <w:hideMark/>
          </w:tcPr>
          <w:p w:rsidR="007640C8" w:rsidRPr="00E10DB8" w:rsidRDefault="007640C8" w:rsidP="00C344FC">
            <w:pPr>
              <w:jc w:val="right"/>
              <w:rPr>
                <w:rFonts w:ascii="Arial" w:hAnsi="Arial" w:cs="Arial"/>
                <w:sz w:val="20"/>
              </w:rPr>
            </w:pPr>
            <w:r w:rsidRPr="00142B92">
              <w:rPr>
                <w:rFonts w:ascii="Arial" w:hAnsi="Arial" w:cs="Arial"/>
                <w:sz w:val="20"/>
                <w:highlight w:val="cyan"/>
              </w:rPr>
              <w:t>1015</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17.38</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Several sub-bullets mention improved "something". Perhaps it is a good idea to mention compared to what.</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As in comment.</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B617FE" w:rsidRPr="00E10DB8" w:rsidRDefault="00B617FE" w:rsidP="00C344FC">
            <w:pPr>
              <w:rPr>
                <w:rFonts w:ascii="Arial" w:hAnsi="Arial" w:cs="Arial"/>
                <w:sz w:val="20"/>
              </w:rPr>
            </w:pPr>
          </w:p>
          <w:p w:rsidR="00271598" w:rsidRPr="00E10DB8" w:rsidRDefault="00B617FE" w:rsidP="00B617FE">
            <w:pPr>
              <w:rPr>
                <w:rFonts w:ascii="Arial" w:hAnsi="Arial" w:cs="Arial"/>
              </w:rPr>
            </w:pPr>
            <w:r w:rsidRPr="00E10DB8">
              <w:rPr>
                <w:rFonts w:ascii="Arial" w:hAnsi="Arial" w:cs="Arial"/>
                <w:sz w:val="20"/>
              </w:rPr>
              <w:t xml:space="preserve">Agree with comment. </w:t>
            </w:r>
            <w:r w:rsidR="00EB03EC" w:rsidRPr="00E10DB8">
              <w:rPr>
                <w:rFonts w:ascii="Arial" w:hAnsi="Arial" w:cs="Arial"/>
                <w:sz w:val="20"/>
              </w:rPr>
              <w:t>Clause has been rewritten</w:t>
            </w:r>
            <w:r w:rsidRPr="00E10DB8">
              <w:rPr>
                <w:rFonts w:ascii="Arial" w:hAnsi="Arial" w:cs="Arial"/>
                <w:sz w:val="20"/>
              </w:rPr>
              <w:t xml:space="preserve">, only in the introduction it contains a statement which compares to non-NGV STA (formerly 11.p). Otherwise comparisons have been removed to use similar style as </w:t>
            </w:r>
            <w:proofErr w:type="spellStart"/>
            <w:r w:rsidRPr="00E10DB8">
              <w:rPr>
                <w:rFonts w:ascii="Arial" w:hAnsi="Arial" w:cs="Arial"/>
                <w:sz w:val="20"/>
              </w:rPr>
              <w:t>REVmd</w:t>
            </w:r>
            <w:proofErr w:type="spellEnd"/>
            <w:r w:rsidRPr="00E10DB8">
              <w:rPr>
                <w:rFonts w:ascii="Arial" w:hAnsi="Arial" w:cs="Arial"/>
                <w:sz w:val="20"/>
              </w:rPr>
              <w:t xml:space="preserve"> D5.0 and 11ax D7.0.</w:t>
            </w:r>
            <w:r w:rsidR="00271598" w:rsidRPr="00E10DB8">
              <w:rPr>
                <w:rFonts w:ascii="Arial" w:hAnsi="Arial" w:cs="Arial"/>
                <w:sz w:val="20"/>
              </w:rPr>
              <w:br/>
            </w: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5"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E10DB8" w:rsidRDefault="007640C8" w:rsidP="00C344FC">
            <w:pPr>
              <w:jc w:val="right"/>
              <w:rPr>
                <w:rFonts w:ascii="Arial" w:hAnsi="Arial" w:cs="Arial"/>
                <w:sz w:val="20"/>
              </w:rPr>
            </w:pPr>
            <w:r w:rsidRPr="00142B92">
              <w:rPr>
                <w:rFonts w:ascii="Arial" w:hAnsi="Arial" w:cs="Arial"/>
                <w:sz w:val="20"/>
                <w:highlight w:val="cyan"/>
              </w:rPr>
              <w:t>1347</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17.42</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 xml:space="preserve">Usually when </w:t>
            </w:r>
            <w:proofErr w:type="spellStart"/>
            <w:r w:rsidRPr="00E10DB8">
              <w:rPr>
                <w:rFonts w:ascii="Arial" w:hAnsi="Arial" w:cs="Arial"/>
                <w:sz w:val="20"/>
              </w:rPr>
              <w:t>disussing</w:t>
            </w:r>
            <w:proofErr w:type="spellEnd"/>
            <w:r w:rsidRPr="00E10DB8">
              <w:rPr>
                <w:rFonts w:ascii="Arial" w:hAnsi="Arial" w:cs="Arial"/>
                <w:sz w:val="20"/>
              </w:rPr>
              <w:t xml:space="preserve"> interference that is caused by the transmitter, adjacent channel leakage is the commonly used term. Reduce adjacent channel interference can be done in the receiver by a better channel selective filter. It is </w:t>
            </w:r>
            <w:r w:rsidRPr="00E10DB8">
              <w:rPr>
                <w:rFonts w:ascii="Arial" w:hAnsi="Arial" w:cs="Arial"/>
                <w:sz w:val="20"/>
              </w:rPr>
              <w:lastRenderedPageBreak/>
              <w:t>clear what is meant, but leakage is a better term</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lastRenderedPageBreak/>
              <w:t>replace "interference" by "leakage"</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64434B" w:rsidRPr="00E10DB8" w:rsidRDefault="0064434B" w:rsidP="00C344FC">
            <w:pPr>
              <w:rPr>
                <w:rFonts w:ascii="Arial" w:hAnsi="Arial" w:cs="Arial"/>
                <w:sz w:val="20"/>
              </w:rPr>
            </w:pPr>
          </w:p>
          <w:p w:rsidR="00B617FE" w:rsidRPr="00E10DB8" w:rsidRDefault="00B617FE" w:rsidP="00C344FC">
            <w:pPr>
              <w:rPr>
                <w:rFonts w:ascii="Arial" w:hAnsi="Arial" w:cs="Arial"/>
                <w:sz w:val="20"/>
              </w:rPr>
            </w:pPr>
            <w:r w:rsidRPr="00E10DB8">
              <w:rPr>
                <w:rFonts w:ascii="Arial" w:hAnsi="Arial" w:cs="Arial"/>
                <w:sz w:val="20"/>
              </w:rPr>
              <w:t>“to reduce adjacent channel interference” has been deleted</w:t>
            </w:r>
            <w:r w:rsidR="00E10DB8" w:rsidRPr="00E10DB8">
              <w:rPr>
                <w:rFonts w:ascii="Arial" w:hAnsi="Arial" w:cs="Arial"/>
                <w:sz w:val="20"/>
              </w:rPr>
              <w:t xml:space="preserve"> to follow similar style as in </w:t>
            </w:r>
            <w:proofErr w:type="spellStart"/>
            <w:r w:rsidR="00E10DB8" w:rsidRPr="00E10DB8">
              <w:rPr>
                <w:rFonts w:ascii="Arial" w:hAnsi="Arial" w:cs="Arial"/>
                <w:sz w:val="20"/>
              </w:rPr>
              <w:t>REVmd</w:t>
            </w:r>
            <w:proofErr w:type="spellEnd"/>
            <w:r w:rsidR="00E10DB8" w:rsidRPr="00E10DB8">
              <w:rPr>
                <w:rFonts w:ascii="Arial" w:hAnsi="Arial" w:cs="Arial"/>
                <w:sz w:val="20"/>
              </w:rPr>
              <w:t xml:space="preserve"> D5.0 and 11ax D7.0.</w:t>
            </w:r>
          </w:p>
          <w:p w:rsidR="0064434B" w:rsidRPr="00E10DB8" w:rsidRDefault="0064434B" w:rsidP="00C344FC">
            <w:pPr>
              <w:rPr>
                <w:rFonts w:ascii="Arial" w:hAnsi="Arial" w:cs="Arial"/>
                <w:sz w:val="20"/>
              </w:rPr>
            </w:pP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6" w:history="1">
              <w:r w:rsidR="00114AE4">
                <w:rPr>
                  <w:rStyle w:val="Hyperlink"/>
                  <w:rFonts w:ascii="Arial" w:hAnsi="Arial" w:cs="Arial"/>
                  <w:sz w:val="20"/>
                </w:rPr>
                <w:t>https://mentor.ieee.org/802.11/dcn/21/11-21-0083-05-00bd-lb251-cr-for-11bd-d1-0-clause-4.docx</w:t>
              </w:r>
            </w:hyperlink>
          </w:p>
        </w:tc>
      </w:tr>
      <w:tr w:rsidR="007640C8" w:rsidRPr="00990D64" w:rsidTr="001D7CE6">
        <w:tblPrEx>
          <w:tblCellMar>
            <w:left w:w="70" w:type="dxa"/>
            <w:right w:w="70" w:type="dxa"/>
          </w:tblCellMar>
        </w:tblPrEx>
        <w:trPr>
          <w:trHeight w:val="3315"/>
        </w:trPr>
        <w:tc>
          <w:tcPr>
            <w:tcW w:w="313" w:type="pct"/>
            <w:shd w:val="clear" w:color="auto" w:fill="auto"/>
            <w:hideMark/>
          </w:tcPr>
          <w:p w:rsidR="007640C8" w:rsidRPr="00E10DB8" w:rsidRDefault="007640C8" w:rsidP="00C344FC">
            <w:pPr>
              <w:jc w:val="right"/>
              <w:rPr>
                <w:rFonts w:ascii="Arial" w:hAnsi="Arial" w:cs="Arial"/>
                <w:color w:val="000000" w:themeColor="text1"/>
                <w:sz w:val="20"/>
              </w:rPr>
            </w:pPr>
            <w:r w:rsidRPr="00142B92">
              <w:rPr>
                <w:rFonts w:ascii="Arial" w:hAnsi="Arial" w:cs="Arial"/>
                <w:color w:val="000000" w:themeColor="text1"/>
                <w:sz w:val="20"/>
                <w:highlight w:val="cyan"/>
              </w:rPr>
              <w:t>1200</w:t>
            </w:r>
          </w:p>
        </w:tc>
        <w:tc>
          <w:tcPr>
            <w:tcW w:w="447" w:type="pct"/>
            <w:shd w:val="clear" w:color="auto" w:fill="auto"/>
            <w:hideMark/>
          </w:tcPr>
          <w:p w:rsidR="007640C8" w:rsidRPr="00E10DB8" w:rsidRDefault="007640C8" w:rsidP="007640C8">
            <w:pPr>
              <w:rPr>
                <w:rFonts w:ascii="Arial" w:hAnsi="Arial" w:cs="Arial"/>
                <w:color w:val="000000" w:themeColor="text1"/>
                <w:sz w:val="20"/>
              </w:rPr>
            </w:pPr>
            <w:r w:rsidRPr="00E10DB8">
              <w:rPr>
                <w:rFonts w:ascii="Arial" w:hAnsi="Arial" w:cs="Arial"/>
                <w:color w:val="000000" w:themeColor="text1"/>
                <w:sz w:val="20"/>
              </w:rPr>
              <w:t>17.46</w:t>
            </w:r>
          </w:p>
        </w:tc>
        <w:tc>
          <w:tcPr>
            <w:tcW w:w="1078"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 xml:space="preserve">There is some </w:t>
            </w:r>
            <w:proofErr w:type="spellStart"/>
            <w:r w:rsidRPr="00E10DB8">
              <w:rPr>
                <w:rFonts w:ascii="Arial" w:hAnsi="Arial" w:cs="Arial"/>
                <w:color w:val="000000" w:themeColor="text1"/>
                <w:sz w:val="20"/>
              </w:rPr>
              <w:t>amgibuity</w:t>
            </w:r>
            <w:proofErr w:type="spellEnd"/>
            <w:r w:rsidRPr="00E10DB8">
              <w:rPr>
                <w:rFonts w:ascii="Arial" w:hAnsi="Arial" w:cs="Arial"/>
                <w:color w:val="000000" w:themeColor="text1"/>
                <w:sz w:val="20"/>
              </w:rPr>
              <w:t xml:space="preserve"> in the statement "NGV stations also support clause 17 PPDU formats". Clause 17 specifies 20 MHz, 10 MHz, and 5 MHz PPDU formats. A given NGV station might not support all of those.  Given the PAR requirement to coexist with 10 MHz Clause 17 PPDU formats, I believe this statement should be qualified to refer to 10 </w:t>
            </w:r>
            <w:proofErr w:type="spellStart"/>
            <w:r w:rsidRPr="00E10DB8">
              <w:rPr>
                <w:rFonts w:ascii="Arial" w:hAnsi="Arial" w:cs="Arial"/>
                <w:color w:val="000000" w:themeColor="text1"/>
                <w:sz w:val="20"/>
              </w:rPr>
              <w:t>MHz.</w:t>
            </w:r>
            <w:proofErr w:type="spellEnd"/>
          </w:p>
        </w:tc>
        <w:tc>
          <w:tcPr>
            <w:tcW w:w="1125"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Insert "10 MHz" before "Clause 17 PPDU formats"</w:t>
            </w:r>
          </w:p>
        </w:tc>
        <w:tc>
          <w:tcPr>
            <w:tcW w:w="2037" w:type="pct"/>
          </w:tcPr>
          <w:p w:rsidR="007640C8" w:rsidRPr="00E10DB8" w:rsidRDefault="000D1CB8" w:rsidP="00C344FC">
            <w:pPr>
              <w:rPr>
                <w:rFonts w:ascii="Arial" w:hAnsi="Arial" w:cs="Arial"/>
                <w:color w:val="000000" w:themeColor="text1"/>
                <w:sz w:val="20"/>
              </w:rPr>
            </w:pPr>
            <w:r w:rsidRPr="00E10DB8">
              <w:rPr>
                <w:rFonts w:ascii="Arial" w:hAnsi="Arial" w:cs="Arial"/>
                <w:color w:val="000000" w:themeColor="text1"/>
                <w:sz w:val="20"/>
              </w:rPr>
              <w:t>Revised</w:t>
            </w:r>
          </w:p>
          <w:p w:rsidR="000D1CB8" w:rsidRPr="00E10DB8" w:rsidRDefault="000D1CB8" w:rsidP="00C344FC">
            <w:pPr>
              <w:rPr>
                <w:rFonts w:ascii="Arial" w:hAnsi="Arial" w:cs="Arial"/>
                <w:color w:val="000000" w:themeColor="text1"/>
                <w:sz w:val="20"/>
              </w:rPr>
            </w:pPr>
          </w:p>
          <w:p w:rsidR="00BC46CF" w:rsidRPr="00E10DB8" w:rsidRDefault="00BC46CF" w:rsidP="00C344FC">
            <w:pPr>
              <w:rPr>
                <w:rFonts w:ascii="Arial" w:hAnsi="Arial" w:cs="Arial"/>
                <w:color w:val="000000" w:themeColor="text1"/>
                <w:sz w:val="20"/>
              </w:rPr>
            </w:pPr>
            <w:r w:rsidRPr="00E10DB8">
              <w:rPr>
                <w:rFonts w:ascii="Arial" w:hAnsi="Arial" w:cs="Arial"/>
                <w:color w:val="000000" w:themeColor="text1"/>
                <w:sz w:val="20"/>
              </w:rPr>
              <w:t>Agree in principle on the comment</w:t>
            </w:r>
            <w:r w:rsidR="00271598" w:rsidRPr="00E10DB8">
              <w:rPr>
                <w:rFonts w:ascii="Arial" w:hAnsi="Arial" w:cs="Arial"/>
                <w:color w:val="000000" w:themeColor="text1"/>
                <w:sz w:val="20"/>
              </w:rPr>
              <w:t>. Rephrased to “Clause 17 (Orthogonal frequency division multiplexing (OFDM) PHY specification) 10 MHz PPDU”</w:t>
            </w:r>
          </w:p>
          <w:p w:rsidR="00BC46CF" w:rsidRPr="00E10DB8" w:rsidRDefault="00BC46CF" w:rsidP="00C344FC">
            <w:pPr>
              <w:rPr>
                <w:rFonts w:ascii="Arial" w:hAnsi="Arial" w:cs="Arial"/>
                <w:color w:val="000000" w:themeColor="text1"/>
                <w:sz w:val="20"/>
              </w:rPr>
            </w:pPr>
          </w:p>
          <w:p w:rsidR="00271598" w:rsidRPr="00E10DB8" w:rsidRDefault="00271598" w:rsidP="00271598">
            <w:pPr>
              <w:rPr>
                <w:rFonts w:ascii="Arial" w:hAnsi="Arial" w:cs="Arial"/>
                <w:b/>
                <w:color w:val="000000" w:themeColor="text1"/>
                <w:sz w:val="20"/>
                <w:u w:val="single"/>
              </w:rPr>
            </w:pPr>
            <w:proofErr w:type="spellStart"/>
            <w:r w:rsidRPr="00E10DB8">
              <w:rPr>
                <w:rFonts w:ascii="Arial" w:hAnsi="Arial" w:cs="Arial" w:hint="eastAsia"/>
                <w:b/>
                <w:color w:val="000000" w:themeColor="text1"/>
                <w:sz w:val="20"/>
                <w:u w:val="single"/>
              </w:rPr>
              <w:t>TGbd</w:t>
            </w:r>
            <w:proofErr w:type="spellEnd"/>
            <w:r w:rsidRPr="00E10DB8">
              <w:rPr>
                <w:rFonts w:ascii="Arial" w:hAnsi="Arial" w:cs="Arial" w:hint="eastAsia"/>
                <w:b/>
                <w:color w:val="000000" w:themeColor="text1"/>
                <w:sz w:val="20"/>
                <w:u w:val="single"/>
              </w:rPr>
              <w:t xml:space="preserve"> Editor: </w:t>
            </w:r>
          </w:p>
          <w:p w:rsidR="00271598" w:rsidRPr="00E10DB8" w:rsidRDefault="00271598" w:rsidP="00271598">
            <w:pPr>
              <w:rPr>
                <w:rFonts w:ascii="Arial" w:hAnsi="Arial" w:cs="Arial"/>
                <w:color w:val="000000" w:themeColor="text1"/>
                <w:sz w:val="20"/>
              </w:rPr>
            </w:pPr>
            <w:r w:rsidRPr="00E10DB8">
              <w:rPr>
                <w:rFonts w:ascii="Arial" w:hAnsi="Arial" w:cs="Arial" w:hint="eastAsia"/>
                <w:color w:val="000000" w:themeColor="text1"/>
                <w:sz w:val="20"/>
              </w:rPr>
              <w:t>Please</w:t>
            </w:r>
            <w:r w:rsidRPr="00E10DB8">
              <w:rPr>
                <w:rFonts w:ascii="Arial" w:hAnsi="Arial" w:cs="Arial"/>
                <w:color w:val="000000" w:themeColor="text1"/>
                <w:sz w:val="20"/>
              </w:rPr>
              <w:t xml:space="preserve"> incorporate the changes in </w:t>
            </w:r>
            <w:hyperlink r:id="rId17"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B760D3" w:rsidRDefault="007640C8" w:rsidP="00C344FC">
            <w:pPr>
              <w:jc w:val="right"/>
              <w:rPr>
                <w:rFonts w:ascii="Arial" w:hAnsi="Arial" w:cs="Arial"/>
                <w:sz w:val="20"/>
              </w:rPr>
            </w:pPr>
            <w:r w:rsidRPr="00142B92">
              <w:rPr>
                <w:rFonts w:ascii="Arial" w:hAnsi="Arial" w:cs="Arial"/>
                <w:sz w:val="20"/>
                <w:highlight w:val="cyan"/>
              </w:rPr>
              <w:t>1606</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17.48</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In subclause 32.1 RTT ranging is listed as optional feature. Hence it should be listed here as optional feature, too.</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Add bullet "- Optionally, round trip time (RTT) based ranging using 10 and 20 MHz bandwidth PPDUs."</w:t>
            </w:r>
          </w:p>
        </w:tc>
        <w:tc>
          <w:tcPr>
            <w:tcW w:w="2037" w:type="pct"/>
          </w:tcPr>
          <w:p w:rsidR="007640C8"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C61645" w:rsidRPr="00B760D3" w:rsidRDefault="00C61645" w:rsidP="00C344FC">
            <w:pPr>
              <w:rPr>
                <w:rFonts w:ascii="Arial" w:hAnsi="Arial" w:cs="Arial"/>
                <w:sz w:val="20"/>
              </w:rPr>
            </w:pPr>
          </w:p>
          <w:p w:rsidR="00C61645" w:rsidRPr="00B760D3" w:rsidRDefault="00B760D3" w:rsidP="00C344FC">
            <w:pPr>
              <w:rPr>
                <w:rFonts w:ascii="Arial" w:hAnsi="Arial" w:cs="Arial"/>
                <w:sz w:val="20"/>
              </w:rPr>
            </w:pPr>
            <w:r w:rsidRPr="00B760D3">
              <w:rPr>
                <w:rFonts w:ascii="Arial" w:hAnsi="Arial" w:cs="Arial"/>
                <w:sz w:val="20"/>
              </w:rPr>
              <w:t xml:space="preserve">Agree in principle on comment. Added statement “NGV STAs may support positioning based on NGV Ranging in the 5.9 GHz band” and “An NGV STA may support positioning based on NGV Ranging, which consists of a subset of Fine timing measurement (FTM) functionalities as defined in 11.21.6:” </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18"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lastRenderedPageBreak/>
              <w:t>1017</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17.51</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Some of the bullets under main MAC features seem confusing. Operation with 10 MHz and 20 MHz PPDUs in OCB context is nothing new AFAIK. Also having same channel coexistence with something else is not a feature. And frame aggregation, if referring to A-MPDU this is not new.</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sz w:val="20"/>
              </w:rPr>
            </w:pPr>
          </w:p>
          <w:p w:rsidR="005921A2" w:rsidRPr="00C61645" w:rsidRDefault="005921A2" w:rsidP="00C344FC">
            <w:pPr>
              <w:rPr>
                <w:rFonts w:ascii="Arial" w:hAnsi="Arial" w:cs="Arial"/>
                <w:sz w:val="20"/>
              </w:rPr>
            </w:pPr>
            <w:r w:rsidRPr="00C61645">
              <w:rPr>
                <w:rFonts w:ascii="Arial" w:hAnsi="Arial" w:cs="Arial"/>
                <w:sz w:val="20"/>
              </w:rPr>
              <w:t>In principle agree with comment. Bullet list have been revised to list main MAC and PHY feature of an NGV STA and to differentiate with a non-NGV STA.</w:t>
            </w:r>
          </w:p>
          <w:p w:rsidR="005921A2" w:rsidRPr="00C61645" w:rsidRDefault="005921A2" w:rsidP="00C344FC">
            <w:pPr>
              <w:rPr>
                <w:rFonts w:ascii="Arial" w:hAnsi="Arial" w:cs="Arial"/>
                <w:sz w:val="20"/>
              </w:rPr>
            </w:pPr>
          </w:p>
          <w:p w:rsidR="005921A2" w:rsidRPr="00C61645" w:rsidRDefault="005921A2" w:rsidP="005921A2">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5921A2" w:rsidRPr="00C61645" w:rsidRDefault="005921A2" w:rsidP="005921A2">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19"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t>1095</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When operates in the 60GHz band, it is not clear what PHY will be used. The NGV PHY defined in clause 32 doesn't work in 60GHz band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rPr>
            </w:pPr>
          </w:p>
          <w:p w:rsidR="005921A2" w:rsidRPr="00C61645" w:rsidRDefault="00FF199E" w:rsidP="00C344FC">
            <w:pPr>
              <w:rPr>
                <w:rFonts w:ascii="Arial" w:hAnsi="Arial" w:cs="Arial"/>
                <w:sz w:val="20"/>
              </w:rPr>
            </w:pPr>
            <w:r w:rsidRPr="00C61645">
              <w:rPr>
                <w:rFonts w:ascii="Arial" w:hAnsi="Arial" w:cs="Arial"/>
                <w:sz w:val="20"/>
              </w:rPr>
              <w:t>Rephrased to:</w:t>
            </w:r>
            <w:r w:rsidRPr="00C61645">
              <w:rPr>
                <w:rFonts w:ascii="Arial" w:hAnsi="Arial" w:cs="Arial"/>
              </w:rPr>
              <w:br/>
            </w:r>
            <w:r w:rsidR="00426730" w:rsidRPr="00C61645">
              <w:rPr>
                <w:rFonts w:ascii="Arial" w:hAnsi="Arial" w:cs="Arial"/>
                <w:sz w:val="20"/>
              </w:rPr>
              <w:t>Additional main MAC features in an NGV STA are the following:</w:t>
            </w:r>
            <w:r w:rsidR="00426730" w:rsidRPr="00C61645">
              <w:rPr>
                <w:rFonts w:ascii="Arial" w:hAnsi="Arial" w:cs="Arial"/>
                <w:sz w:val="20"/>
              </w:rPr>
              <w:br/>
              <w:t>Optional support for operating as DMG STA, when dot11OCBActivated is true, with the MAC and MLME functions defined in Clause 31.3 (Operation in 60 GHz band) in addition to the MAC functions defined in Cause 10 (MAC sublayer functional description) and the MLME functions defined in Clause 11(MLME) for DMG or EDMG STAs.</w:t>
            </w:r>
          </w:p>
          <w:p w:rsidR="00FF199E" w:rsidRPr="00C61645" w:rsidRDefault="00FF199E" w:rsidP="00C344FC">
            <w:pPr>
              <w:rPr>
                <w:rFonts w:ascii="Arial" w:hAnsi="Arial" w:cs="Arial"/>
                <w:sz w:val="20"/>
              </w:rPr>
            </w:pPr>
          </w:p>
          <w:p w:rsidR="00FF199E" w:rsidRPr="00C61645" w:rsidRDefault="00FF199E" w:rsidP="00FF199E">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FF199E" w:rsidRPr="00426730" w:rsidRDefault="00FF199E" w:rsidP="00FF199E">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0" w:history="1">
              <w:r w:rsidR="00114AE4">
                <w:rPr>
                  <w:rStyle w:val="Hyperlink"/>
                  <w:rFonts w:ascii="Arial" w:hAnsi="Arial" w:cs="Arial"/>
                  <w:sz w:val="20"/>
                </w:rPr>
                <w:t>https://mentor.ieee.org/802.11/dcn/21/11-21-0083-05-00bd-lb251-cr-for-11bd-d1-0-clause-4.docx</w:t>
              </w:r>
            </w:hyperlink>
          </w:p>
        </w:tc>
      </w:tr>
      <w:tr w:rsidR="001D7CE6" w:rsidTr="001D7CE6">
        <w:tblPrEx>
          <w:tblCellMar>
            <w:left w:w="70" w:type="dxa"/>
            <w:right w:w="70" w:type="dxa"/>
          </w:tblCellMar>
        </w:tblPrEx>
        <w:trPr>
          <w:trHeight w:val="2040"/>
        </w:trPr>
        <w:tc>
          <w:tcPr>
            <w:tcW w:w="313" w:type="pct"/>
            <w:shd w:val="clear" w:color="auto" w:fill="auto"/>
            <w:hideMark/>
          </w:tcPr>
          <w:p w:rsidR="001D7CE6" w:rsidRPr="00C61645" w:rsidRDefault="001D7CE6" w:rsidP="005921A2">
            <w:pPr>
              <w:jc w:val="right"/>
              <w:rPr>
                <w:rFonts w:ascii="Arial" w:hAnsi="Arial" w:cs="Arial"/>
                <w:sz w:val="20"/>
              </w:rPr>
            </w:pPr>
            <w:r w:rsidRPr="0017782B">
              <w:rPr>
                <w:rFonts w:ascii="Arial" w:hAnsi="Arial" w:cs="Arial"/>
                <w:sz w:val="20"/>
                <w:highlight w:val="cyan"/>
              </w:rPr>
              <w:t>1737</w:t>
            </w:r>
          </w:p>
        </w:tc>
        <w:tc>
          <w:tcPr>
            <w:tcW w:w="447" w:type="pct"/>
            <w:shd w:val="clear" w:color="auto" w:fill="auto"/>
            <w:hideMark/>
          </w:tcPr>
          <w:p w:rsidR="001D7CE6" w:rsidRPr="00C61645" w:rsidRDefault="001D7CE6" w:rsidP="001D7CE6">
            <w:pPr>
              <w:rPr>
                <w:rFonts w:ascii="Arial" w:hAnsi="Arial" w:cs="Arial"/>
                <w:sz w:val="20"/>
              </w:rPr>
            </w:pPr>
            <w:r w:rsidRPr="00C61645">
              <w:rPr>
                <w:rFonts w:ascii="Arial" w:hAnsi="Arial" w:cs="Arial"/>
                <w:sz w:val="20"/>
              </w:rPr>
              <w:t>17.55</w:t>
            </w:r>
          </w:p>
        </w:tc>
        <w:tc>
          <w:tcPr>
            <w:tcW w:w="1078"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"Optionally, operation outside the context of a BSS in the 60 GHz band" Does this mean, when operating in the 60 GHz, the STA has to have a multi-band capability? Is operation in the 5.9 GHz mandatory for NGV STAs?</w:t>
            </w:r>
          </w:p>
        </w:tc>
        <w:tc>
          <w:tcPr>
            <w:tcW w:w="1125"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Clarify.</w:t>
            </w:r>
          </w:p>
        </w:tc>
        <w:tc>
          <w:tcPr>
            <w:tcW w:w="2037" w:type="pct"/>
          </w:tcPr>
          <w:p w:rsidR="001D7CE6" w:rsidRPr="00C61645" w:rsidRDefault="001D7CE6" w:rsidP="005921A2">
            <w:pPr>
              <w:rPr>
                <w:rFonts w:ascii="Arial" w:hAnsi="Arial" w:cs="Arial"/>
                <w:sz w:val="20"/>
              </w:rPr>
            </w:pPr>
            <w:r w:rsidRPr="00C61645">
              <w:rPr>
                <w:rFonts w:ascii="Arial" w:hAnsi="Arial" w:cs="Arial"/>
                <w:sz w:val="20"/>
              </w:rPr>
              <w:t>Re</w:t>
            </w:r>
            <w:r w:rsidR="008C1FF5">
              <w:rPr>
                <w:rFonts w:ascii="Arial" w:hAnsi="Arial" w:cs="Arial"/>
                <w:sz w:val="20"/>
              </w:rPr>
              <w:t>ject</w:t>
            </w:r>
          </w:p>
          <w:p w:rsidR="001D7CE6" w:rsidRPr="00C61645" w:rsidRDefault="001D7CE6" w:rsidP="005921A2">
            <w:pPr>
              <w:rPr>
                <w:rFonts w:ascii="Arial" w:hAnsi="Arial" w:cs="Arial"/>
                <w:sz w:val="20"/>
              </w:rPr>
            </w:pPr>
          </w:p>
          <w:p w:rsidR="008C1FF5" w:rsidRDefault="008C1FF5" w:rsidP="005921A2">
            <w:pPr>
              <w:rPr>
                <w:rFonts w:ascii="Arial" w:hAnsi="Arial" w:cs="Arial"/>
                <w:sz w:val="20"/>
              </w:rPr>
            </w:pPr>
            <w:r>
              <w:rPr>
                <w:rFonts w:ascii="Arial" w:hAnsi="Arial" w:cs="Arial"/>
                <w:sz w:val="20"/>
              </w:rPr>
              <w:t>Comment does not provide any valid spec text modification proposal.</w:t>
            </w:r>
          </w:p>
          <w:p w:rsidR="008C1FF5" w:rsidRDefault="008C1FF5" w:rsidP="005921A2">
            <w:pPr>
              <w:rPr>
                <w:rFonts w:ascii="Arial" w:hAnsi="Arial" w:cs="Arial"/>
                <w:sz w:val="20"/>
              </w:rPr>
            </w:pPr>
          </w:p>
          <w:p w:rsidR="008C1FF5" w:rsidRDefault="008C1FF5" w:rsidP="005921A2">
            <w:pPr>
              <w:rPr>
                <w:rFonts w:ascii="Arial" w:hAnsi="Arial" w:cs="Arial"/>
                <w:sz w:val="20"/>
              </w:rPr>
            </w:pPr>
            <w:proofErr w:type="spellStart"/>
            <w:r>
              <w:rPr>
                <w:rFonts w:ascii="Arial" w:hAnsi="Arial" w:cs="Arial"/>
                <w:sz w:val="20"/>
              </w:rPr>
              <w:t>Disucssion</w:t>
            </w:r>
            <w:proofErr w:type="spellEnd"/>
            <w:r>
              <w:rPr>
                <w:rFonts w:ascii="Arial" w:hAnsi="Arial" w:cs="Arial"/>
                <w:sz w:val="20"/>
              </w:rPr>
              <w:t>:</w:t>
            </w:r>
          </w:p>
          <w:p w:rsidR="00426730" w:rsidRDefault="00426730" w:rsidP="005921A2">
            <w:pPr>
              <w:rPr>
                <w:rFonts w:ascii="Arial" w:hAnsi="Arial" w:cs="Arial"/>
                <w:sz w:val="20"/>
              </w:rPr>
            </w:pPr>
            <w:r w:rsidRPr="00C61645">
              <w:rPr>
                <w:rFonts w:ascii="Arial" w:hAnsi="Arial" w:cs="Arial"/>
                <w:sz w:val="20"/>
              </w:rPr>
              <w:t>Yes, 5.9 GHz operation is mandatory for NGV STA and 60 GHz is optional. Hence, a</w:t>
            </w:r>
            <w:r w:rsidR="00C61645" w:rsidRPr="00C61645">
              <w:rPr>
                <w:rFonts w:ascii="Arial" w:hAnsi="Arial" w:cs="Arial"/>
                <w:sz w:val="20"/>
              </w:rPr>
              <w:t>n</w:t>
            </w:r>
            <w:r w:rsidRPr="00C61645">
              <w:rPr>
                <w:rFonts w:ascii="Arial" w:hAnsi="Arial" w:cs="Arial"/>
                <w:sz w:val="20"/>
              </w:rPr>
              <w:t xml:space="preserve"> NGV STA opti</w:t>
            </w:r>
            <w:r w:rsidR="00620941">
              <w:rPr>
                <w:rFonts w:ascii="Arial" w:hAnsi="Arial" w:cs="Arial"/>
                <w:sz w:val="20"/>
              </w:rPr>
              <w:t>o</w:t>
            </w:r>
            <w:r w:rsidRPr="00C61645">
              <w:rPr>
                <w:rFonts w:ascii="Arial" w:hAnsi="Arial" w:cs="Arial"/>
                <w:sz w:val="20"/>
              </w:rPr>
              <w:t>nally supporting DMG operations has multiband capabilities.</w:t>
            </w:r>
            <w:r w:rsidR="00BC7B79" w:rsidRPr="00C61645">
              <w:rPr>
                <w:rFonts w:ascii="Arial" w:hAnsi="Arial" w:cs="Arial"/>
                <w:sz w:val="20"/>
              </w:rPr>
              <w:br/>
            </w:r>
            <w:proofErr w:type="spellStart"/>
            <w:r w:rsidR="00BC7B79" w:rsidRPr="00C61645">
              <w:rPr>
                <w:rFonts w:ascii="Arial" w:hAnsi="Arial" w:cs="Arial"/>
                <w:sz w:val="20"/>
              </w:rPr>
              <w:t>Pleae</w:t>
            </w:r>
            <w:proofErr w:type="spellEnd"/>
            <w:r w:rsidR="00BC7B79" w:rsidRPr="00C61645">
              <w:rPr>
                <w:rFonts w:ascii="Arial" w:hAnsi="Arial" w:cs="Arial"/>
                <w:sz w:val="20"/>
              </w:rPr>
              <w:t xml:space="preserve"> note the first paragraph of the subclause defines that an NGV STA is a STA operating OCB in 5.9 GHz and </w:t>
            </w:r>
            <w:proofErr w:type="spellStart"/>
            <w:r w:rsidR="00BC7B79" w:rsidRPr="00C61645">
              <w:rPr>
                <w:rFonts w:ascii="Arial" w:hAnsi="Arial" w:cs="Arial"/>
                <w:sz w:val="20"/>
              </w:rPr>
              <w:t>optionaly</w:t>
            </w:r>
            <w:proofErr w:type="spellEnd"/>
            <w:r w:rsidR="00BC7B79" w:rsidRPr="00C61645">
              <w:rPr>
                <w:rFonts w:ascii="Arial" w:hAnsi="Arial" w:cs="Arial"/>
                <w:sz w:val="20"/>
              </w:rPr>
              <w:t xml:space="preserve"> operated in the 60 GHz band. </w:t>
            </w:r>
          </w:p>
          <w:p w:rsidR="001D7CE6" w:rsidRDefault="001D7CE6" w:rsidP="005921A2">
            <w:pPr>
              <w:rPr>
                <w:rFonts w:ascii="Arial" w:hAnsi="Arial" w:cs="Arial"/>
                <w:sz w:val="20"/>
              </w:rPr>
            </w:pP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t>1510</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17.57</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 xml:space="preserve">"New 20 MHz channel access mechanism" doesn't give any idea what it is. Either remove "new" from the sentence or give a name for the new 20 </w:t>
            </w:r>
            <w:r w:rsidRPr="00C61645">
              <w:rPr>
                <w:rFonts w:ascii="Arial" w:hAnsi="Arial" w:cs="Arial"/>
                <w:sz w:val="20"/>
              </w:rPr>
              <w:lastRenderedPageBreak/>
              <w:t>MHz channel access mechanism.</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lastRenderedPageBreak/>
              <w:t>as shown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BC7B79">
            <w:pPr>
              <w:rPr>
                <w:rFonts w:ascii="Arial" w:hAnsi="Arial" w:cs="Arial"/>
                <w:sz w:val="20"/>
              </w:rPr>
            </w:pPr>
            <w:r w:rsidRPr="00C61645">
              <w:rPr>
                <w:rFonts w:ascii="Arial" w:hAnsi="Arial" w:cs="Arial"/>
                <w:sz w:val="20"/>
              </w:rPr>
              <w:t xml:space="preserve">Agree with comment. Rephrased to: Mandatory support for 20 MHz channel access with 10 MHz primary and 10 MHz secondary channel when communicating OCB </w:t>
            </w:r>
          </w:p>
          <w:p w:rsidR="00BC7B79" w:rsidRPr="00C61645" w:rsidRDefault="00BC7B79" w:rsidP="00BC7B79">
            <w:pPr>
              <w:rPr>
                <w:rFonts w:ascii="Arial" w:hAnsi="Arial" w:cs="Arial"/>
                <w:sz w:val="20"/>
              </w:rPr>
            </w:pPr>
          </w:p>
          <w:p w:rsidR="00BC7B79" w:rsidRPr="00C61645" w:rsidRDefault="00BC7B79" w:rsidP="00BC7B79">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lastRenderedPageBreak/>
              <w:t>TGbd</w:t>
            </w:r>
            <w:proofErr w:type="spellEnd"/>
            <w:r w:rsidRPr="00C61645">
              <w:rPr>
                <w:rFonts w:ascii="Arial" w:hAnsi="Arial" w:cs="Arial" w:hint="eastAsia"/>
                <w:b/>
                <w:color w:val="000000" w:themeColor="text1"/>
                <w:sz w:val="20"/>
                <w:u w:val="single"/>
              </w:rPr>
              <w:t xml:space="preserve"> Editor: </w:t>
            </w:r>
          </w:p>
          <w:p w:rsidR="00BC7B79" w:rsidRPr="00C61645" w:rsidRDefault="00BC7B79" w:rsidP="00BC7B79">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1"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3060"/>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lastRenderedPageBreak/>
              <w:t>1738</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17.60</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"Same channel coexistence with stations communicating in OCB mode that are not NGV capable" What does same channel coexistence mean? Does this bullet mean that a coexistence scheme is provided to share the medium with non-NGV STAs in the same OCB primary channel or in the same OCB secondary channel?</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Clarify.</w:t>
            </w:r>
          </w:p>
        </w:tc>
        <w:tc>
          <w:tcPr>
            <w:tcW w:w="2037" w:type="pct"/>
          </w:tcPr>
          <w:p w:rsidR="008C1FF5" w:rsidRPr="00C61645" w:rsidRDefault="008C1FF5" w:rsidP="008C1FF5">
            <w:pPr>
              <w:rPr>
                <w:rFonts w:ascii="Arial" w:hAnsi="Arial" w:cs="Arial"/>
                <w:sz w:val="20"/>
              </w:rPr>
            </w:pPr>
            <w:r w:rsidRPr="00C61645">
              <w:rPr>
                <w:rFonts w:ascii="Arial" w:hAnsi="Arial" w:cs="Arial"/>
                <w:sz w:val="20"/>
              </w:rPr>
              <w:t>Re</w:t>
            </w:r>
            <w:r>
              <w:rPr>
                <w:rFonts w:ascii="Arial" w:hAnsi="Arial" w:cs="Arial"/>
                <w:sz w:val="20"/>
              </w:rPr>
              <w:t>ject</w:t>
            </w:r>
          </w:p>
          <w:p w:rsidR="008C1FF5" w:rsidRPr="00C61645" w:rsidRDefault="008C1FF5" w:rsidP="008C1FF5">
            <w:pPr>
              <w:rPr>
                <w:rFonts w:ascii="Arial" w:hAnsi="Arial" w:cs="Arial"/>
                <w:sz w:val="20"/>
              </w:rPr>
            </w:pPr>
          </w:p>
          <w:p w:rsidR="008C1FF5" w:rsidRDefault="008C1FF5" w:rsidP="008C1FF5">
            <w:pPr>
              <w:rPr>
                <w:rFonts w:ascii="Arial" w:hAnsi="Arial" w:cs="Arial"/>
                <w:sz w:val="20"/>
              </w:rPr>
            </w:pPr>
            <w:r>
              <w:rPr>
                <w:rFonts w:ascii="Arial" w:hAnsi="Arial" w:cs="Arial"/>
                <w:sz w:val="20"/>
              </w:rPr>
              <w:t>Comment does not provide any valid spec text modification proposal.</w:t>
            </w:r>
          </w:p>
          <w:p w:rsidR="00BC7B79" w:rsidRDefault="00BC7B79" w:rsidP="00C344FC">
            <w:pPr>
              <w:rPr>
                <w:rFonts w:ascii="Arial" w:hAnsi="Arial" w:cs="Arial"/>
                <w:sz w:val="20"/>
              </w:rPr>
            </w:pPr>
          </w:p>
          <w:p w:rsidR="008C1FF5" w:rsidRPr="00C61645" w:rsidRDefault="008C1FF5" w:rsidP="00C344FC">
            <w:pPr>
              <w:rPr>
                <w:rFonts w:ascii="Arial" w:hAnsi="Arial" w:cs="Arial"/>
                <w:sz w:val="20"/>
              </w:rPr>
            </w:pPr>
            <w:r>
              <w:rPr>
                <w:rFonts w:ascii="Arial" w:hAnsi="Arial" w:cs="Arial"/>
                <w:sz w:val="20"/>
              </w:rPr>
              <w:t>Discussion:</w:t>
            </w:r>
          </w:p>
          <w:p w:rsidR="00BC7B79" w:rsidRPr="00C61645" w:rsidRDefault="00BC7B79" w:rsidP="00C344FC">
            <w:pPr>
              <w:rPr>
                <w:rFonts w:ascii="Arial" w:hAnsi="Arial" w:cs="Arial"/>
                <w:sz w:val="20"/>
              </w:rPr>
            </w:pPr>
            <w:r w:rsidRPr="00C61645">
              <w:rPr>
                <w:rFonts w:ascii="Arial" w:hAnsi="Arial" w:cs="Arial"/>
                <w:sz w:val="20"/>
              </w:rPr>
              <w:t>An NGV STA has mandatory support for same channel coexistence with non-NGV STAs</w:t>
            </w:r>
            <w:r w:rsidR="00EE117C" w:rsidRPr="00C61645">
              <w:rPr>
                <w:rFonts w:ascii="Arial" w:hAnsi="Arial" w:cs="Arial"/>
                <w:sz w:val="20"/>
              </w:rPr>
              <w:t xml:space="preserve"> and mandatory support for 20 MHz channel access with 10 MHz primary and 10 MHz secondary channel when communicating OCB. Hence a</w:t>
            </w:r>
            <w:r w:rsidR="00C61645" w:rsidRPr="00C61645">
              <w:rPr>
                <w:rFonts w:ascii="Arial" w:hAnsi="Arial" w:cs="Arial"/>
                <w:sz w:val="20"/>
              </w:rPr>
              <w:t>n</w:t>
            </w:r>
            <w:r w:rsidR="00EE117C" w:rsidRPr="00C61645">
              <w:rPr>
                <w:rFonts w:ascii="Arial" w:hAnsi="Arial" w:cs="Arial"/>
                <w:sz w:val="20"/>
              </w:rPr>
              <w:t xml:space="preserve"> NGV STA coexists with a non-NGV STA in the same primary or secondary OCB channel.</w:t>
            </w: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t>1202</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I think that the indication of NGV capability in the MAC header qualifies as one of the main features of an NGV STA that are presented in this clause. This should be added.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At the end of the bullet list (following "Improvements to the MAC Service ..."), add the following bullet: "NGV capability indication encoded in the MAC header"</w:t>
            </w:r>
          </w:p>
        </w:tc>
        <w:tc>
          <w:tcPr>
            <w:tcW w:w="2037" w:type="pct"/>
          </w:tcPr>
          <w:p w:rsidR="007640C8" w:rsidRPr="00C61645" w:rsidRDefault="00A453BD" w:rsidP="00C344FC">
            <w:pPr>
              <w:rPr>
                <w:rFonts w:ascii="Arial" w:hAnsi="Arial" w:cs="Arial"/>
                <w:sz w:val="20"/>
              </w:rPr>
            </w:pPr>
            <w:r w:rsidRPr="00C61645">
              <w:rPr>
                <w:rFonts w:ascii="Arial" w:hAnsi="Arial" w:cs="Arial"/>
                <w:sz w:val="20"/>
              </w:rPr>
              <w:t>Revised</w:t>
            </w:r>
          </w:p>
          <w:p w:rsidR="00A453BD" w:rsidRPr="00C61645" w:rsidRDefault="00A453BD" w:rsidP="00C344FC">
            <w:pPr>
              <w:rPr>
                <w:rFonts w:ascii="Arial" w:hAnsi="Arial" w:cs="Arial"/>
                <w:sz w:val="20"/>
              </w:rPr>
            </w:pPr>
          </w:p>
          <w:p w:rsidR="00A453BD" w:rsidRPr="00C61645" w:rsidRDefault="00A453BD" w:rsidP="00C344FC">
            <w:pPr>
              <w:rPr>
                <w:rFonts w:ascii="Arial" w:hAnsi="Arial" w:cs="Arial"/>
                <w:sz w:val="20"/>
              </w:rPr>
            </w:pPr>
            <w:r w:rsidRPr="00C61645">
              <w:rPr>
                <w:rFonts w:ascii="Arial" w:hAnsi="Arial" w:cs="Arial"/>
                <w:sz w:val="20"/>
              </w:rPr>
              <w:t xml:space="preserve">Agree with comment. </w:t>
            </w:r>
            <w:r w:rsidR="00652741" w:rsidRPr="00C61645">
              <w:rPr>
                <w:rFonts w:ascii="Arial" w:hAnsi="Arial" w:cs="Arial"/>
                <w:sz w:val="20"/>
              </w:rPr>
              <w:t>Rephrased to:</w:t>
            </w:r>
          </w:p>
          <w:p w:rsidR="00652741" w:rsidRPr="00C61645" w:rsidRDefault="00652741" w:rsidP="00C344FC">
            <w:pPr>
              <w:rPr>
                <w:rFonts w:ascii="Arial" w:hAnsi="Arial" w:cs="Arial"/>
                <w:sz w:val="20"/>
              </w:rPr>
            </w:pPr>
            <w:r w:rsidRPr="00C61645">
              <w:rPr>
                <w:rFonts w:ascii="Arial" w:hAnsi="Arial" w:cs="Arial"/>
                <w:sz w:val="20"/>
              </w:rPr>
              <w:t>— Mandatory support for NGV capability indication for non-NGV PPDUs encoded in the Duration/ID field of the MAC header</w:t>
            </w:r>
          </w:p>
          <w:p w:rsidR="00652741" w:rsidRPr="00C61645" w:rsidRDefault="00652741" w:rsidP="00652741">
            <w:pPr>
              <w:rPr>
                <w:rFonts w:ascii="Arial" w:hAnsi="Arial" w:cs="Arial"/>
                <w:sz w:val="20"/>
              </w:rPr>
            </w:pPr>
          </w:p>
          <w:p w:rsidR="00652741" w:rsidRPr="00C61645" w:rsidRDefault="00652741" w:rsidP="00652741">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652741" w:rsidRPr="00C61645" w:rsidRDefault="00652741" w:rsidP="00652741">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2"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B760D3" w:rsidRDefault="007640C8" w:rsidP="00C344FC">
            <w:pPr>
              <w:jc w:val="right"/>
              <w:rPr>
                <w:rFonts w:ascii="Arial" w:hAnsi="Arial" w:cs="Arial"/>
                <w:sz w:val="20"/>
              </w:rPr>
            </w:pPr>
            <w:r w:rsidRPr="0017782B">
              <w:rPr>
                <w:rFonts w:ascii="Arial" w:hAnsi="Arial" w:cs="Arial"/>
                <w:sz w:val="20"/>
                <w:highlight w:val="cyan"/>
              </w:rPr>
              <w:t>1607</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Since RTT ranging can be implemented according to </w:t>
            </w:r>
            <w:proofErr w:type="spellStart"/>
            <w:r w:rsidRPr="00B760D3">
              <w:rPr>
                <w:rFonts w:ascii="Arial" w:hAnsi="Arial" w:cs="Arial"/>
                <w:sz w:val="20"/>
              </w:rPr>
              <w:t>REVmd</w:t>
            </w:r>
            <w:proofErr w:type="spellEnd"/>
            <w:r w:rsidRPr="00B760D3">
              <w:rPr>
                <w:rFonts w:ascii="Arial" w:hAnsi="Arial" w:cs="Arial"/>
                <w:sz w:val="20"/>
              </w:rPr>
              <w:t xml:space="preserve"> D5.0 or 11az D2.3 with several different methods, list at least one specific method here.</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The optional RTT based ranging for NGV STAs operating OCB shall use an adapted FTM session with non-trigger based (non-TB) measurement exchange."</w:t>
            </w:r>
          </w:p>
        </w:tc>
        <w:tc>
          <w:tcPr>
            <w:tcW w:w="2037" w:type="pct"/>
          </w:tcPr>
          <w:p w:rsidR="00652741"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Pr="00B760D3" w:rsidRDefault="00B760D3" w:rsidP="00C344FC">
            <w:pPr>
              <w:rPr>
                <w:rFonts w:ascii="Arial" w:hAnsi="Arial" w:cs="Arial"/>
                <w:sz w:val="20"/>
              </w:rPr>
            </w:pPr>
          </w:p>
          <w:p w:rsidR="00B760D3" w:rsidRPr="00B760D3" w:rsidRDefault="00B760D3" w:rsidP="00C344FC">
            <w:pPr>
              <w:rPr>
                <w:rFonts w:ascii="Arial" w:hAnsi="Arial" w:cs="Arial"/>
                <w:sz w:val="20"/>
              </w:rPr>
            </w:pPr>
            <w:r w:rsidRPr="00B760D3">
              <w:rPr>
                <w:rFonts w:ascii="Arial" w:hAnsi="Arial" w:cs="Arial"/>
                <w:sz w:val="20"/>
              </w:rPr>
              <w:t>Agree in principle on comment. Added “— Fine Timing Measurement procedure negotiation for Non-TB Ranging as defined in 11.21.6.3 and Non-TB Ranging as described in 11.21.6.4.4”.</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P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3"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B760D3" w:rsidRDefault="007640C8" w:rsidP="00C344FC">
            <w:pPr>
              <w:jc w:val="right"/>
              <w:rPr>
                <w:rFonts w:ascii="Arial" w:hAnsi="Arial" w:cs="Arial"/>
                <w:sz w:val="20"/>
              </w:rPr>
            </w:pPr>
            <w:r w:rsidRPr="00B6679A">
              <w:rPr>
                <w:rFonts w:ascii="Arial" w:hAnsi="Arial" w:cs="Arial"/>
                <w:sz w:val="20"/>
                <w:highlight w:val="yellow"/>
              </w:rPr>
              <w:lastRenderedPageBreak/>
              <w:t>1608</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the 11bd PAR states that "amendment defines procedures for at least one form of positioning in conjunction with V2X communications</w:t>
            </w:r>
            <w:proofErr w:type="gramStart"/>
            <w:r w:rsidRPr="00B760D3">
              <w:rPr>
                <w:rFonts w:ascii="Arial" w:hAnsi="Arial" w:cs="Arial"/>
                <w:sz w:val="20"/>
              </w:rPr>
              <w:t>" ,</w:t>
            </w:r>
            <w:proofErr w:type="gramEnd"/>
            <w:r w:rsidRPr="00B760D3">
              <w:rPr>
                <w:rFonts w:ascii="Arial" w:hAnsi="Arial" w:cs="Arial"/>
                <w:sz w:val="20"/>
              </w:rPr>
              <w:t xml:space="preserve"> 11bd should provide the means to setup 11az ranging through multi-channel operation.</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 xml:space="preserve">NGV STAs operating OCB may support </w:t>
            </w:r>
            <w:proofErr w:type="spellStart"/>
            <w:r w:rsidRPr="00B760D3">
              <w:rPr>
                <w:rFonts w:ascii="Arial" w:hAnsi="Arial" w:cs="Arial"/>
                <w:sz w:val="20"/>
              </w:rPr>
              <w:t>negotation</w:t>
            </w:r>
            <w:proofErr w:type="spellEnd"/>
            <w:r w:rsidRPr="00B760D3">
              <w:rPr>
                <w:rFonts w:ascii="Arial" w:hAnsi="Arial" w:cs="Arial"/>
                <w:sz w:val="20"/>
              </w:rPr>
              <w:t xml:space="preserve"> of ranging features using higher layer mechanisms such as multi-channel operation  described in the IEEE 1609 [B17] family of standards."</w:t>
            </w:r>
            <w:r w:rsidRPr="00B760D3">
              <w:rPr>
                <w:rFonts w:ascii="Arial" w:hAnsi="Arial" w:cs="Arial"/>
                <w:sz w:val="20"/>
              </w:rPr>
              <w:br/>
              <w:t xml:space="preserve">Note that [B17] is defined in </w:t>
            </w:r>
            <w:proofErr w:type="spellStart"/>
            <w:r w:rsidRPr="00B760D3">
              <w:rPr>
                <w:rFonts w:ascii="Arial" w:hAnsi="Arial" w:cs="Arial"/>
                <w:sz w:val="20"/>
              </w:rPr>
              <w:t>REVmd</w:t>
            </w:r>
            <w:proofErr w:type="spellEnd"/>
            <w:r w:rsidRPr="00B760D3">
              <w:rPr>
                <w:rFonts w:ascii="Arial" w:hAnsi="Arial" w:cs="Arial"/>
                <w:sz w:val="20"/>
              </w:rPr>
              <w:t xml:space="preserve"> D5.0.</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Additionally, an NGV STA may support positioning based on fine timing measurement (FTM) procedures outside the 5.9 GHz frequency band as defined in 11.21.6</w:t>
            </w:r>
            <w:r>
              <w:rPr>
                <w:rFonts w:ascii="Arial" w:hAnsi="Arial" w:cs="Arial"/>
                <w:sz w:val="20"/>
              </w:rPr>
              <w:t>.”</w:t>
            </w:r>
          </w:p>
          <w:p w:rsidR="00B760D3" w:rsidRDefault="00B760D3" w:rsidP="00C344FC">
            <w:pPr>
              <w:rPr>
                <w:rFonts w:ascii="Arial" w:hAnsi="Arial" w:cs="Arial"/>
                <w:sz w:val="20"/>
              </w:rPr>
            </w:pPr>
          </w:p>
          <w:p w:rsidR="00B760D3" w:rsidRPr="00B760D3" w:rsidRDefault="00B760D3" w:rsidP="00B760D3">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4" w:history="1">
              <w:r w:rsidR="00114AE4">
                <w:rPr>
                  <w:rStyle w:val="Hyperlink"/>
                  <w:rFonts w:ascii="Arial" w:hAnsi="Arial" w:cs="Arial"/>
                  <w:sz w:val="20"/>
                </w:rPr>
                <w:t>https://mentor.ieee.org/802.11/dcn/21/11-21-0083-05-00bd-lb251-cr-for-11bd-d1-0-clause-4.docx</w:t>
              </w:r>
            </w:hyperlink>
          </w:p>
        </w:tc>
      </w:tr>
      <w:tr w:rsidR="007640C8" w:rsidTr="001D7CE6">
        <w:tblPrEx>
          <w:tblCellMar>
            <w:left w:w="70" w:type="dxa"/>
            <w:right w:w="70" w:type="dxa"/>
          </w:tblCellMar>
        </w:tblPrEx>
        <w:trPr>
          <w:trHeight w:val="3315"/>
        </w:trPr>
        <w:tc>
          <w:tcPr>
            <w:tcW w:w="313" w:type="pct"/>
            <w:shd w:val="clear" w:color="auto" w:fill="auto"/>
            <w:hideMark/>
          </w:tcPr>
          <w:p w:rsidR="007640C8" w:rsidRPr="00B760D3" w:rsidRDefault="007640C8" w:rsidP="00C344FC">
            <w:pPr>
              <w:jc w:val="right"/>
              <w:rPr>
                <w:rFonts w:ascii="Arial" w:hAnsi="Arial" w:cs="Arial"/>
                <w:sz w:val="20"/>
              </w:rPr>
            </w:pPr>
            <w:r w:rsidRPr="0017782B">
              <w:rPr>
                <w:rFonts w:ascii="Arial" w:hAnsi="Arial" w:cs="Arial"/>
                <w:sz w:val="20"/>
                <w:highlight w:val="cyan"/>
              </w:rPr>
              <w:t>1609</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18.1</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an NGV PHY may support RTT based ranging using 10 and 20 MHz bandwidth PPDUs, subclause 4.3.19.19 should contain a statement that an NGV STA operating OCB may use an adapted FTM session with non-TB measurement exchange and may be capable to compute differential distance using FTM as in Annex P.3</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After 4.3.17a add a change at the end of </w:t>
            </w:r>
            <w:proofErr w:type="gramStart"/>
            <w:r w:rsidRPr="00B760D3">
              <w:rPr>
                <w:rFonts w:ascii="Arial" w:hAnsi="Arial" w:cs="Arial"/>
                <w:sz w:val="20"/>
              </w:rPr>
              <w:t>the  4.3.19.19</w:t>
            </w:r>
            <w:proofErr w:type="gramEnd"/>
            <w:r w:rsidRPr="00B760D3">
              <w:rPr>
                <w:rFonts w:ascii="Arial" w:hAnsi="Arial" w:cs="Arial"/>
                <w:sz w:val="20"/>
              </w:rPr>
              <w:t xml:space="preserve"> Fine Timing Measurement subclause that "An NGV STA operating OCB may use an adapted FTM session with non-TB measurement exchange and may be capable to compute differential distance using FTM as in Annex P.3."</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 Fine Timing Measurement procedure negotiation for Non-TB Ranging as defined in 11.21.6.3 and Non-TB Ranging as described in 11.21.6.4.4</w:t>
            </w:r>
            <w:r>
              <w:rPr>
                <w:rFonts w:ascii="Arial" w:hAnsi="Arial" w:cs="Arial"/>
                <w:sz w:val="20"/>
              </w:rPr>
              <w:t>”</w:t>
            </w:r>
            <w:r w:rsidR="00DD61B1">
              <w:rPr>
                <w:rFonts w:ascii="Arial" w:hAnsi="Arial" w:cs="Arial"/>
                <w:sz w:val="20"/>
              </w:rPr>
              <w:t xml:space="preserve"> and “</w:t>
            </w:r>
            <w:r w:rsidR="00DD61B1" w:rsidRPr="00DD61B1">
              <w:rPr>
                <w:rFonts w:ascii="Arial" w:hAnsi="Arial" w:cs="Arial"/>
                <w:sz w:val="20"/>
              </w:rPr>
              <w:t>— Differential distance computation as detailed in Annex P.3</w:t>
            </w:r>
            <w:r w:rsidR="00DD61B1">
              <w:rPr>
                <w:rFonts w:ascii="Arial" w:hAnsi="Arial" w:cs="Arial"/>
                <w:sz w:val="20"/>
              </w:rPr>
              <w:t>”</w:t>
            </w:r>
          </w:p>
          <w:p w:rsidR="00DD61B1" w:rsidRDefault="00DD61B1" w:rsidP="00C344FC">
            <w:pPr>
              <w:rPr>
                <w:rFonts w:ascii="Arial" w:hAnsi="Arial" w:cs="Arial"/>
                <w:sz w:val="20"/>
              </w:rPr>
            </w:pPr>
          </w:p>
          <w:p w:rsidR="00DD61B1" w:rsidRPr="00B760D3" w:rsidRDefault="00DD61B1" w:rsidP="00DD61B1">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DD61B1" w:rsidRDefault="00DD61B1" w:rsidP="00DD61B1">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5" w:history="1">
              <w:r w:rsidR="00114AE4">
                <w:rPr>
                  <w:rStyle w:val="Hyperlink"/>
                  <w:rFonts w:ascii="Arial" w:hAnsi="Arial" w:cs="Arial"/>
                  <w:sz w:val="20"/>
                </w:rPr>
                <w:t>https://mentor.ieee.org/802.11/dcn/21/11-21-0083-05-00bd-lb251-cr-for-11bd-d1-0-clause-4.docx</w:t>
              </w:r>
            </w:hyperlink>
            <w:bookmarkStart w:id="1" w:name="_GoBack"/>
            <w:bookmarkEnd w:id="1"/>
          </w:p>
        </w:tc>
      </w:tr>
    </w:tbl>
    <w:p w:rsidR="00CA09B2" w:rsidRDefault="00CA09B2"/>
    <w:p w:rsidR="00B85CD2" w:rsidRDefault="00B85CD2"/>
    <w:p w:rsidR="00E44E11" w:rsidRDefault="00480B6B" w:rsidP="00480B6B">
      <w:pPr>
        <w:pStyle w:val="Heading2"/>
      </w:pPr>
      <w:r>
        <w:t xml:space="preserve">Discussion CID </w:t>
      </w:r>
      <w:r w:rsidR="00E44E11">
        <w:t>#1181</w:t>
      </w:r>
    </w:p>
    <w:p w:rsidR="00B756FA" w:rsidRDefault="00B756FA" w:rsidP="00B756FA">
      <w:r>
        <w:t>Clause 11.18 (STAs communicating Data frames outside the context of a BSS) specifies the following frames:</w:t>
      </w:r>
    </w:p>
    <w:p w:rsidR="00B756FA" w:rsidRDefault="00B756FA" w:rsidP="00B756FA">
      <w:pPr>
        <w:ind w:firstLine="720"/>
      </w:pPr>
      <w:r>
        <w:t>When dot11OCBActivated is true in a STA:</w:t>
      </w:r>
    </w:p>
    <w:p w:rsidR="00B756FA" w:rsidRPr="009703E3" w:rsidRDefault="00B756FA" w:rsidP="00B756FA">
      <w:pPr>
        <w:ind w:firstLine="720"/>
      </w:pPr>
      <w:r>
        <w:t xml:space="preserve">a) Synchronization, authentication, association, and frame classes as defined in 11.1 </w:t>
      </w:r>
      <w:r>
        <w:tab/>
        <w:t xml:space="preserve">(Synchronization) and 11.3 (STA authentication and association) are not used. Data </w:t>
      </w:r>
      <w:r>
        <w:tab/>
        <w:t>confidentiality as defined in Clause 12 (</w:t>
      </w:r>
      <w:r w:rsidRPr="009703E3">
        <w:t xml:space="preserve">Security) is not used. The STA may send Action frames </w:t>
      </w:r>
      <w:r w:rsidRPr="009703E3">
        <w:tab/>
        <w:t>and, if the STA maintains a TSF Timer, Timing Advertisement frames.</w:t>
      </w:r>
    </w:p>
    <w:p w:rsidR="00B756FA" w:rsidRPr="009703E3" w:rsidRDefault="00B756FA" w:rsidP="00B756FA">
      <w:r w:rsidRPr="009703E3">
        <w:tab/>
        <w:t>b) The STA may send Control frames, except those of subtype PS-Poll and CF-</w:t>
      </w:r>
      <w:proofErr w:type="gramStart"/>
      <w:r w:rsidRPr="009703E3">
        <w:t>End(</w:t>
      </w:r>
      <w:proofErr w:type="gramEnd"/>
      <w:r w:rsidRPr="009703E3">
        <w:t>#2699).</w:t>
      </w:r>
    </w:p>
    <w:p w:rsidR="00B756FA" w:rsidRPr="009703E3" w:rsidRDefault="00B756FA" w:rsidP="00B756FA">
      <w:r w:rsidRPr="009703E3">
        <w:tab/>
        <w:t>c) The STA may send Data frames of subtype Data, Null, QoS Data, and QoS Null.</w:t>
      </w:r>
    </w:p>
    <w:p w:rsidR="00B85CD2" w:rsidRPr="009703E3" w:rsidRDefault="00B756FA" w:rsidP="00B756FA">
      <w:r w:rsidRPr="009703E3">
        <w:tab/>
        <w:t xml:space="preserve">d) The STA shall set the BSSID field in all Management and Data frames to the wildcard BSSID </w:t>
      </w:r>
      <w:r w:rsidRPr="009703E3">
        <w:tab/>
        <w:t>value</w:t>
      </w:r>
    </w:p>
    <w:p w:rsidR="00776FC6" w:rsidRDefault="00B756FA" w:rsidP="00B756FA">
      <w:r w:rsidRPr="009703E3">
        <w:t>Hence it includes the following frame subtypes</w:t>
      </w:r>
      <w:r>
        <w:t xml:space="preserve"> </w:t>
      </w:r>
    </w:p>
    <w:p w:rsidR="00B756FA" w:rsidRDefault="0066243A" w:rsidP="00776FC6">
      <w:pPr>
        <w:pStyle w:val="ListParagraph"/>
        <w:numPr>
          <w:ilvl w:val="0"/>
          <w:numId w:val="2"/>
        </w:numPr>
      </w:pPr>
      <w:proofErr w:type="spellStart"/>
      <w:r>
        <w:t>BlockAck</w:t>
      </w:r>
      <w:proofErr w:type="spellEnd"/>
      <w:r w:rsidR="00776FC6">
        <w:t xml:space="preserve"> and </w:t>
      </w:r>
      <w:proofErr w:type="spellStart"/>
      <w:r w:rsidR="00776FC6">
        <w:t>BlockAckReq</w:t>
      </w:r>
      <w:proofErr w:type="spellEnd"/>
      <w:r w:rsidR="00776FC6">
        <w:t xml:space="preserve"> frames are control frames and hence covered by 11.18</w:t>
      </w:r>
    </w:p>
    <w:p w:rsidR="00776FC6" w:rsidRDefault="00776FC6" w:rsidP="00776FC6">
      <w:pPr>
        <w:pStyle w:val="ListParagraph"/>
        <w:numPr>
          <w:ilvl w:val="0"/>
          <w:numId w:val="2"/>
        </w:numPr>
      </w:pPr>
      <w:r>
        <w:t xml:space="preserve">A-MSDU is a Data </w:t>
      </w:r>
      <w:r w:rsidR="000345DC">
        <w:t>frame of subtype Data and hence covered by 11.18</w:t>
      </w:r>
    </w:p>
    <w:p w:rsidR="004049EF" w:rsidRDefault="00E44E11" w:rsidP="00776FC6">
      <w:pPr>
        <w:pStyle w:val="ListParagraph"/>
        <w:numPr>
          <w:ilvl w:val="0"/>
          <w:numId w:val="2"/>
        </w:numPr>
      </w:pPr>
      <w:r>
        <w:t xml:space="preserve">A-MPDU contains either Ack, Action No Ack, QoS Null, Immediate </w:t>
      </w:r>
      <w:proofErr w:type="spellStart"/>
      <w:r>
        <w:t>BockAckReq</w:t>
      </w:r>
      <w:proofErr w:type="spellEnd"/>
      <w:r>
        <w:t>, or QoS Data frames. All of these are coved by 11.18</w:t>
      </w:r>
    </w:p>
    <w:p w:rsidR="00776FC6" w:rsidRDefault="009703E3" w:rsidP="00E44E11">
      <w:r>
        <w:t xml:space="preserve">Given the proposed and agreed changes in </w:t>
      </w:r>
      <w:hyperlink r:id="rId26" w:history="1">
        <w:r w:rsidRPr="002105E7">
          <w:rPr>
            <w:rStyle w:val="Hyperlink"/>
          </w:rPr>
          <w:t>https://mentor.ieee.org/802.11/dcn/21/11-21-0044-03-00bd-lb251-cids-related-to-dmg-sta-with-ocb-operation.docx</w:t>
        </w:r>
      </w:hyperlink>
      <w:r w:rsidRPr="009703E3">
        <w:t xml:space="preserve"> </w:t>
      </w:r>
      <w:r>
        <w:t xml:space="preserve">that </w:t>
      </w:r>
      <w:r w:rsidRPr="009703E3">
        <w:t xml:space="preserve">all control and data frame subtypes for a </w:t>
      </w:r>
      <w:r w:rsidRPr="009703E3">
        <w:lastRenderedPageBreak/>
        <w:t>DMG STA (60 GHz band) operating OCB are now defined in Clause 11.18</w:t>
      </w:r>
      <w:r>
        <w:t>, too, the comment is not anymore applicable as the Change to the NOTE should be removed.</w:t>
      </w:r>
    </w:p>
    <w:p w:rsidR="00FF199E" w:rsidRDefault="00FF199E" w:rsidP="00E44E11"/>
    <w:p w:rsidR="00221721" w:rsidRDefault="00221721" w:rsidP="00221721">
      <w:pPr>
        <w:pStyle w:val="Heading2"/>
      </w:pPr>
      <w:r>
        <w:t>Propose:</w:t>
      </w:r>
    </w:p>
    <w:p w:rsidR="00221721" w:rsidRDefault="00221721" w:rsidP="0022172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remove</w:t>
      </w:r>
      <w:r w:rsidRPr="00480B6B">
        <w:rPr>
          <w:b/>
          <w:i/>
        </w:rPr>
        <w:t xml:space="preserve"> the</w:t>
      </w:r>
      <w:r>
        <w:rPr>
          <w:b/>
          <w:i/>
        </w:rPr>
        <w:t xml:space="preserve"> “Change the NOTE after the first paragraph as follows:” on P17L11-L16</w:t>
      </w:r>
    </w:p>
    <w:p w:rsidR="00221721" w:rsidRDefault="00221721" w:rsidP="00221721">
      <w:pPr>
        <w:rPr>
          <w:b/>
          <w:i/>
        </w:rPr>
      </w:pPr>
    </w:p>
    <w:p w:rsidR="00221721" w:rsidRPr="00221721" w:rsidRDefault="00221721" w:rsidP="00221721">
      <w:pPr>
        <w:rPr>
          <w:b/>
          <w:i/>
          <w:strike/>
          <w:color w:val="FF0000"/>
        </w:rPr>
      </w:pPr>
      <w:r w:rsidRPr="00221721">
        <w:rPr>
          <w:rFonts w:ascii="TimesNewRoman" w:hAnsi="TimesNewRoman"/>
          <w:b/>
          <w:bCs/>
          <w:i/>
          <w:iCs/>
          <w:strike/>
          <w:color w:val="FF0000"/>
          <w:sz w:val="20"/>
        </w:rPr>
        <w:t>Change the NOTE after the first paragraph as follows:</w:t>
      </w:r>
    </w:p>
    <w:p w:rsidR="00221721" w:rsidRPr="00221721" w:rsidRDefault="00221721" w:rsidP="00221721">
      <w:pPr>
        <w:rPr>
          <w:b/>
          <w:i/>
          <w:strike/>
          <w:color w:val="FF0000"/>
        </w:rPr>
      </w:pPr>
    </w:p>
    <w:p w:rsidR="00480B6B" w:rsidRPr="00221721" w:rsidRDefault="00221721" w:rsidP="00E44E11">
      <w:pPr>
        <w:rPr>
          <w:strike/>
          <w:color w:val="FF0000"/>
        </w:rPr>
      </w:pPr>
      <w:r w:rsidRPr="00221721">
        <w:rPr>
          <w:rFonts w:ascii="TimesNewRoman" w:hAnsi="TimesNewRoman"/>
          <w:strike/>
          <w:color w:val="FF0000"/>
          <w:sz w:val="18"/>
          <w:szCs w:val="18"/>
        </w:rPr>
        <w:t>NOTE—The specific frame subtypes that a STA is allowed to send when it has dot11OCBActivated true are specified in 11.198 (STAs communicating Data frames outside the context of a BSS) and Clause 31.3.2 (DMG STAs communicating Data frames outside the context of a BSS</w:t>
      </w:r>
      <w:proofErr w:type="gramStart"/>
      <w:r w:rsidRPr="00221721">
        <w:rPr>
          <w:rFonts w:ascii="TimesNewRoman" w:hAnsi="TimesNewRoman"/>
          <w:strike/>
          <w:color w:val="FF0000"/>
          <w:sz w:val="18"/>
          <w:szCs w:val="18"/>
        </w:rPr>
        <w:t>).</w:t>
      </w:r>
      <w:r w:rsidR="00111091" w:rsidRPr="00111091">
        <w:rPr>
          <w:rFonts w:ascii="TimesNewRoman" w:hAnsi="TimesNewRoman"/>
          <w:color w:val="00B050"/>
          <w:sz w:val="18"/>
          <w:szCs w:val="18"/>
        </w:rPr>
        <w:t>(</w:t>
      </w:r>
      <w:proofErr w:type="gramEnd"/>
      <w:r w:rsidR="00111091" w:rsidRPr="00111091">
        <w:rPr>
          <w:rFonts w:ascii="TimesNewRoman" w:hAnsi="TimesNewRoman"/>
          <w:color w:val="00B050"/>
          <w:sz w:val="18"/>
          <w:szCs w:val="18"/>
        </w:rPr>
        <w:t>#1181)</w:t>
      </w:r>
    </w:p>
    <w:p w:rsidR="00221721" w:rsidRDefault="00221721" w:rsidP="00E44E11"/>
    <w:p w:rsidR="005802F8" w:rsidRDefault="005802F8" w:rsidP="005802F8">
      <w:pPr>
        <w:pStyle w:val="Heading2"/>
      </w:pPr>
      <w:r>
        <w:t>Propose:</w:t>
      </w:r>
    </w:p>
    <w:p w:rsidR="005802F8" w:rsidRDefault="005802F8" w:rsidP="005802F8">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w:t>
      </w:r>
      <w:r>
        <w:rPr>
          <w:b/>
          <w:i/>
        </w:rPr>
        <w:t>26-27</w:t>
      </w:r>
      <w:r w:rsidRPr="00480B6B">
        <w:rPr>
          <w:b/>
          <w:i/>
        </w:rPr>
        <w:t xml:space="preserve"> as follows</w:t>
      </w:r>
    </w:p>
    <w:p w:rsidR="005802F8" w:rsidRDefault="005802F8" w:rsidP="005802F8">
      <w:pPr>
        <w:rPr>
          <w:rStyle w:val="fontstyle01"/>
        </w:rPr>
      </w:pPr>
    </w:p>
    <w:p w:rsidR="005802F8" w:rsidRPr="00890282" w:rsidRDefault="005802F8" w:rsidP="005802F8">
      <w:pPr>
        <w:rPr>
          <w:rFonts w:ascii="TimesNewRoman" w:hAnsi="TimesNewRoman"/>
          <w:color w:val="FF0000"/>
          <w:sz w:val="20"/>
        </w:rPr>
      </w:pPr>
      <w:r w:rsidRPr="0019409A">
        <w:rPr>
          <w:rFonts w:ascii="TimesNewRoman" w:hAnsi="TimesNewRoman"/>
          <w:color w:val="000000"/>
          <w:sz w:val="20"/>
        </w:rPr>
        <w:t xml:space="preserve">The IEEE 802.11 </w:t>
      </w:r>
      <w:r w:rsidRPr="00890282">
        <w:rPr>
          <w:rFonts w:ascii="TimesNewRoman" w:hAnsi="TimesNewRoman"/>
          <w:color w:val="FF0000"/>
          <w:sz w:val="20"/>
        </w:rPr>
        <w:t>Enhancements for Next Generation Vehicle-to-Everything (</w:t>
      </w:r>
      <w:r w:rsidRPr="0019409A">
        <w:rPr>
          <w:rFonts w:ascii="TimesNewRoman" w:hAnsi="TimesNewRoman"/>
          <w:color w:val="000000"/>
          <w:sz w:val="20"/>
        </w:rPr>
        <w:t>NGV</w:t>
      </w:r>
      <w:r w:rsidRPr="00890282">
        <w:rPr>
          <w:rFonts w:ascii="TimesNewRoman" w:hAnsi="TimesNewRoman"/>
          <w:color w:val="FF0000"/>
          <w:sz w:val="20"/>
        </w:rPr>
        <w:t>)</w:t>
      </w:r>
      <w:r w:rsidRPr="0019409A">
        <w:rPr>
          <w:rFonts w:ascii="TimesNewRoman" w:hAnsi="TimesNewRoman"/>
          <w:color w:val="000000"/>
          <w:sz w:val="20"/>
        </w:rPr>
        <w:t xml:space="preserve"> STA is a STA that </w:t>
      </w:r>
      <w:r w:rsidRPr="00890282">
        <w:rPr>
          <w:rFonts w:ascii="TimesNewRoman" w:hAnsi="TimesNewRoman"/>
          <w:strike/>
          <w:color w:val="FF0000"/>
          <w:sz w:val="20"/>
        </w:rPr>
        <w:t>supports NGV</w:t>
      </w:r>
      <w:r w:rsidRPr="00890282">
        <w:rPr>
          <w:rFonts w:ascii="TimesNewRoman" w:hAnsi="TimesNewRoman"/>
          <w:color w:val="000000"/>
          <w:sz w:val="20"/>
        </w:rPr>
        <w:t xml:space="preserve"> </w:t>
      </w:r>
      <w:r w:rsidRPr="00890282">
        <w:rPr>
          <w:rFonts w:ascii="TimesNewRoman" w:hAnsi="TimesNewRoman"/>
          <w:color w:val="FF0000"/>
          <w:sz w:val="20"/>
        </w:rPr>
        <w:t xml:space="preserve">provides MAC and PHY </w:t>
      </w:r>
      <w:r>
        <w:rPr>
          <w:rFonts w:ascii="TimesNewRoman" w:hAnsi="TimesNewRoman"/>
          <w:color w:val="000000"/>
          <w:sz w:val="20"/>
        </w:rPr>
        <w:t xml:space="preserve">features as </w:t>
      </w:r>
      <w:proofErr w:type="spellStart"/>
      <w:r w:rsidRPr="00890282">
        <w:rPr>
          <w:rFonts w:ascii="TimesNewRoman" w:hAnsi="TimesNewRoman"/>
          <w:strike/>
          <w:color w:val="FF0000"/>
          <w:sz w:val="20"/>
        </w:rPr>
        <w:t>identified</w:t>
      </w:r>
      <w:r w:rsidRPr="00890282">
        <w:rPr>
          <w:rFonts w:ascii="TimesNewRoman" w:hAnsi="TimesNewRoman"/>
          <w:color w:val="FF0000"/>
          <w:sz w:val="20"/>
        </w:rPr>
        <w:t>defined</w:t>
      </w:r>
      <w:proofErr w:type="spellEnd"/>
      <w:r w:rsidRPr="00890282">
        <w:rPr>
          <w:rFonts w:ascii="TimesNewRoman" w:hAnsi="TimesNewRoman"/>
          <w:color w:val="FF0000"/>
          <w:sz w:val="20"/>
        </w:rPr>
        <w:t xml:space="preserve"> </w:t>
      </w:r>
      <w:r>
        <w:rPr>
          <w:rFonts w:ascii="TimesNewRoman" w:hAnsi="TimesNewRoman"/>
          <w:color w:val="000000"/>
          <w:sz w:val="20"/>
        </w:rPr>
        <w:t xml:space="preserve">in </w:t>
      </w:r>
      <w:r w:rsidRPr="0019409A">
        <w:rPr>
          <w:rFonts w:ascii="TimesNewRoman" w:hAnsi="TimesNewRoman"/>
          <w:color w:val="000000"/>
          <w:sz w:val="20"/>
        </w:rPr>
        <w:t>Clause 31 (Next Generation V2X (NGV) MAC specification) and Clause 32 (Next Generation V2X (NGV) PHY specification)</w:t>
      </w:r>
      <w:r>
        <w:rPr>
          <w:rFonts w:ascii="TimesNewRoman" w:hAnsi="TimesNewRoman"/>
          <w:color w:val="000000"/>
          <w:sz w:val="20"/>
        </w:rPr>
        <w:t xml:space="preserve"> </w:t>
      </w:r>
      <w:r w:rsidRPr="00890282">
        <w:rPr>
          <w:rFonts w:ascii="TimesNewRoman" w:hAnsi="TimesNewRoman"/>
          <w:color w:val="FF0000"/>
          <w:sz w:val="20"/>
        </w:rPr>
        <w:t xml:space="preserve">that </w:t>
      </w:r>
      <w:r w:rsidRPr="00890282">
        <w:rPr>
          <w:rStyle w:val="fontstyle01"/>
          <w:color w:val="FF0000"/>
        </w:rPr>
        <w:t xml:space="preserve">can support at least twice the throughput </w:t>
      </w:r>
      <w:proofErr w:type="spellStart"/>
      <w:r w:rsidR="00B2231C" w:rsidRPr="00B2231C">
        <w:rPr>
          <w:rStyle w:val="fontstyle01"/>
          <w:strike/>
          <w:color w:val="FF0000"/>
          <w:highlight w:val="cyan"/>
        </w:rPr>
        <w:t>or</w:t>
      </w:r>
      <w:r w:rsidR="00745A72" w:rsidRPr="00B2231C">
        <w:rPr>
          <w:rStyle w:val="fontstyle01"/>
          <w:color w:val="FF0000"/>
          <w:highlight w:val="cyan"/>
        </w:rPr>
        <w:t>and</w:t>
      </w:r>
      <w:proofErr w:type="spellEnd"/>
      <w:r w:rsidRPr="00890282">
        <w:rPr>
          <w:rStyle w:val="fontstyle01"/>
          <w:color w:val="FF0000"/>
        </w:rPr>
        <w:t xml:space="preserve"> at least 3dB lower sensitivity when </w:t>
      </w:r>
      <w:r w:rsidR="00745A72">
        <w:rPr>
          <w:rStyle w:val="fontstyle01"/>
          <w:color w:val="FF0000"/>
        </w:rPr>
        <w:t>communica</w:t>
      </w:r>
      <w:r w:rsidRPr="00890282">
        <w:rPr>
          <w:rStyle w:val="fontstyle01"/>
          <w:color w:val="FF0000"/>
        </w:rPr>
        <w:t>ting outside the context of a BSS (OCB) in high mobility channel environments in the 5.9 GHz band, as defined in clauses E.2.3 (5.9 GHz band in the United States (5.850–5.925 GHz)) and E.2.4 (5.9 GHz band in Europe (5.855–5.925 GHz)) compared to non-NGV STAs operating OCB</w:t>
      </w:r>
      <w:r w:rsidR="00E5034B">
        <w:rPr>
          <w:rStyle w:val="fontstyle01"/>
          <w:color w:val="FF0000"/>
        </w:rPr>
        <w:t>.</w:t>
      </w:r>
      <w:r w:rsidR="00B617FE">
        <w:rPr>
          <w:rStyle w:val="fontstyle01"/>
          <w:color w:val="FF0000"/>
        </w:rPr>
        <w:t xml:space="preserve"> </w:t>
      </w:r>
      <w:r w:rsidR="00B617FE" w:rsidRPr="00B617FE">
        <w:rPr>
          <w:rStyle w:val="fontstyle01"/>
          <w:color w:val="00B050"/>
        </w:rPr>
        <w:t>(#1015)</w:t>
      </w:r>
      <w:r w:rsidR="0072329C">
        <w:rPr>
          <w:rStyle w:val="fontstyle01"/>
          <w:color w:val="00B05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5802F8" w:rsidRPr="00890282" w:rsidRDefault="005802F8" w:rsidP="005802F8">
      <w:pPr>
        <w:rPr>
          <w:rFonts w:ascii="TimesNewRoman" w:hAnsi="TimesNewRoman"/>
          <w:color w:val="FF0000"/>
          <w:sz w:val="20"/>
        </w:rPr>
      </w:pPr>
      <w:r w:rsidRPr="00890282">
        <w:rPr>
          <w:rStyle w:val="fontstyle01"/>
          <w:color w:val="FF0000"/>
        </w:rPr>
        <w:t>NGV STAs may optionally operate in the 60 GHz frequency band (57 GHz to 71 GHz) as defined in clause E.1.</w:t>
      </w:r>
      <w:r w:rsidR="00BC7B79">
        <w:rPr>
          <w:rStyle w:val="fontstyle01"/>
          <w:color w:val="FF000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C64928" w:rsidRDefault="005802F8" w:rsidP="005802F8">
      <w:pPr>
        <w:rPr>
          <w:rStyle w:val="fontstyle01"/>
          <w:color w:val="FF0000"/>
        </w:rPr>
      </w:pPr>
      <w:r w:rsidRPr="00740263">
        <w:rPr>
          <w:rStyle w:val="fontstyle01"/>
          <w:color w:val="FF0000"/>
        </w:rPr>
        <w:t>NGV STAs may support positioning based on NGV Ranging</w:t>
      </w:r>
      <w:r w:rsidR="00C64928" w:rsidRPr="00740263">
        <w:rPr>
          <w:rStyle w:val="fontstyle01"/>
          <w:color w:val="FF0000"/>
        </w:rPr>
        <w:t xml:space="preserve"> in the 5.9 GHz band or on</w:t>
      </w:r>
      <w:r w:rsidRPr="00740263">
        <w:rPr>
          <w:rStyle w:val="fontstyle01"/>
          <w:color w:val="FF0000"/>
        </w:rPr>
        <w:t xml:space="preserve"> fine timing measurement (FTM) </w:t>
      </w:r>
      <w:r w:rsidR="00C64928" w:rsidRPr="00740263">
        <w:rPr>
          <w:rStyle w:val="fontstyle01"/>
          <w:color w:val="FF0000"/>
        </w:rPr>
        <w:t>procedures outside the 5.9 GHz frequency band</w:t>
      </w:r>
      <w:r w:rsidRPr="00740263">
        <w:rPr>
          <w:rStyle w:val="fontstyle01"/>
          <w:color w:val="FF0000"/>
        </w:rPr>
        <w:t xml:space="preserve"> as defined in 11.21.6 (Fine timing measurement (FTM) procedure).</w:t>
      </w:r>
      <w:r w:rsidR="00E5034B" w:rsidRPr="00E5034B">
        <w:rPr>
          <w:rStyle w:val="fontstyle01"/>
          <w:color w:val="00B050"/>
        </w:rPr>
        <w:t xml:space="preserve"> </w:t>
      </w:r>
      <w:r w:rsidR="00E5034B" w:rsidRPr="00111091">
        <w:rPr>
          <w:rStyle w:val="fontstyle01"/>
          <w:color w:val="00B050"/>
        </w:rPr>
        <w:t>(#1269)</w:t>
      </w:r>
      <w:r w:rsidR="002960DE">
        <w:rPr>
          <w:rStyle w:val="fontstyle01"/>
          <w:color w:val="00B050"/>
        </w:rPr>
        <w:t xml:space="preserve"> </w:t>
      </w:r>
      <w:r w:rsidR="00F829EA">
        <w:rPr>
          <w:rStyle w:val="fontstyle01"/>
          <w:color w:val="00B050"/>
        </w:rPr>
        <w:t>(</w:t>
      </w:r>
      <w:r w:rsidR="00C61645">
        <w:rPr>
          <w:rStyle w:val="fontstyle01"/>
          <w:color w:val="00B050"/>
        </w:rPr>
        <w:t>#1606)</w:t>
      </w:r>
      <w:r w:rsidR="002960DE">
        <w:rPr>
          <w:rStyle w:val="fontstyle01"/>
          <w:color w:val="00B050"/>
        </w:rPr>
        <w:t xml:space="preserve"> (#1607) (#1608) (#1609)</w:t>
      </w:r>
    </w:p>
    <w:p w:rsidR="005802F8" w:rsidRDefault="005802F8" w:rsidP="005802F8">
      <w:pPr>
        <w:rPr>
          <w:rFonts w:ascii="TimesNewRoman" w:hAnsi="TimesNewRoman"/>
          <w:color w:val="000000"/>
          <w:sz w:val="20"/>
        </w:rPr>
      </w:pPr>
      <w:r w:rsidRPr="00890282">
        <w:rPr>
          <w:rStyle w:val="fontstyle01"/>
          <w:color w:val="FF0000"/>
        </w:rPr>
        <w:t xml:space="preserve">NGV STAs support interoperability, coexistence, backward compatibility, and fairness with non-NGV STAs when operating OCB in the 5.9 GHz </w:t>
      </w:r>
      <w:r w:rsidR="007903C7" w:rsidRPr="00890282">
        <w:rPr>
          <w:rStyle w:val="fontstyle01"/>
          <w:color w:val="FF0000"/>
        </w:rPr>
        <w:t>band</w:t>
      </w:r>
      <w:r w:rsidR="007903C7">
        <w:rPr>
          <w:rStyle w:val="fontstyle01"/>
          <w:color w:val="FF0000"/>
        </w:rPr>
        <w:t>.</w:t>
      </w:r>
      <w:r w:rsidR="007903C7" w:rsidRPr="00111091">
        <w:rPr>
          <w:rStyle w:val="fontstyle01"/>
          <w:color w:val="00B050"/>
        </w:rPr>
        <w:t xml:space="preserve"> (</w:t>
      </w:r>
      <w:r w:rsidR="00111091" w:rsidRPr="00111091">
        <w:rPr>
          <w:rStyle w:val="fontstyle01"/>
          <w:color w:val="00B050"/>
        </w:rPr>
        <w:t>#1269)</w:t>
      </w:r>
    </w:p>
    <w:p w:rsidR="00480B6B" w:rsidRDefault="00480B6B" w:rsidP="00480B6B">
      <w:pPr>
        <w:pStyle w:val="Heading2"/>
      </w:pPr>
      <w:r>
        <w:t>Propose:</w:t>
      </w:r>
    </w:p>
    <w:p w:rsidR="00480B6B" w:rsidRDefault="00480B6B" w:rsidP="00E44E1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P17L30</w:t>
      </w:r>
      <w:r w:rsidR="00111091">
        <w:rPr>
          <w:b/>
          <w:i/>
        </w:rPr>
        <w:t>-31</w:t>
      </w:r>
      <w:r w:rsidRPr="00480B6B">
        <w:rPr>
          <w:b/>
          <w:i/>
        </w:rPr>
        <w:t xml:space="preserve"> as follows</w:t>
      </w:r>
    </w:p>
    <w:p w:rsidR="00480B6B" w:rsidRDefault="00480B6B" w:rsidP="00E44E11">
      <w:pPr>
        <w:rPr>
          <w:b/>
          <w:i/>
        </w:rPr>
      </w:pPr>
    </w:p>
    <w:p w:rsidR="00480B6B" w:rsidRPr="00111091" w:rsidRDefault="00480B6B" w:rsidP="00E44E11">
      <w:pPr>
        <w:rPr>
          <w:rFonts w:ascii="TimesNewRoman" w:hAnsi="TimesNewRoman"/>
          <w:color w:val="00B050"/>
          <w:sz w:val="18"/>
          <w:szCs w:val="18"/>
        </w:rPr>
      </w:pPr>
      <w:r>
        <w:rPr>
          <w:rStyle w:val="fontstyle01"/>
        </w:rPr>
        <w:t xml:space="preserve">NGV STAs </w:t>
      </w:r>
      <w:r w:rsidRPr="00B2231C">
        <w:rPr>
          <w:rStyle w:val="fontstyle01"/>
          <w:color w:val="FF0000"/>
          <w:highlight w:val="cyan"/>
        </w:rPr>
        <w:t>are</w:t>
      </w:r>
      <w:r w:rsidR="00B2231C">
        <w:rPr>
          <w:rStyle w:val="fontstyle01"/>
          <w:color w:val="FF0000"/>
          <w:highlight w:val="cyan"/>
        </w:rPr>
        <w:t xml:space="preserve"> capable of</w:t>
      </w:r>
      <w:r w:rsidRPr="00480B6B">
        <w:rPr>
          <w:rStyle w:val="fontstyle01"/>
          <w:strike/>
          <w:color w:val="FF0000"/>
        </w:rPr>
        <w:t xml:space="preserve"> typically used in vehicular environments to</w:t>
      </w:r>
      <w:r w:rsidRPr="00480B6B">
        <w:rPr>
          <w:rStyle w:val="fontstyle01"/>
          <w:color w:val="FF0000"/>
        </w:rPr>
        <w:t xml:space="preserve"> </w:t>
      </w:r>
      <w:r w:rsidRPr="00B2231C">
        <w:rPr>
          <w:rStyle w:val="fontstyle01"/>
          <w:color w:val="FF0000"/>
        </w:rPr>
        <w:t>transmit</w:t>
      </w:r>
      <w:r w:rsidR="00B2231C" w:rsidRPr="00B2231C">
        <w:rPr>
          <w:rStyle w:val="fontstyle01"/>
          <w:color w:val="FF0000"/>
          <w:highlight w:val="cyan"/>
        </w:rPr>
        <w:t>ting</w:t>
      </w:r>
      <w:r>
        <w:rPr>
          <w:rStyle w:val="fontstyle01"/>
        </w:rPr>
        <w:t xml:space="preserve"> and </w:t>
      </w:r>
      <w:proofErr w:type="spellStart"/>
      <w:r w:rsidRPr="00B2231C">
        <w:rPr>
          <w:rStyle w:val="fontstyle01"/>
          <w:color w:val="FF0000"/>
        </w:rPr>
        <w:t>rec</w:t>
      </w:r>
      <w:r w:rsidRPr="00B2231C">
        <w:rPr>
          <w:rStyle w:val="fontstyle01"/>
          <w:strike/>
          <w:color w:val="FF0000"/>
        </w:rPr>
        <w:t>i</w:t>
      </w:r>
      <w:r w:rsidRPr="00B2231C">
        <w:rPr>
          <w:rStyle w:val="fontstyle01"/>
          <w:color w:val="FF0000"/>
        </w:rPr>
        <w:t>eiv</w:t>
      </w:r>
      <w:r w:rsidRPr="00B2231C">
        <w:rPr>
          <w:rStyle w:val="fontstyle01"/>
          <w:strike/>
          <w:color w:val="FF0000"/>
          <w:highlight w:val="cyan"/>
        </w:rPr>
        <w:t>e</w:t>
      </w:r>
      <w:r w:rsidR="00B2231C" w:rsidRPr="00B2231C">
        <w:rPr>
          <w:rStyle w:val="fontstyle01"/>
          <w:color w:val="FF0000"/>
          <w:highlight w:val="cyan"/>
        </w:rPr>
        <w:t>ing</w:t>
      </w:r>
      <w:proofErr w:type="spellEnd"/>
      <w:r>
        <w:rPr>
          <w:rStyle w:val="fontstyle01"/>
        </w:rPr>
        <w:t xml:space="preserve"> </w:t>
      </w:r>
      <w:r w:rsidRPr="00480B6B">
        <w:rPr>
          <w:rStyle w:val="fontstyle01"/>
          <w:strike/>
          <w:color w:val="FF0000"/>
        </w:rPr>
        <w:t xml:space="preserve">broadcast and unicast data </w:t>
      </w:r>
      <w:r>
        <w:rPr>
          <w:rStyle w:val="fontstyle01"/>
        </w:rPr>
        <w:t xml:space="preserve">frames </w:t>
      </w:r>
      <w:r w:rsidRPr="00641614">
        <w:rPr>
          <w:rStyle w:val="fontstyle01"/>
          <w:strike/>
          <w:color w:val="FF0000"/>
        </w:rPr>
        <w:t xml:space="preserve">while </w:t>
      </w:r>
      <w:r w:rsidRPr="00B2231C">
        <w:rPr>
          <w:rStyle w:val="fontstyle01"/>
          <w:strike/>
          <w:color w:val="FF0000"/>
          <w:highlight w:val="cyan"/>
        </w:rPr>
        <w:t>operating</w:t>
      </w:r>
      <w:r w:rsidRPr="00B2231C">
        <w:rPr>
          <w:rStyle w:val="fontstyle01"/>
          <w:color w:val="FF0000"/>
          <w:highlight w:val="cyan"/>
        </w:rPr>
        <w:t xml:space="preserve"> outside the context of a BSS</w:t>
      </w:r>
      <w:r w:rsidRPr="00B2231C">
        <w:rPr>
          <w:rStyle w:val="fontstyle01"/>
          <w:strike/>
          <w:color w:val="FF0000"/>
          <w:highlight w:val="cyan"/>
        </w:rPr>
        <w:t xml:space="preserve"> (OCB</w:t>
      </w:r>
      <w:r w:rsidR="003574E5" w:rsidRPr="003574E5">
        <w:rPr>
          <w:rStyle w:val="fontstyle01"/>
          <w:color w:val="FF0000"/>
        </w:rPr>
        <w:t xml:space="preserve"> (dot11OCBActivated is true</w:t>
      </w:r>
      <w:r>
        <w:rPr>
          <w:rStyle w:val="fontstyle01"/>
        </w:rPr>
        <w:t>)</w:t>
      </w:r>
      <w:r w:rsidR="00460F97" w:rsidRPr="00460F97">
        <w:rPr>
          <w:rStyle w:val="fontstyle01"/>
          <w:color w:val="FF0000"/>
        </w:rPr>
        <w:t xml:space="preserve"> as </w:t>
      </w:r>
      <w:r w:rsidR="00460F97" w:rsidRPr="00460F97">
        <w:rPr>
          <w:rFonts w:ascii="TimesNewRoman" w:hAnsi="TimesNewRoman"/>
          <w:color w:val="FF0000"/>
          <w:sz w:val="18"/>
          <w:szCs w:val="18"/>
        </w:rPr>
        <w:t>specified in 11.1</w:t>
      </w:r>
      <w:r w:rsidR="00460F97">
        <w:rPr>
          <w:rFonts w:ascii="TimesNewRoman" w:hAnsi="TimesNewRoman"/>
          <w:color w:val="FF0000"/>
          <w:sz w:val="18"/>
          <w:szCs w:val="18"/>
        </w:rPr>
        <w:t>8</w:t>
      </w:r>
      <w:r w:rsidR="00460F97" w:rsidRPr="00460F97">
        <w:rPr>
          <w:rFonts w:ascii="TimesNewRoman" w:hAnsi="TimesNewRoman"/>
          <w:color w:val="FF0000"/>
          <w:sz w:val="18"/>
          <w:szCs w:val="18"/>
        </w:rPr>
        <w:t xml:space="preserve"> (STAs communicating Data frames outside the context of a BSS</w:t>
      </w:r>
      <w:proofErr w:type="gramStart"/>
      <w:r w:rsidR="00460F97" w:rsidRPr="00460F97">
        <w:rPr>
          <w:rFonts w:ascii="TimesNewRoman" w:hAnsi="TimesNewRoman"/>
          <w:color w:val="FF0000"/>
          <w:sz w:val="18"/>
          <w:szCs w:val="18"/>
        </w:rPr>
        <w:t>)</w:t>
      </w:r>
      <w:r w:rsidR="00460F97" w:rsidRPr="00460F97">
        <w:rPr>
          <w:rFonts w:ascii="TimesNewRoman" w:hAnsi="TimesNewRoman"/>
          <w:color w:val="000000"/>
          <w:sz w:val="18"/>
          <w:szCs w:val="18"/>
        </w:rPr>
        <w:t>.</w:t>
      </w:r>
      <w:r w:rsidR="003574E5" w:rsidRPr="00111091">
        <w:rPr>
          <w:rFonts w:ascii="TimesNewRoman" w:hAnsi="TimesNewRoman"/>
          <w:color w:val="00B050"/>
          <w:sz w:val="18"/>
          <w:szCs w:val="18"/>
        </w:rPr>
        <w:t>(</w:t>
      </w:r>
      <w:proofErr w:type="gramEnd"/>
      <w:r w:rsidR="003574E5" w:rsidRPr="00111091">
        <w:rPr>
          <w:rFonts w:ascii="TimesNewRoman" w:hAnsi="TimesNewRoman"/>
          <w:color w:val="00B050"/>
          <w:sz w:val="18"/>
          <w:szCs w:val="18"/>
        </w:rPr>
        <w:t>#1013</w:t>
      </w:r>
      <w:r w:rsidR="00111091">
        <w:rPr>
          <w:rFonts w:ascii="TimesNewRoman" w:hAnsi="TimesNewRoman"/>
          <w:color w:val="00B050"/>
          <w:sz w:val="18"/>
          <w:szCs w:val="18"/>
        </w:rPr>
        <w:t>)(#1101)(</w:t>
      </w:r>
      <w:r w:rsidR="003574E5" w:rsidRPr="00111091">
        <w:rPr>
          <w:rFonts w:ascii="TimesNewRoman" w:hAnsi="TimesNewRoman"/>
          <w:color w:val="00B050"/>
          <w:sz w:val="18"/>
          <w:szCs w:val="18"/>
        </w:rPr>
        <w:t>#1268)</w:t>
      </w:r>
    </w:p>
    <w:p w:rsidR="00DD71D9" w:rsidRDefault="00DD71D9" w:rsidP="00E44E11">
      <w:pPr>
        <w:rPr>
          <w:b/>
        </w:rPr>
      </w:pPr>
    </w:p>
    <w:p w:rsidR="00111091" w:rsidRDefault="00111091" w:rsidP="00111091">
      <w:pPr>
        <w:pStyle w:val="Heading2"/>
      </w:pPr>
      <w:r>
        <w:t>Propose:</w:t>
      </w:r>
    </w:p>
    <w:p w:rsidR="00111091" w:rsidRDefault="00111091" w:rsidP="0011109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P17L</w:t>
      </w:r>
      <w:r>
        <w:rPr>
          <w:b/>
          <w:i/>
        </w:rPr>
        <w:t xml:space="preserve">33-65 </w:t>
      </w:r>
      <w:r w:rsidRPr="00480B6B">
        <w:rPr>
          <w:b/>
          <w:i/>
        </w:rPr>
        <w:t>as follows</w:t>
      </w:r>
    </w:p>
    <w:p w:rsidR="00111091" w:rsidRDefault="00111091" w:rsidP="00111091">
      <w:pPr>
        <w:rPr>
          <w:b/>
          <w:i/>
        </w:rPr>
      </w:pPr>
    </w:p>
    <w:p w:rsidR="0055508F" w:rsidRDefault="00364087" w:rsidP="00E44E11">
      <w:pPr>
        <w:rPr>
          <w:rFonts w:ascii="TimesNewRoman" w:hAnsi="TimesNewRoman"/>
          <w:color w:val="000000"/>
          <w:sz w:val="20"/>
        </w:rPr>
      </w:pPr>
      <w:r w:rsidRPr="00364087">
        <w:rPr>
          <w:rFonts w:ascii="TimesNewRoman" w:hAnsi="TimesNewRoman"/>
          <w:color w:val="000000"/>
          <w:sz w:val="20"/>
        </w:rPr>
        <w:t xml:space="preserve">The main PHY features </w:t>
      </w:r>
      <w:r w:rsidRPr="00751267">
        <w:rPr>
          <w:rFonts w:ascii="TimesNewRoman" w:hAnsi="TimesNewRoman"/>
          <w:strike/>
          <w:color w:val="FF0000"/>
          <w:sz w:val="20"/>
        </w:rPr>
        <w:t>of</w:t>
      </w:r>
      <w:r w:rsidR="00751267" w:rsidRPr="00751267">
        <w:rPr>
          <w:rFonts w:ascii="TimesNewRoman" w:hAnsi="TimesNewRoman"/>
          <w:color w:val="FF0000"/>
          <w:sz w:val="20"/>
        </w:rPr>
        <w:t xml:space="preserve"> in</w:t>
      </w:r>
      <w:r w:rsidRPr="00364087">
        <w:rPr>
          <w:rFonts w:ascii="TimesNewRoman" w:hAnsi="TimesNewRoman"/>
          <w:color w:val="000000"/>
          <w:sz w:val="20"/>
        </w:rPr>
        <w:t xml:space="preserve"> an NGV STA </w:t>
      </w:r>
      <w:bookmarkStart w:id="2" w:name="_Hlk63795483"/>
      <w:r w:rsidR="00751267">
        <w:rPr>
          <w:rFonts w:ascii="TimesNewRoman" w:hAnsi="TimesNewRoman"/>
          <w:color w:val="FF0000"/>
          <w:sz w:val="20"/>
        </w:rPr>
        <w:t xml:space="preserve">that are not present in a non-NGV STA </w:t>
      </w:r>
      <w:bookmarkEnd w:id="2"/>
      <w:r w:rsidRPr="00364087">
        <w:rPr>
          <w:rFonts w:ascii="TimesNewRoman" w:hAnsi="TimesNewRoman"/>
          <w:color w:val="000000"/>
          <w:sz w:val="20"/>
        </w:rPr>
        <w:t>are the following:</w:t>
      </w:r>
      <w:r w:rsidRPr="00364087">
        <w:rPr>
          <w:rFonts w:ascii="TimesNewRoman" w:hAnsi="TimesNewRoman"/>
          <w:color w:val="000000"/>
          <w:sz w:val="20"/>
        </w:rPr>
        <w:br/>
        <w:t xml:space="preserve">— </w:t>
      </w:r>
      <w:r w:rsidRPr="00E457DA">
        <w:rPr>
          <w:rFonts w:ascii="TimesNewRoman" w:hAnsi="TimesNewRoman"/>
          <w:strike/>
          <w:color w:val="FF0000"/>
          <w:sz w:val="20"/>
        </w:rPr>
        <w:t xml:space="preserve">New </w:t>
      </w:r>
      <w:r w:rsidR="00B617FE" w:rsidRPr="00B617FE">
        <w:rPr>
          <w:rStyle w:val="fontstyle01"/>
          <w:color w:val="00B050"/>
        </w:rPr>
        <w:t>(#101</w:t>
      </w:r>
      <w:r w:rsidR="00B617FE">
        <w:rPr>
          <w:rStyle w:val="fontstyle01"/>
          <w:color w:val="00B050"/>
        </w:rPr>
        <w:t>4</w:t>
      </w:r>
      <w:r w:rsidR="00B617FE" w:rsidRPr="00B617FE">
        <w:rPr>
          <w:rStyle w:val="fontstyle01"/>
          <w:color w:val="00B050"/>
        </w:rPr>
        <w:t>) (#</w:t>
      </w:r>
      <w:r w:rsidR="00B617FE">
        <w:rPr>
          <w:rStyle w:val="fontstyle01"/>
          <w:color w:val="00B050"/>
        </w:rPr>
        <w:t>1509</w:t>
      </w:r>
      <w:r w:rsidR="00B617FE" w:rsidRPr="00B617FE">
        <w:rPr>
          <w:rStyle w:val="fontstyle01"/>
          <w:color w:val="00B050"/>
        </w:rPr>
        <w:t>)</w:t>
      </w:r>
      <w:r w:rsidRPr="00364087">
        <w:rPr>
          <w:rFonts w:ascii="TimesNewRoman" w:hAnsi="TimesNewRoman"/>
          <w:color w:val="000000"/>
          <w:sz w:val="20"/>
        </w:rPr>
        <w:t>10 MHz and 20 MHz PPDU formats</w:t>
      </w:r>
      <w:r w:rsidR="00E457DA">
        <w:rPr>
          <w:rFonts w:ascii="TimesNewRoman" w:hAnsi="TimesNewRoman"/>
          <w:color w:val="000000"/>
          <w:sz w:val="20"/>
        </w:rPr>
        <w:t xml:space="preserve"> </w:t>
      </w:r>
      <w:r w:rsidR="00E457DA" w:rsidRPr="002C78D6">
        <w:rPr>
          <w:rFonts w:ascii="TimesNewRoman" w:hAnsi="TimesNewRoman"/>
          <w:color w:val="FF0000"/>
          <w:sz w:val="20"/>
        </w:rPr>
        <w:t>with half of the data subcarrier frequency spacing of VHT PHY defined in Clause 21 (Very High Throughput (VHT) PHY specification)</w:t>
      </w:r>
      <w:r w:rsidR="002C78D6" w:rsidRPr="00364087">
        <w:rPr>
          <w:rFonts w:ascii="TimesNewRoman" w:hAnsi="TimesNewRoman"/>
          <w:color w:val="000000"/>
          <w:sz w:val="2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Pr="00364087">
        <w:rPr>
          <w:rFonts w:ascii="TimesNewRoman" w:hAnsi="TimesNewRoman"/>
          <w:color w:val="000000"/>
          <w:sz w:val="20"/>
        </w:rPr>
        <w:br/>
      </w:r>
      <w:r w:rsidR="002C78D6" w:rsidRPr="002870C5">
        <w:rPr>
          <w:rFonts w:ascii="TimesNewRoman" w:hAnsi="TimesNewRoman"/>
          <w:color w:val="FF0000"/>
          <w:sz w:val="20"/>
        </w:rPr>
        <w:t>• M</w:t>
      </w:r>
      <w:r w:rsidR="002C78D6">
        <w:rPr>
          <w:rFonts w:ascii="TimesNewRoman" w:hAnsi="TimesNewRoman"/>
          <w:color w:val="FF0000"/>
          <w:sz w:val="20"/>
        </w:rPr>
        <w:t>andatory support for 10 MHz NGV PPDU</w:t>
      </w:r>
      <w:r w:rsidR="002C78D6">
        <w:rPr>
          <w:rFonts w:ascii="TimesNewRoman" w:hAnsi="TimesNewRoman"/>
          <w:color w:val="00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LDPC coding</w:t>
      </w:r>
      <w:r w:rsidRPr="002C78D6">
        <w:rPr>
          <w:rFonts w:ascii="TimesNewRoman" w:hAnsi="TimesNewRoman"/>
          <w:strike/>
          <w:color w:val="FF0000"/>
          <w:sz w:val="20"/>
        </w:rPr>
        <w:t xml:space="preserve"> for improved reliability</w:t>
      </w:r>
      <w:r w:rsidR="00B617FE" w:rsidRPr="00B617FE">
        <w:rPr>
          <w:rStyle w:val="fontstyle01"/>
          <w:color w:val="00B050"/>
        </w:rPr>
        <w:t>(#1015)</w:t>
      </w:r>
      <w:r w:rsidRPr="00364087">
        <w:rPr>
          <w:rFonts w:ascii="TimesNewRoman" w:hAnsi="TimesNewRoman"/>
          <w:color w:val="000000"/>
          <w:sz w:val="20"/>
        </w:rPr>
        <w:br/>
        <w:t xml:space="preserve">• </w:t>
      </w:r>
      <w:r w:rsidR="002C78D6">
        <w:rPr>
          <w:rFonts w:ascii="TimesNewRoman" w:hAnsi="TimesNewRoman"/>
          <w:color w:val="FF0000"/>
          <w:sz w:val="20"/>
        </w:rPr>
        <w:t xml:space="preserve">Mandatory support for </w:t>
      </w:r>
      <w:proofErr w:type="spellStart"/>
      <w:r w:rsidRPr="00364087">
        <w:rPr>
          <w:rFonts w:ascii="TimesNewRoman" w:hAnsi="TimesNewRoman"/>
          <w:color w:val="000000"/>
          <w:sz w:val="20"/>
        </w:rPr>
        <w:t>Midambles</w:t>
      </w:r>
      <w:proofErr w:type="spellEnd"/>
      <w:r w:rsidRPr="002C78D6">
        <w:rPr>
          <w:rFonts w:ascii="TimesNewRoman" w:hAnsi="TimesNewRoman"/>
          <w:strike/>
          <w:color w:val="FF0000"/>
          <w:sz w:val="20"/>
        </w:rPr>
        <w:t xml:space="preserve"> for improved reliability and range in fast changing RF environments</w:t>
      </w:r>
      <w:r w:rsidR="00B617FE" w:rsidRPr="00B617FE">
        <w:rPr>
          <w:rStyle w:val="fontstyle01"/>
          <w:color w:val="00B050"/>
        </w:rPr>
        <w:t>(#1015)</w:t>
      </w:r>
      <w:r w:rsidRPr="00364087">
        <w:rPr>
          <w:rFonts w:ascii="TimesNewRoman" w:hAnsi="TimesNewRoman"/>
          <w:color w:val="000000"/>
          <w:sz w:val="20"/>
        </w:rPr>
        <w:br/>
      </w:r>
      <w:r w:rsidR="002C78D6" w:rsidRPr="002870C5">
        <w:rPr>
          <w:rFonts w:ascii="TimesNewRoman" w:hAnsi="TimesNewRoman"/>
          <w:color w:val="FF0000"/>
          <w:sz w:val="20"/>
        </w:rPr>
        <w:t xml:space="preserve">• </w:t>
      </w:r>
      <w:r w:rsidR="002C78D6">
        <w:rPr>
          <w:rFonts w:ascii="TimesNewRoman" w:hAnsi="TimesNewRoman"/>
          <w:color w:val="FF0000"/>
          <w:sz w:val="20"/>
        </w:rPr>
        <w:t>Mandatory support for BPSK with DCM</w:t>
      </w:r>
      <w:r w:rsidR="002C78D6">
        <w:rPr>
          <w:rFonts w:ascii="TimesNewRoman" w:hAnsi="TimesNewRoman"/>
          <w:color w:val="FF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256 QAM</w:t>
      </w:r>
      <w:r w:rsidRPr="002C78D6">
        <w:rPr>
          <w:rFonts w:ascii="TimesNewRoman" w:hAnsi="TimesNewRoman"/>
          <w:strike/>
          <w:color w:val="FF0000"/>
          <w:sz w:val="20"/>
        </w:rPr>
        <w:t xml:space="preserve"> for higher data rates</w:t>
      </w:r>
      <w:r w:rsidR="00B617FE" w:rsidRPr="00B617FE">
        <w:rPr>
          <w:rStyle w:val="fontstyle01"/>
          <w:color w:val="00B050"/>
        </w:rPr>
        <w:t>(#1015)</w:t>
      </w:r>
      <w:r w:rsidR="002C78D6">
        <w:rPr>
          <w:rFonts w:ascii="TimesNewRoman" w:hAnsi="TimesNewRoman"/>
          <w:strike/>
          <w:color w:val="FF0000"/>
          <w:sz w:val="20"/>
        </w:rPr>
        <w:br/>
      </w:r>
      <w:r w:rsidR="00F00B95" w:rsidRPr="00F00B95">
        <w:rPr>
          <w:rFonts w:ascii="TimesNewRoman" w:hAnsi="TimesNewRoman"/>
          <w:strike/>
          <w:color w:val="FF0000"/>
          <w:sz w:val="20"/>
        </w:rPr>
        <w:t>• Improved spectral mask C2 for 20MHz to reduce adjacent channel interference</w:t>
      </w:r>
      <w:r w:rsidR="00B617FE" w:rsidRPr="00B617FE">
        <w:rPr>
          <w:rStyle w:val="fontstyle01"/>
          <w:color w:val="00B050"/>
        </w:rPr>
        <w:t>(#1015)</w:t>
      </w:r>
      <w:r w:rsidR="00B617FE" w:rsidRPr="00B617FE">
        <w:rPr>
          <w:rFonts w:ascii="TimesNewRoman" w:hAnsi="TimesNewRoman"/>
          <w:color w:val="00B050"/>
          <w:sz w:val="20"/>
        </w:rPr>
        <w:t xml:space="preserve"> (#1347)</w:t>
      </w:r>
      <w:r w:rsidR="00F00B95" w:rsidRPr="00F00B95">
        <w:rPr>
          <w:rFonts w:ascii="TimesNewRoman" w:hAnsi="TimesNewRoman"/>
          <w:strike/>
          <w:color w:val="FF0000"/>
          <w:sz w:val="20"/>
        </w:rPr>
        <w:br/>
      </w:r>
      <w:r w:rsidR="00F00B95" w:rsidRPr="002870C5">
        <w:rPr>
          <w:rFonts w:ascii="TimesNewRoman" w:hAnsi="TimesNewRoman"/>
          <w:color w:val="FF0000"/>
          <w:sz w:val="20"/>
        </w:rPr>
        <w:t xml:space="preserve">• </w:t>
      </w:r>
      <w:r w:rsidR="00F00B95" w:rsidRPr="002870C5">
        <w:rPr>
          <w:rFonts w:ascii="TimesNewRoman" w:hAnsi="TimesNewRoman"/>
          <w:color w:val="FF0000"/>
          <w:sz w:val="20"/>
          <w:highlight w:val="yellow"/>
        </w:rPr>
        <w:t>Mandatory</w:t>
      </w:r>
      <w:r w:rsidR="00F00B95" w:rsidRPr="002870C5">
        <w:rPr>
          <w:rFonts w:ascii="TimesNewRoman" w:hAnsi="TimesNewRoman"/>
          <w:color w:val="FF0000"/>
          <w:sz w:val="20"/>
        </w:rPr>
        <w:t xml:space="preserve"> support for class C2 transmit spectrum mask for 20 MHz NGV PPDU</w:t>
      </w:r>
      <w:r w:rsidR="00F00B95" w:rsidRPr="002870C5">
        <w:rPr>
          <w:rFonts w:ascii="TimesNewRoman" w:hAnsi="TimesNewRoman"/>
          <w:color w:val="FF0000"/>
          <w:sz w:val="20"/>
        </w:rPr>
        <w:br/>
      </w:r>
      <w:r w:rsidR="002C78D6" w:rsidRPr="002870C5">
        <w:rPr>
          <w:rFonts w:ascii="TimesNewRoman" w:hAnsi="TimesNewRoman"/>
          <w:color w:val="FF0000"/>
          <w:sz w:val="20"/>
        </w:rPr>
        <w:t xml:space="preserve">• </w:t>
      </w:r>
      <w:r w:rsidR="002C78D6" w:rsidRPr="007227E8">
        <w:rPr>
          <w:rFonts w:ascii="TimesNewRoman" w:hAnsi="TimesNewRoman"/>
          <w:color w:val="FF0000"/>
          <w:sz w:val="20"/>
          <w:highlight w:val="yellow"/>
        </w:rPr>
        <w:t>Optional</w:t>
      </w:r>
      <w:r w:rsidR="002C78D6" w:rsidRPr="002870C5">
        <w:rPr>
          <w:rFonts w:ascii="TimesNewRoman" w:hAnsi="TimesNewRoman"/>
          <w:color w:val="FF0000"/>
          <w:sz w:val="20"/>
        </w:rPr>
        <w:t xml:space="preserve"> support for 20 MHz NGV PPDU</w:t>
      </w:r>
      <w:r w:rsidR="00F00B95" w:rsidRPr="002870C5">
        <w:rPr>
          <w:rFonts w:ascii="TimesNewRoman" w:hAnsi="TimesNewRoman"/>
          <w:color w:val="FF0000"/>
          <w:sz w:val="20"/>
        </w:rPr>
        <w:br/>
      </w:r>
      <w:r w:rsidR="00CB0FF1" w:rsidRPr="002870C5">
        <w:rPr>
          <w:rFonts w:ascii="TimesNewRoman" w:hAnsi="TimesNewRoman"/>
          <w:color w:val="FF0000"/>
          <w:sz w:val="20"/>
        </w:rPr>
        <w:t>— Mandatory support for repetitive NON_NGV_10 PPDU</w:t>
      </w:r>
      <w:r w:rsidR="00CB0FF1" w:rsidRPr="002870C5">
        <w:rPr>
          <w:rFonts w:ascii="TimesNewRoman" w:hAnsi="TimesNewRoman"/>
          <w:color w:val="FF0000"/>
          <w:sz w:val="20"/>
        </w:rPr>
        <w:br/>
      </w:r>
      <w:r w:rsidR="007227E8" w:rsidRPr="002870C5">
        <w:rPr>
          <w:rFonts w:ascii="TimesNewRoman" w:hAnsi="TimesNewRoman"/>
          <w:color w:val="FF0000"/>
          <w:sz w:val="20"/>
        </w:rPr>
        <w:lastRenderedPageBreak/>
        <w:t xml:space="preserve">— </w:t>
      </w:r>
      <w:r w:rsidR="007227E8">
        <w:rPr>
          <w:rFonts w:ascii="TimesNewRoman" w:hAnsi="TimesNewRoman"/>
          <w:color w:val="FF0000"/>
          <w:sz w:val="20"/>
        </w:rPr>
        <w:t>Mandatory support for c</w:t>
      </w:r>
      <w:r w:rsidR="007227E8" w:rsidRPr="002C78D6">
        <w:rPr>
          <w:rFonts w:ascii="TimesNewRoman" w:hAnsi="TimesNewRoman"/>
          <w:color w:val="FF0000"/>
          <w:sz w:val="20"/>
        </w:rPr>
        <w:t>oexistence with non-NGV STAs</w:t>
      </w:r>
      <w:r w:rsidR="007227E8">
        <w:rPr>
          <w:rFonts w:ascii="TimesNewRoman" w:hAnsi="TimesNewRoman"/>
          <w:color w:val="FF0000"/>
          <w:sz w:val="20"/>
        </w:rPr>
        <w:br/>
      </w:r>
      <w:r w:rsidR="007227E8" w:rsidRPr="002870C5">
        <w:rPr>
          <w:rFonts w:ascii="TimesNewRoman" w:hAnsi="TimesNewRoman"/>
          <w:color w:val="FF0000"/>
          <w:sz w:val="20"/>
        </w:rPr>
        <w:t>— Optional support for transmission and reception of single user (SU) MIMO with 2 spatial streams</w:t>
      </w:r>
      <w:r w:rsidR="007227E8">
        <w:rPr>
          <w:rFonts w:ascii="TimesNewRoman" w:hAnsi="TimesNewRoman"/>
          <w:color w:val="FF0000"/>
          <w:sz w:val="20"/>
        </w:rPr>
        <w:br/>
      </w:r>
    </w:p>
    <w:p w:rsidR="002870C5" w:rsidRDefault="009F76F1" w:rsidP="00E44E11">
      <w:pPr>
        <w:rPr>
          <w:rFonts w:ascii="TimesNewRoman" w:hAnsi="TimesNewRoman"/>
          <w:color w:val="000000"/>
          <w:sz w:val="20"/>
        </w:rPr>
      </w:pPr>
      <w:r w:rsidRPr="009F76F1">
        <w:rPr>
          <w:rFonts w:ascii="TimesNewRoman" w:hAnsi="TimesNewRoman"/>
          <w:color w:val="FF0000"/>
          <w:sz w:val="20"/>
        </w:rPr>
        <w:t>Additional</w:t>
      </w:r>
      <w:r w:rsidR="0055508F" w:rsidRPr="009F76F1">
        <w:rPr>
          <w:rFonts w:ascii="TimesNewRoman" w:hAnsi="TimesNewRoman"/>
          <w:color w:val="FF0000"/>
          <w:sz w:val="20"/>
        </w:rPr>
        <w:t xml:space="preserve"> main PHY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0055508F" w:rsidRPr="009F76F1">
        <w:rPr>
          <w:rFonts w:ascii="TimesNewRoman" w:hAnsi="TimesNewRoman"/>
          <w:color w:val="FF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single spatial stream</w:t>
      </w:r>
      <w:r w:rsidR="002870C5">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c</w:t>
      </w:r>
      <w:r w:rsidR="002870C5" w:rsidRPr="00F00B95">
        <w:rPr>
          <w:rFonts w:ascii="TimesNewRoman" w:hAnsi="TimesNewRoman"/>
          <w:color w:val="FF0000"/>
          <w:sz w:val="20"/>
        </w:rPr>
        <w:t xml:space="preserve">lass C </w:t>
      </w:r>
      <w:r w:rsidR="002870C5">
        <w:rPr>
          <w:rFonts w:ascii="TimesNewRoman" w:hAnsi="TimesNewRoman"/>
          <w:color w:val="FF0000"/>
          <w:sz w:val="20"/>
        </w:rPr>
        <w:t>transmit</w:t>
      </w:r>
      <w:r w:rsidR="002870C5" w:rsidRPr="00F00B95">
        <w:rPr>
          <w:rFonts w:ascii="TimesNewRoman" w:hAnsi="TimesNewRoman"/>
          <w:color w:val="FF0000"/>
          <w:sz w:val="20"/>
        </w:rPr>
        <w:t xml:space="preserve"> spectrum mask for 10 MHz NGV PPDU</w:t>
      </w:r>
      <w:r w:rsidR="002870C5">
        <w:rPr>
          <w:rFonts w:ascii="TimesNewRoman" w:hAnsi="TimesNewRoman"/>
          <w:color w:val="FF0000"/>
          <w:sz w:val="20"/>
        </w:rPr>
        <w:br/>
      </w:r>
      <w:r w:rsidR="002870C5" w:rsidRPr="00364087">
        <w:rPr>
          <w:rFonts w:ascii="TimesNewRoman" w:hAnsi="TimesNewRoman"/>
          <w:color w:val="000000"/>
          <w:sz w:val="20"/>
        </w:rPr>
        <w:t xml:space="preserve">— </w:t>
      </w:r>
      <w:r w:rsidR="002870C5">
        <w:rPr>
          <w:rFonts w:ascii="TimesNewRoman" w:hAnsi="TimesNewRoman"/>
          <w:color w:val="FF0000"/>
          <w:sz w:val="20"/>
        </w:rPr>
        <w:t xml:space="preserve">Mandatory support for </w:t>
      </w:r>
      <w:r w:rsidR="002870C5" w:rsidRPr="002870C5">
        <w:rPr>
          <w:rFonts w:ascii="TimesNewRoman" w:hAnsi="TimesNewRoman"/>
          <w:strike/>
          <w:color w:val="FF0000"/>
          <w:sz w:val="20"/>
        </w:rPr>
        <w:t>NGV stations also support clause 17</w:t>
      </w:r>
      <w:r w:rsidR="002870C5">
        <w:rPr>
          <w:rFonts w:ascii="TimesNewRoman" w:hAnsi="TimesNewRoman"/>
          <w:color w:val="FF0000"/>
          <w:sz w:val="20"/>
        </w:rPr>
        <w:t xml:space="preserve"> </w:t>
      </w:r>
      <w:r w:rsidR="002870C5" w:rsidRPr="002870C5">
        <w:rPr>
          <w:rFonts w:ascii="TimesNewRoman" w:hAnsi="TimesNewRoman"/>
          <w:color w:val="FF0000"/>
          <w:sz w:val="20"/>
        </w:rPr>
        <w:t xml:space="preserve">Clause 17 (Orthogonal frequency division multiplexing (OFDM) PHY specification) </w:t>
      </w:r>
      <w:r w:rsidR="002870C5" w:rsidRPr="00F00B95">
        <w:rPr>
          <w:rFonts w:ascii="TimesNewRoman" w:hAnsi="TimesNewRoman"/>
          <w:color w:val="FF0000"/>
          <w:sz w:val="20"/>
        </w:rPr>
        <w:t xml:space="preserve">10 MHz </w:t>
      </w:r>
      <w:r w:rsidR="002870C5" w:rsidRPr="00364087">
        <w:rPr>
          <w:rFonts w:ascii="TimesNewRoman" w:hAnsi="TimesNewRoman"/>
          <w:color w:val="000000"/>
          <w:sz w:val="20"/>
        </w:rPr>
        <w:t>PPDU</w:t>
      </w:r>
      <w:r w:rsidR="002870C5" w:rsidRPr="00E10DB8">
        <w:rPr>
          <w:rFonts w:ascii="TimesNewRoman" w:hAnsi="TimesNewRoman"/>
          <w:strike/>
          <w:color w:val="FF0000"/>
          <w:sz w:val="20"/>
        </w:rPr>
        <w:t xml:space="preserve"> formats</w:t>
      </w:r>
      <w:r w:rsidR="00C56ED3">
        <w:rPr>
          <w:rFonts w:ascii="TimesNewRoman" w:hAnsi="TimesNewRoman"/>
          <w:color w:val="000000"/>
          <w:sz w:val="20"/>
        </w:rPr>
        <w:t xml:space="preserve"> </w:t>
      </w:r>
      <w:r w:rsidR="00271598" w:rsidRPr="00271598">
        <w:rPr>
          <w:rFonts w:ascii="TimesNewRoman" w:hAnsi="TimesNewRoman"/>
          <w:color w:val="00B050"/>
          <w:sz w:val="20"/>
        </w:rPr>
        <w:t>(#1200)</w:t>
      </w:r>
      <w:r w:rsidR="002870C5" w:rsidRPr="00364087">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 xml:space="preserve">Optional support for </w:t>
      </w:r>
      <w:r w:rsidR="002870C5" w:rsidRPr="00F00B95">
        <w:rPr>
          <w:rFonts w:ascii="TimesNewRoman" w:hAnsi="TimesNewRoman"/>
          <w:color w:val="FF0000"/>
          <w:sz w:val="20"/>
        </w:rPr>
        <w:t>Classes A, B, and D of spectrum mask requirement for 10 MHz bandwidth</w:t>
      </w:r>
    </w:p>
    <w:p w:rsidR="00B64B87" w:rsidRPr="002C78D6" w:rsidRDefault="00364087" w:rsidP="00E44E11">
      <w:pPr>
        <w:rPr>
          <w:rFonts w:ascii="TimesNewRoman" w:hAnsi="TimesNewRoman"/>
          <w:color w:val="FF0000"/>
          <w:sz w:val="20"/>
        </w:rPr>
      </w:pPr>
      <w:r w:rsidRPr="002870C5">
        <w:rPr>
          <w:rFonts w:ascii="TimesNewRoman" w:hAnsi="TimesNewRoman"/>
          <w:strike/>
          <w:color w:val="FF0000"/>
          <w:sz w:val="20"/>
        </w:rPr>
        <w:t>— Optionally, multiple spatial streams (SU-MIMO).</w:t>
      </w:r>
    </w:p>
    <w:p w:rsidR="00E457DA" w:rsidRDefault="00E457DA" w:rsidP="00E44E11">
      <w:pPr>
        <w:rPr>
          <w:b/>
        </w:rPr>
      </w:pPr>
    </w:p>
    <w:p w:rsidR="00A453BD" w:rsidRDefault="00E457DA" w:rsidP="00E44E11">
      <w:pPr>
        <w:rPr>
          <w:rFonts w:ascii="TimesNewRoman" w:hAnsi="TimesNewRoman"/>
          <w:color w:val="00B050"/>
          <w:sz w:val="20"/>
        </w:rPr>
      </w:pPr>
      <w:r w:rsidRPr="00E457DA">
        <w:rPr>
          <w:rFonts w:ascii="TimesNewRoman" w:hAnsi="TimesNewRoman"/>
          <w:color w:val="000000"/>
          <w:sz w:val="20"/>
        </w:rPr>
        <w:t>The main MAC features of an NGV STA</w:t>
      </w:r>
      <w:r w:rsidR="00BB5831" w:rsidRPr="00BB5831">
        <w:rPr>
          <w:rFonts w:ascii="TimesNewRoman" w:hAnsi="TimesNewRoman"/>
          <w:color w:val="FF0000"/>
          <w:sz w:val="20"/>
        </w:rPr>
        <w:t xml:space="preserve"> </w:t>
      </w:r>
      <w:r w:rsidR="00BB5831">
        <w:rPr>
          <w:rFonts w:ascii="TimesNewRoman" w:hAnsi="TimesNewRoman"/>
          <w:color w:val="FF0000"/>
          <w:sz w:val="20"/>
        </w:rPr>
        <w:t>that are not present in a non-NGV STA</w:t>
      </w:r>
      <w:r w:rsidRPr="00E457DA">
        <w:rPr>
          <w:rFonts w:ascii="TimesNewRoman" w:hAnsi="TimesNewRoman"/>
          <w:color w:val="000000"/>
          <w:sz w:val="20"/>
        </w:rPr>
        <w:t xml:space="preserve">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B617FE">
        <w:rPr>
          <w:rStyle w:val="fontstyle01"/>
          <w:color w:val="00B050"/>
        </w:rPr>
        <w:t>(#1</w:t>
      </w:r>
      <w:r w:rsidR="005921A2">
        <w:rPr>
          <w:rStyle w:val="fontstyle01"/>
          <w:color w:val="00B050"/>
        </w:rPr>
        <w:t>017</w:t>
      </w:r>
      <w:r w:rsidR="005921A2" w:rsidRPr="00B617FE">
        <w:rPr>
          <w:rStyle w:val="fontstyle01"/>
          <w:color w:val="00B050"/>
        </w:rPr>
        <w:t>)</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BB5831">
        <w:rPr>
          <w:rFonts w:ascii="TimesNewRoman" w:hAnsi="TimesNewRoman"/>
          <w:color w:val="000000"/>
          <w:sz w:val="20"/>
        </w:rPr>
        <w:br/>
      </w:r>
      <w:r w:rsidR="00BB5831" w:rsidRPr="002870C5">
        <w:rPr>
          <w:rFonts w:ascii="TimesNewRoman" w:hAnsi="TimesNewRoman"/>
          <w:color w:val="FF0000"/>
          <w:sz w:val="20"/>
        </w:rPr>
        <w:t>—</w:t>
      </w:r>
      <w:r w:rsidR="00BB5831" w:rsidRPr="00364087">
        <w:rPr>
          <w:rFonts w:ascii="TimesNewRoman" w:hAnsi="TimesNewRoman"/>
          <w:color w:val="000000"/>
          <w:sz w:val="20"/>
        </w:rPr>
        <w:t xml:space="preserve"> </w:t>
      </w:r>
      <w:r w:rsidR="00BB5831">
        <w:rPr>
          <w:rFonts w:ascii="TimesNewRoman" w:hAnsi="TimesNewRoman"/>
          <w:color w:val="FF0000"/>
          <w:sz w:val="20"/>
        </w:rPr>
        <w:t>Mandatory support for same channel c</w:t>
      </w:r>
      <w:r w:rsidR="00BB5831" w:rsidRPr="002C78D6">
        <w:rPr>
          <w:rFonts w:ascii="TimesNewRoman" w:hAnsi="TimesNewRoman"/>
          <w:color w:val="FF0000"/>
          <w:sz w:val="20"/>
        </w:rPr>
        <w:t>oexistence with non-NGV STAs</w:t>
      </w:r>
      <w:r w:rsidR="00C56ED3">
        <w:rPr>
          <w:rFonts w:ascii="TimesNewRoman" w:hAnsi="TimesNewRoman"/>
          <w:color w:val="FF0000"/>
          <w:sz w:val="20"/>
        </w:rPr>
        <w:t xml:space="preserve"> </w:t>
      </w:r>
      <w:r w:rsidR="00EE117C" w:rsidRPr="00EE117C">
        <w:rPr>
          <w:rFonts w:ascii="TimesNewRoman" w:hAnsi="TimesNewRoman"/>
          <w:color w:val="00B050"/>
          <w:sz w:val="20"/>
        </w:rPr>
        <w:t>(#1738)</w:t>
      </w:r>
      <w:r w:rsidR="003F0DC4">
        <w:rPr>
          <w:rFonts w:ascii="TimesNewRoman" w:hAnsi="TimesNewRoman"/>
          <w:color w:val="FF0000"/>
          <w:sz w:val="20"/>
        </w:rPr>
        <w:br/>
      </w:r>
      <w:r w:rsidR="003F0DC4" w:rsidRPr="002870C5">
        <w:rPr>
          <w:rFonts w:ascii="TimesNewRoman" w:hAnsi="TimesNewRoman"/>
          <w:color w:val="FF0000"/>
          <w:sz w:val="20"/>
        </w:rPr>
        <w:t>—</w:t>
      </w:r>
      <w:r w:rsidR="003F0DC4" w:rsidRPr="00364087">
        <w:rPr>
          <w:rFonts w:ascii="TimesNewRoman" w:hAnsi="TimesNewRoman"/>
          <w:color w:val="000000"/>
          <w:sz w:val="20"/>
        </w:rPr>
        <w:t xml:space="preserve"> </w:t>
      </w:r>
      <w:r w:rsidR="003F0DC4">
        <w:rPr>
          <w:rFonts w:ascii="TimesNewRoman" w:hAnsi="TimesNewRoman"/>
          <w:color w:val="FF0000"/>
          <w:sz w:val="20"/>
        </w:rPr>
        <w:t xml:space="preserve">Mandatory support for extended MAC service </w:t>
      </w:r>
      <w:proofErr w:type="spellStart"/>
      <w:r w:rsidR="003F0DC4">
        <w:rPr>
          <w:rFonts w:ascii="TimesNewRoman" w:hAnsi="TimesNewRoman"/>
          <w:color w:val="FF0000"/>
          <w:sz w:val="20"/>
        </w:rPr>
        <w:t>inferface</w:t>
      </w:r>
      <w:proofErr w:type="spellEnd"/>
      <w:r w:rsidR="003F0DC4">
        <w:rPr>
          <w:rFonts w:ascii="TimesNewRoman" w:hAnsi="TimesNewRoman"/>
          <w:color w:val="FF0000"/>
          <w:sz w:val="20"/>
        </w:rPr>
        <w:t xml:space="preserve"> </w:t>
      </w:r>
      <w:r w:rsidR="003F0DC4" w:rsidRPr="003F0DC4">
        <w:rPr>
          <w:rFonts w:ascii="TimesNewRoman" w:hAnsi="TimesNewRoman"/>
          <w:color w:val="FF0000"/>
          <w:sz w:val="20"/>
        </w:rPr>
        <w:t>to provide higher layers with the ability to control NGV transmissions and receive status regarding NGV receptions and the radio environment</w:t>
      </w:r>
      <w:r w:rsidR="00D9634E">
        <w:rPr>
          <w:rFonts w:ascii="TimesNewRoman" w:hAnsi="TimesNewRoman"/>
          <w:color w:val="FF0000"/>
          <w:sz w:val="20"/>
        </w:rPr>
        <w:br/>
      </w:r>
      <w:r w:rsidR="00E356D3" w:rsidRPr="002870C5">
        <w:rPr>
          <w:rFonts w:ascii="TimesNewRoman" w:hAnsi="TimesNewRoman"/>
          <w:color w:val="FF0000"/>
          <w:sz w:val="20"/>
        </w:rPr>
        <w:t>—</w:t>
      </w:r>
      <w:r w:rsidR="00E356D3" w:rsidRPr="00364087">
        <w:rPr>
          <w:rFonts w:ascii="TimesNewRoman" w:hAnsi="TimesNewRoman"/>
          <w:color w:val="000000"/>
          <w:sz w:val="20"/>
        </w:rPr>
        <w:t xml:space="preserve"> </w:t>
      </w:r>
      <w:r w:rsidR="00E356D3" w:rsidRPr="00E356D3">
        <w:rPr>
          <w:rFonts w:ascii="TimesNewRoman" w:hAnsi="TimesNewRoman"/>
          <w:color w:val="FF0000"/>
          <w:sz w:val="20"/>
          <w:highlight w:val="yellow"/>
        </w:rPr>
        <w:t>Mandatory</w:t>
      </w:r>
      <w:r w:rsidR="00E356D3">
        <w:rPr>
          <w:rFonts w:ascii="TimesNewRoman" w:hAnsi="TimesNewRoman"/>
          <w:color w:val="FF0000"/>
          <w:sz w:val="20"/>
        </w:rPr>
        <w:t xml:space="preserve"> support for 20 MHz channel access with 10 MHz primary and 10 MHz secondary channel </w:t>
      </w:r>
      <w:r w:rsidR="00E356D3" w:rsidRPr="004C7776">
        <w:rPr>
          <w:rFonts w:ascii="TimesNewRoman" w:hAnsi="TimesNewRoman"/>
          <w:strike/>
          <w:color w:val="FF0000"/>
          <w:sz w:val="20"/>
          <w:highlight w:val="cyan"/>
        </w:rPr>
        <w:t>when communicating OCB</w:t>
      </w:r>
      <w:r w:rsidR="00C56ED3">
        <w:rPr>
          <w:rFonts w:ascii="TimesNewRoman" w:hAnsi="TimesNewRoman"/>
          <w:color w:val="FF0000"/>
          <w:sz w:val="20"/>
        </w:rPr>
        <w:t xml:space="preserve"> </w:t>
      </w:r>
      <w:r w:rsidR="00BC7B79" w:rsidRPr="00EE117C">
        <w:rPr>
          <w:rFonts w:ascii="TimesNewRoman" w:hAnsi="TimesNewRoman"/>
          <w:color w:val="00B050"/>
          <w:sz w:val="20"/>
        </w:rPr>
        <w:t>(#1510)</w:t>
      </w:r>
      <w:r w:rsidR="00EE117C" w:rsidRPr="00EE117C">
        <w:rPr>
          <w:rFonts w:ascii="TimesNewRoman" w:hAnsi="TimesNewRoman"/>
          <w:color w:val="00B050"/>
          <w:sz w:val="20"/>
        </w:rPr>
        <w:t>(#1738)</w:t>
      </w:r>
    </w:p>
    <w:p w:rsidR="00E356D3" w:rsidRDefault="00652741" w:rsidP="00E44E11">
      <w:pPr>
        <w:rPr>
          <w:rFonts w:ascii="TimesNewRoman" w:hAnsi="TimesNewRoman"/>
          <w:color w:val="FF0000"/>
          <w:sz w:val="20"/>
        </w:rPr>
      </w:pPr>
      <w:r w:rsidRPr="002870C5">
        <w:rPr>
          <w:rFonts w:ascii="TimesNewRoman" w:hAnsi="TimesNewRoman"/>
          <w:color w:val="FF0000"/>
          <w:sz w:val="20"/>
        </w:rPr>
        <w:t>—</w:t>
      </w:r>
      <w:r>
        <w:rPr>
          <w:rFonts w:ascii="TimesNewRoman" w:hAnsi="TimesNewRoman"/>
          <w:color w:val="FF0000"/>
          <w:sz w:val="20"/>
        </w:rPr>
        <w:t xml:space="preserve"> Mandatory support for NGV capability indication for non-NGV PPDUs encoded in the </w:t>
      </w:r>
      <w:r w:rsidRPr="00652741">
        <w:rPr>
          <w:rFonts w:ascii="TimesNewRoman" w:hAnsi="TimesNewRoman"/>
          <w:color w:val="FF0000"/>
          <w:sz w:val="20"/>
        </w:rPr>
        <w:t>Duration/ID field of the MAC header</w:t>
      </w:r>
      <w:r w:rsidR="00C56ED3">
        <w:rPr>
          <w:rFonts w:ascii="TimesNewRoman" w:hAnsi="TimesNewRoman"/>
          <w:color w:val="FF0000"/>
          <w:sz w:val="20"/>
        </w:rPr>
        <w:t xml:space="preserve"> </w:t>
      </w:r>
      <w:r w:rsidRPr="00652741">
        <w:rPr>
          <w:rFonts w:ascii="TimesNewRoman" w:hAnsi="TimesNewRoman"/>
          <w:color w:val="00B050"/>
          <w:sz w:val="20"/>
        </w:rPr>
        <w:t>(#1202)</w:t>
      </w:r>
      <w:r w:rsidR="00E356D3">
        <w:rPr>
          <w:rFonts w:ascii="TimesNewRoman" w:hAnsi="TimesNewRoman"/>
          <w:color w:val="FF0000"/>
          <w:sz w:val="20"/>
        </w:rPr>
        <w:br/>
      </w:r>
      <w:r w:rsidR="00D9634E" w:rsidRPr="00542F03">
        <w:rPr>
          <w:rFonts w:ascii="TimesNewRoman" w:hAnsi="TimesNewRoman"/>
          <w:color w:val="FF0000"/>
          <w:sz w:val="20"/>
        </w:rPr>
        <w:t>—</w:t>
      </w:r>
      <w:r w:rsidR="00D9634E" w:rsidRPr="00542F03">
        <w:rPr>
          <w:rFonts w:ascii="TimesNewRoman" w:hAnsi="TimesNewRoman"/>
          <w:color w:val="000000"/>
          <w:sz w:val="20"/>
        </w:rPr>
        <w:t xml:space="preserve"> </w:t>
      </w:r>
      <w:r w:rsidR="00D9634E" w:rsidRPr="00542F03">
        <w:rPr>
          <w:rFonts w:ascii="TimesNewRoman" w:hAnsi="TimesNewRoman"/>
          <w:color w:val="FF0000"/>
          <w:sz w:val="20"/>
        </w:rPr>
        <w:t>Mandatory support for reception of frame aggregation when communicating OCB</w:t>
      </w:r>
      <w:r w:rsidR="00D9634E" w:rsidRPr="00542F03">
        <w:rPr>
          <w:rFonts w:ascii="TimesNewRoman" w:hAnsi="TimesNewRoman"/>
          <w:color w:val="FF0000"/>
          <w:sz w:val="20"/>
        </w:rPr>
        <w:br/>
        <w:t>—</w:t>
      </w:r>
      <w:r w:rsidR="00D9634E" w:rsidRPr="00542F03">
        <w:rPr>
          <w:rFonts w:ascii="TimesNewRoman" w:hAnsi="TimesNewRoman"/>
          <w:color w:val="000000"/>
          <w:sz w:val="20"/>
        </w:rPr>
        <w:t xml:space="preserve"> </w:t>
      </w:r>
      <w:r w:rsidR="00D9634E" w:rsidRPr="00542F03">
        <w:rPr>
          <w:rFonts w:ascii="TimesNewRoman" w:hAnsi="TimesNewRoman"/>
          <w:color w:val="FF0000"/>
          <w:sz w:val="20"/>
        </w:rPr>
        <w:t>Optional support for transmission of frame aggregation when communicating OCB</w:t>
      </w:r>
    </w:p>
    <w:p w:rsidR="00D9634E" w:rsidRDefault="00D9634E" w:rsidP="00E44E11">
      <w:pPr>
        <w:rPr>
          <w:rStyle w:val="fontstyle01"/>
          <w:color w:val="00B050"/>
        </w:rPr>
      </w:pPr>
      <w:r>
        <w:rPr>
          <w:rFonts w:ascii="TimesNewRoman" w:hAnsi="TimesNewRoman"/>
          <w:color w:val="FF0000"/>
          <w:sz w:val="20"/>
        </w:rPr>
        <w:br/>
      </w:r>
      <w:r w:rsidR="005226EA" w:rsidRPr="009F76F1">
        <w:rPr>
          <w:rFonts w:ascii="TimesNewRoman" w:hAnsi="TimesNewRoman"/>
          <w:color w:val="FF0000"/>
          <w:sz w:val="20"/>
        </w:rPr>
        <w:t xml:space="preserve">Additional main </w:t>
      </w:r>
      <w:r w:rsidR="00426730">
        <w:rPr>
          <w:rFonts w:ascii="TimesNewRoman" w:hAnsi="TimesNewRoman"/>
          <w:color w:val="FF0000"/>
          <w:sz w:val="20"/>
        </w:rPr>
        <w:t>MAC</w:t>
      </w:r>
      <w:r w:rsidR="005226EA" w:rsidRPr="009F76F1">
        <w:rPr>
          <w:rFonts w:ascii="TimesNewRoman" w:hAnsi="TimesNewRoman"/>
          <w:color w:val="FF0000"/>
          <w:sz w:val="20"/>
        </w:rPr>
        <w:t xml:space="preserve">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5921A2">
        <w:rPr>
          <w:rStyle w:val="fontstyle01"/>
          <w:color w:val="00B050"/>
        </w:rPr>
        <w:t xml:space="preserve"> </w:t>
      </w:r>
      <w:r w:rsidR="005921A2" w:rsidRPr="00B617FE">
        <w:rPr>
          <w:rStyle w:val="fontstyle01"/>
          <w:color w:val="00B050"/>
        </w:rPr>
        <w:t>(#1</w:t>
      </w:r>
      <w:r w:rsidR="005921A2">
        <w:rPr>
          <w:rStyle w:val="fontstyle01"/>
          <w:color w:val="00B050"/>
        </w:rPr>
        <w:t>017</w:t>
      </w:r>
      <w:r w:rsidR="005921A2" w:rsidRPr="00B617FE">
        <w:rPr>
          <w:rStyle w:val="fontstyle01"/>
          <w:color w:val="00B050"/>
        </w:rPr>
        <w:t xml:space="preserve">) </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5226EA" w:rsidRPr="009F76F1">
        <w:rPr>
          <w:rFonts w:ascii="TimesNewRoman" w:hAnsi="TimesNewRoman"/>
          <w:color w:val="FF0000"/>
          <w:sz w:val="20"/>
        </w:rPr>
        <w:br/>
      </w:r>
      <w:r w:rsidR="00E457DA" w:rsidRPr="005226EA">
        <w:rPr>
          <w:rFonts w:ascii="TimesNewRoman" w:hAnsi="TimesNewRoman"/>
          <w:color w:val="FF0000"/>
          <w:sz w:val="20"/>
        </w:rPr>
        <w:t xml:space="preserve">— </w:t>
      </w:r>
      <w:r w:rsidR="005226EA">
        <w:rPr>
          <w:rFonts w:ascii="TimesNewRoman" w:hAnsi="TimesNewRoman"/>
          <w:color w:val="FF0000"/>
          <w:sz w:val="20"/>
        </w:rPr>
        <w:t xml:space="preserve">Mandatory support for </w:t>
      </w:r>
      <w:r w:rsidR="00E457DA" w:rsidRPr="005226EA">
        <w:rPr>
          <w:rFonts w:ascii="TimesNewRoman" w:hAnsi="TimesNewRoman"/>
          <w:color w:val="FF0000"/>
          <w:sz w:val="20"/>
        </w:rPr>
        <w:t>10 MHz</w:t>
      </w:r>
      <w:r w:rsidR="005226EA">
        <w:rPr>
          <w:rFonts w:ascii="TimesNewRoman" w:hAnsi="TimesNewRoman"/>
          <w:color w:val="FF0000"/>
          <w:sz w:val="20"/>
        </w:rPr>
        <w:t xml:space="preserve"> OCB communication</w:t>
      </w:r>
      <w:r w:rsidR="005226EA">
        <w:rPr>
          <w:rFonts w:ascii="TimesNewRoman" w:hAnsi="TimesNewRoman"/>
          <w:color w:val="FF0000"/>
          <w:sz w:val="20"/>
        </w:rPr>
        <w:br/>
      </w:r>
      <w:r w:rsidR="005226EA" w:rsidRPr="005226EA">
        <w:rPr>
          <w:rFonts w:ascii="TimesNewRoman" w:hAnsi="TimesNewRoman"/>
          <w:color w:val="FF0000"/>
          <w:sz w:val="20"/>
        </w:rPr>
        <w:t xml:space="preserve">— </w:t>
      </w:r>
      <w:r w:rsidR="005226EA" w:rsidRPr="00C5206F">
        <w:rPr>
          <w:rFonts w:ascii="TimesNewRoman" w:hAnsi="TimesNewRoman"/>
          <w:color w:val="FF0000"/>
          <w:sz w:val="20"/>
          <w:highlight w:val="yellow"/>
        </w:rPr>
        <w:t>Optional</w:t>
      </w:r>
      <w:r w:rsidR="005226EA">
        <w:rPr>
          <w:rFonts w:ascii="TimesNewRoman" w:hAnsi="TimesNewRoman"/>
          <w:color w:val="FF0000"/>
          <w:sz w:val="20"/>
        </w:rPr>
        <w:t xml:space="preserve"> support for</w:t>
      </w:r>
      <w:r w:rsidR="00E457DA" w:rsidRPr="005226EA">
        <w:rPr>
          <w:rFonts w:ascii="TimesNewRoman" w:hAnsi="TimesNewRoman"/>
          <w:strike/>
          <w:color w:val="FF0000"/>
          <w:sz w:val="20"/>
        </w:rPr>
        <w:t xml:space="preserve"> and</w:t>
      </w:r>
      <w:r w:rsidR="00E457DA" w:rsidRPr="005226EA">
        <w:rPr>
          <w:rFonts w:ascii="TimesNewRoman" w:hAnsi="TimesNewRoman"/>
          <w:color w:val="FF0000"/>
          <w:sz w:val="20"/>
        </w:rPr>
        <w:t xml:space="preserve"> 20 MHz </w:t>
      </w:r>
      <w:r w:rsidR="005226EA">
        <w:rPr>
          <w:rFonts w:ascii="TimesNewRoman" w:hAnsi="TimesNewRoman"/>
          <w:color w:val="FF0000"/>
          <w:sz w:val="20"/>
        </w:rPr>
        <w:t xml:space="preserve">OCB </w:t>
      </w:r>
      <w:r w:rsidR="00E457DA" w:rsidRPr="005226EA">
        <w:rPr>
          <w:rFonts w:ascii="TimesNewRoman" w:hAnsi="TimesNewRoman"/>
          <w:color w:val="FF0000"/>
          <w:sz w:val="20"/>
        </w:rPr>
        <w:t>communication</w:t>
      </w:r>
      <w:r w:rsidR="00E457DA" w:rsidRPr="005226EA">
        <w:rPr>
          <w:rFonts w:ascii="TimesNewRoman" w:hAnsi="TimesNewRoman"/>
          <w:strike/>
          <w:color w:val="FF0000"/>
          <w:sz w:val="20"/>
        </w:rPr>
        <w:t xml:space="preserve"> outside the context of a BSS (OCB)</w:t>
      </w:r>
      <w:r w:rsidR="00426730">
        <w:rPr>
          <w:rFonts w:ascii="TimesNewRoman" w:hAnsi="TimesNewRoman"/>
          <w:strike/>
          <w:color w:val="FF0000"/>
          <w:sz w:val="20"/>
        </w:rPr>
        <w:br/>
      </w:r>
      <w:r w:rsidR="00426730" w:rsidRPr="005226EA">
        <w:rPr>
          <w:rFonts w:ascii="TimesNewRoman" w:hAnsi="TimesNewRoman"/>
          <w:color w:val="FF0000"/>
          <w:sz w:val="20"/>
        </w:rPr>
        <w:t xml:space="preserve">— </w:t>
      </w:r>
      <w:r w:rsidR="00426730">
        <w:rPr>
          <w:rFonts w:ascii="TimesNewRoman" w:hAnsi="TimesNewRoman"/>
          <w:color w:val="FF0000"/>
          <w:sz w:val="20"/>
        </w:rPr>
        <w:t>Optional support for operating as DMG STA, when dot11OCBActivated is true, with</w:t>
      </w:r>
      <w:r w:rsidR="00426730" w:rsidRPr="00E356D3">
        <w:rPr>
          <w:rFonts w:ascii="TimesNewRoman" w:hAnsi="TimesNewRoman"/>
          <w:color w:val="FF0000"/>
          <w:sz w:val="20"/>
        </w:rPr>
        <w:t xml:space="preserve"> the MAC and MLME functions defined in Clause 31.3 (Operation in 60 GHz band) in addition to the MAC functions defined in Cause 10 (MAC sublayer functional description) and the MLME functions defined in Clause 11(MLME) for DMG or EDMG STAs.</w:t>
      </w:r>
      <w:r w:rsidR="00426730" w:rsidRPr="00CA2277">
        <w:rPr>
          <w:rStyle w:val="fontstyle01"/>
          <w:color w:val="00B050"/>
        </w:rPr>
        <w:t xml:space="preserve"> </w:t>
      </w:r>
      <w:r w:rsidR="00426730" w:rsidRPr="00B617FE">
        <w:rPr>
          <w:rStyle w:val="fontstyle01"/>
          <w:color w:val="00B050"/>
        </w:rPr>
        <w:t>(#1</w:t>
      </w:r>
      <w:r w:rsidR="00426730">
        <w:rPr>
          <w:rStyle w:val="fontstyle01"/>
          <w:color w:val="00B050"/>
        </w:rPr>
        <w:t>001</w:t>
      </w:r>
      <w:r w:rsidR="00426730" w:rsidRPr="00B617FE">
        <w:rPr>
          <w:rStyle w:val="fontstyle01"/>
          <w:color w:val="00B050"/>
        </w:rPr>
        <w:t>)(#1</w:t>
      </w:r>
      <w:r w:rsidR="00426730">
        <w:rPr>
          <w:rStyle w:val="fontstyle01"/>
          <w:color w:val="00B050"/>
        </w:rPr>
        <w:t>017</w:t>
      </w:r>
      <w:r w:rsidR="00426730" w:rsidRPr="00B617FE">
        <w:rPr>
          <w:rStyle w:val="fontstyle01"/>
          <w:color w:val="00B050"/>
        </w:rPr>
        <w:t>)</w:t>
      </w:r>
      <w:r w:rsidR="00426730">
        <w:rPr>
          <w:rStyle w:val="fontstyle01"/>
          <w:color w:val="00B050"/>
        </w:rPr>
        <w:t>(#1095)(</w:t>
      </w:r>
      <w:r w:rsidR="00426730" w:rsidRPr="00B617FE">
        <w:rPr>
          <w:rStyle w:val="fontstyle01"/>
          <w:color w:val="00B050"/>
        </w:rPr>
        <w:t>#1</w:t>
      </w:r>
      <w:r w:rsidR="00426730">
        <w:rPr>
          <w:rStyle w:val="fontstyle01"/>
          <w:color w:val="00B050"/>
        </w:rPr>
        <w:t>140</w:t>
      </w:r>
      <w:r w:rsidR="00426730" w:rsidRPr="00B617FE">
        <w:rPr>
          <w:rStyle w:val="fontstyle01"/>
          <w:color w:val="00B050"/>
        </w:rPr>
        <w:t>)</w:t>
      </w:r>
      <w:r w:rsidR="00BC7B79">
        <w:rPr>
          <w:rStyle w:val="fontstyle01"/>
          <w:color w:val="00B050"/>
        </w:rPr>
        <w:t>(#1737)</w:t>
      </w:r>
      <w:r w:rsidR="00E457DA" w:rsidRPr="005226EA">
        <w:rPr>
          <w:rFonts w:ascii="TimesNewRoman" w:hAnsi="TimesNewRoman"/>
          <w:color w:val="FF0000"/>
          <w:sz w:val="20"/>
        </w:rPr>
        <w:br/>
      </w:r>
      <w:r w:rsidR="00E457DA" w:rsidRPr="00E356D3">
        <w:rPr>
          <w:rFonts w:ascii="TimesNewRoman" w:hAnsi="TimesNewRoman"/>
          <w:strike/>
          <w:color w:val="FF0000"/>
          <w:sz w:val="20"/>
        </w:rPr>
        <w:t>— Optionally, operation outside the context of a BSS in the 60 GHz band</w:t>
      </w:r>
      <w:r w:rsidR="00E457DA" w:rsidRPr="00E356D3">
        <w:rPr>
          <w:rFonts w:ascii="TimesNewRoman" w:hAnsi="TimesNewRoman"/>
          <w:strike/>
          <w:color w:val="FF0000"/>
          <w:sz w:val="20"/>
        </w:rPr>
        <w:br/>
        <w:t>— New 20 MHz channel access mechanism to improve coexistence with 10 MHz</w:t>
      </w:r>
      <w:r w:rsidR="00C56ED3">
        <w:rPr>
          <w:rFonts w:ascii="TimesNewRoman" w:hAnsi="TimesNewRoman"/>
          <w:strike/>
          <w:color w:val="FF0000"/>
          <w:sz w:val="20"/>
        </w:rPr>
        <w:t xml:space="preserve"> </w:t>
      </w:r>
      <w:r w:rsidR="00B617FE" w:rsidRPr="00B617FE">
        <w:rPr>
          <w:rStyle w:val="fontstyle01"/>
          <w:color w:val="00B050"/>
        </w:rPr>
        <w:t>(#101</w:t>
      </w:r>
      <w:r w:rsidR="00B617FE">
        <w:rPr>
          <w:rStyle w:val="fontstyle01"/>
          <w:color w:val="00B050"/>
        </w:rPr>
        <w:t>4</w:t>
      </w:r>
      <w:r w:rsidR="00B617FE" w:rsidRPr="00B617FE">
        <w:rPr>
          <w:rStyle w:val="fontstyle01"/>
          <w:color w:val="00B050"/>
        </w:rPr>
        <w:t>)</w:t>
      </w:r>
      <w:r w:rsidR="00E457DA" w:rsidRPr="00E356D3">
        <w:rPr>
          <w:rFonts w:ascii="TimesNewRoman" w:hAnsi="TimesNewRoman"/>
          <w:strike/>
          <w:color w:val="FF0000"/>
          <w:sz w:val="20"/>
        </w:rPr>
        <w:br/>
      </w:r>
      <w:r w:rsidR="00E457DA" w:rsidRPr="00BB5831">
        <w:rPr>
          <w:rFonts w:ascii="TimesNewRoman" w:hAnsi="TimesNewRoman"/>
          <w:strike/>
          <w:color w:val="FF0000"/>
          <w:sz w:val="20"/>
        </w:rPr>
        <w:t>— Same channel coexistence with stations communicating in OCB mode that are not NGV capable</w:t>
      </w:r>
      <w:r w:rsidR="00E457DA" w:rsidRPr="00BB5831">
        <w:rPr>
          <w:rFonts w:ascii="TimesNewRoman" w:hAnsi="TimesNewRoman"/>
          <w:strike/>
          <w:color w:val="FF0000"/>
          <w:sz w:val="20"/>
        </w:rPr>
        <w:br/>
      </w:r>
      <w:r w:rsidR="00E457DA" w:rsidRPr="00D9634E">
        <w:rPr>
          <w:rFonts w:ascii="TimesNewRoman" w:hAnsi="TimesNewRoman"/>
          <w:strike/>
          <w:color w:val="FF0000"/>
          <w:sz w:val="20"/>
        </w:rPr>
        <w:t>— Frame Aggregation to improve efficiency</w:t>
      </w:r>
      <w:r w:rsidR="00E457DA" w:rsidRPr="00D9634E">
        <w:rPr>
          <w:rFonts w:ascii="TimesNewRoman" w:hAnsi="TimesNewRoman"/>
          <w:strike/>
          <w:color w:val="FF0000"/>
          <w:sz w:val="20"/>
        </w:rPr>
        <w:br/>
        <w:t>— Improvements to the MAC Service definition for IEEE 1609 and other upper layer protocols to efficiently use the radio.</w:t>
      </w:r>
      <w:r w:rsidR="00B617FE" w:rsidRPr="00B617FE">
        <w:rPr>
          <w:rStyle w:val="fontstyle01"/>
          <w:color w:val="00B050"/>
        </w:rPr>
        <w:t xml:space="preserve"> </w:t>
      </w:r>
      <w:r w:rsidR="00C56ED3">
        <w:rPr>
          <w:rStyle w:val="fontstyle01"/>
          <w:color w:val="00B050"/>
        </w:rPr>
        <w:t xml:space="preserve"> </w:t>
      </w:r>
      <w:r w:rsidR="00B617FE" w:rsidRPr="00B617FE">
        <w:rPr>
          <w:rStyle w:val="fontstyle01"/>
          <w:color w:val="00B050"/>
        </w:rPr>
        <w:t>(#1015)</w:t>
      </w:r>
    </w:p>
    <w:p w:rsidR="002960DE" w:rsidRDefault="002960DE" w:rsidP="00E44E11">
      <w:pPr>
        <w:rPr>
          <w:rFonts w:ascii="TimesNewRoman" w:hAnsi="TimesNewRoman"/>
          <w:color w:val="FF0000"/>
          <w:sz w:val="20"/>
        </w:rPr>
      </w:pPr>
    </w:p>
    <w:p w:rsidR="002960DE" w:rsidRPr="002960DE" w:rsidRDefault="002960DE" w:rsidP="00DD61B1">
      <w:pPr>
        <w:rPr>
          <w:rFonts w:ascii="TimesNewRoman" w:hAnsi="TimesNewRoman"/>
          <w:color w:val="FF0000"/>
          <w:sz w:val="20"/>
        </w:rPr>
      </w:pPr>
      <w:r>
        <w:rPr>
          <w:rFonts w:ascii="TimesNewRoman" w:hAnsi="TimesNewRoman"/>
          <w:color w:val="FF0000"/>
          <w:sz w:val="20"/>
        </w:rPr>
        <w:t xml:space="preserve">An NGV STA </w:t>
      </w:r>
      <w:r w:rsidR="00B2143B">
        <w:rPr>
          <w:rFonts w:ascii="TimesNewRoman" w:hAnsi="TimesNewRoman"/>
          <w:color w:val="FF0000"/>
          <w:sz w:val="20"/>
        </w:rPr>
        <w:t>may support positioning based on</w:t>
      </w:r>
      <w:r>
        <w:rPr>
          <w:rFonts w:ascii="TimesNewRoman" w:hAnsi="TimesNewRoman"/>
          <w:color w:val="FF0000"/>
          <w:sz w:val="20"/>
        </w:rPr>
        <w:t xml:space="preserve"> NGV Ranging, which consists of a subset of Fine timing measurement (FTM) functionalities as defined in 11.21.6 (</w:t>
      </w:r>
      <w:r w:rsidRPr="002960DE">
        <w:rPr>
          <w:rFonts w:ascii="TimesNewRoman" w:hAnsi="TimesNewRoman"/>
          <w:color w:val="FF0000"/>
          <w:sz w:val="20"/>
        </w:rPr>
        <w:t>Fine timing measurement (FTM) procedure</w:t>
      </w:r>
      <w:r>
        <w:rPr>
          <w:rFonts w:ascii="TimesNewRoman" w:hAnsi="TimesNewRoman"/>
          <w:color w:val="FF0000"/>
          <w:sz w:val="20"/>
        </w:rPr>
        <w:t>)</w:t>
      </w:r>
      <w:r w:rsidR="00DD61B1">
        <w:rPr>
          <w:rFonts w:ascii="TimesNewRoman" w:hAnsi="TimesNewRoman"/>
          <w:color w:val="FF0000"/>
          <w:sz w:val="20"/>
        </w:rPr>
        <w:t xml:space="preserve"> and P.3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 xml:space="preserve">(#1606) </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F</w:t>
      </w:r>
      <w:r w:rsidRPr="002960DE">
        <w:rPr>
          <w:rFonts w:ascii="TimesNewRoman" w:hAnsi="TimesNewRoman"/>
          <w:color w:val="FF0000"/>
          <w:sz w:val="20"/>
        </w:rPr>
        <w:t xml:space="preserve">ine Timing Measurement procedure negotiation for </w:t>
      </w:r>
      <w:r>
        <w:rPr>
          <w:rFonts w:ascii="TimesNewRoman" w:hAnsi="TimesNewRoman"/>
          <w:color w:val="FF0000"/>
          <w:sz w:val="20"/>
        </w:rPr>
        <w:t>N</w:t>
      </w:r>
      <w:r w:rsidRPr="002960DE">
        <w:rPr>
          <w:rFonts w:ascii="TimesNewRoman" w:hAnsi="TimesNewRoman"/>
          <w:color w:val="FF0000"/>
          <w:sz w:val="20"/>
        </w:rPr>
        <w:t xml:space="preserve">on-TB </w:t>
      </w:r>
      <w:r>
        <w:rPr>
          <w:rFonts w:ascii="TimesNewRoman" w:hAnsi="TimesNewRoman"/>
          <w:color w:val="FF0000"/>
          <w:sz w:val="20"/>
        </w:rPr>
        <w:t>R</w:t>
      </w:r>
      <w:r w:rsidRPr="002960DE">
        <w:rPr>
          <w:rFonts w:ascii="TimesNewRoman" w:hAnsi="TimesNewRoman"/>
          <w:color w:val="FF0000"/>
          <w:sz w:val="20"/>
        </w:rPr>
        <w:t xml:space="preserve">anging as defined in 11.21.6.3 (Fine Timing Measurement procedure negotiation) </w:t>
      </w:r>
      <w:r>
        <w:rPr>
          <w:rFonts w:ascii="TimesNewRoman" w:hAnsi="TimesNewRoman"/>
          <w:color w:val="FF0000"/>
          <w:sz w:val="20"/>
        </w:rPr>
        <w:t xml:space="preserve">and </w:t>
      </w:r>
      <w:r w:rsidRPr="002960DE">
        <w:rPr>
          <w:rFonts w:ascii="TimesNewRoman" w:hAnsi="TimesNewRoman"/>
          <w:color w:val="FF0000"/>
          <w:sz w:val="20"/>
        </w:rPr>
        <w:t>Non-TB Ranging as described in 11.21.6.4.4 (Non-TB Ranging measurement exchange)</w:t>
      </w:r>
      <w:r w:rsidR="00B760D3">
        <w:rPr>
          <w:rFonts w:ascii="TimesNewRoman" w:hAnsi="TimesNewRoman"/>
          <w:color w:val="FF0000"/>
          <w:sz w:val="20"/>
        </w:rPr>
        <w:t xml:space="preserve"> </w:t>
      </w:r>
      <w:r w:rsidR="00B760D3">
        <w:rPr>
          <w:rStyle w:val="fontstyle01"/>
          <w:color w:val="00B050"/>
        </w:rPr>
        <w:t>(#1607) (#1609)</w:t>
      </w:r>
      <w:r>
        <w:rPr>
          <w:rFonts w:ascii="TimesNewRoman" w:hAnsi="TimesNewRoman"/>
          <w:color w:val="FF0000"/>
          <w:sz w:val="20"/>
        </w:rPr>
        <w:br/>
      </w:r>
      <w:r w:rsidRPr="0012018C">
        <w:rPr>
          <w:rFonts w:ascii="TimesNewRoman" w:hAnsi="TimesNewRoman"/>
          <w:color w:val="FF0000"/>
          <w:sz w:val="20"/>
          <w:highlight w:val="yellow"/>
        </w:rPr>
        <w:t>—</w:t>
      </w:r>
      <w:r w:rsidR="00B2143B" w:rsidRPr="0012018C">
        <w:rPr>
          <w:rFonts w:ascii="TimesNewRoman" w:hAnsi="TimesNewRoman"/>
          <w:color w:val="FF0000"/>
          <w:sz w:val="20"/>
          <w:highlight w:val="yellow"/>
        </w:rPr>
        <w:t xml:space="preserve"> </w:t>
      </w:r>
      <w:r w:rsidRPr="0012018C">
        <w:rPr>
          <w:rFonts w:ascii="TimesNewRoman" w:hAnsi="TimesNewRoman"/>
          <w:color w:val="FF0000"/>
          <w:sz w:val="20"/>
          <w:highlight w:val="yellow"/>
        </w:rPr>
        <w:t>PASN as defined in 12.12 (Pre Association Security Negotiation)</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w:t>
      </w:r>
      <w:r w:rsidR="00B2143B">
        <w:rPr>
          <w:rFonts w:ascii="TimesNewRoman" w:hAnsi="TimesNewRoman"/>
          <w:color w:val="FF0000"/>
          <w:sz w:val="20"/>
        </w:rPr>
        <w:t>D</w:t>
      </w:r>
      <w:r w:rsidRPr="002960DE">
        <w:rPr>
          <w:rFonts w:ascii="TimesNewRoman" w:hAnsi="TimesNewRoman"/>
          <w:color w:val="FF0000"/>
          <w:sz w:val="20"/>
        </w:rPr>
        <w:t>ifferential distance computation as detailed in Annex P.3</w:t>
      </w:r>
      <w:r w:rsidR="00DD61B1">
        <w:rPr>
          <w:rFonts w:ascii="TimesNewRoman" w:hAnsi="TimesNewRoman"/>
          <w:color w:val="FF0000"/>
          <w:sz w:val="20"/>
        </w:rPr>
        <w:t xml:space="preserve">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(#1609)</w:t>
      </w:r>
      <w:r>
        <w:rPr>
          <w:rFonts w:ascii="TimesNewRoman" w:hAnsi="TimesNewRoman"/>
          <w:color w:val="FF0000"/>
          <w:sz w:val="20"/>
        </w:rPr>
        <w:br/>
      </w:r>
    </w:p>
    <w:p w:rsidR="002960DE" w:rsidRPr="002960DE" w:rsidRDefault="002960DE" w:rsidP="002960DE">
      <w:pPr>
        <w:rPr>
          <w:rFonts w:ascii="TimesNewRoman" w:hAnsi="TimesNewRoman"/>
          <w:color w:val="FF0000"/>
          <w:sz w:val="20"/>
        </w:rPr>
      </w:pPr>
      <w:r w:rsidRPr="002960DE">
        <w:rPr>
          <w:rFonts w:ascii="TimesNewRoman" w:hAnsi="TimesNewRoman"/>
          <w:color w:val="FF0000"/>
          <w:sz w:val="20"/>
        </w:rPr>
        <w:t>Additionally, an NGV STA may support</w:t>
      </w:r>
      <w:r w:rsidR="00B2143B">
        <w:rPr>
          <w:rFonts w:ascii="TimesNewRoman" w:hAnsi="TimesNewRoman"/>
          <w:color w:val="FF0000"/>
          <w:sz w:val="20"/>
        </w:rPr>
        <w:t xml:space="preserve"> positioning based</w:t>
      </w:r>
      <w:r w:rsidRPr="002960DE">
        <w:rPr>
          <w:rFonts w:ascii="TimesNewRoman" w:hAnsi="TimesNewRoman"/>
          <w:color w:val="FF0000"/>
          <w:sz w:val="20"/>
        </w:rPr>
        <w:t xml:space="preserve"> </w:t>
      </w:r>
      <w:r w:rsidR="00B2143B">
        <w:rPr>
          <w:rStyle w:val="fontstyle01"/>
          <w:color w:val="FF0000"/>
        </w:rPr>
        <w:t>on</w:t>
      </w:r>
      <w:r w:rsidR="00B2143B" w:rsidRPr="00302D5A">
        <w:rPr>
          <w:rStyle w:val="fontstyle01"/>
          <w:color w:val="FF0000"/>
        </w:rPr>
        <w:t xml:space="preserve"> fine timing measurement (FTM) </w:t>
      </w:r>
      <w:r w:rsidR="00B2143B">
        <w:rPr>
          <w:rStyle w:val="fontstyle01"/>
          <w:color w:val="FF0000"/>
        </w:rPr>
        <w:t>procedures outside the</w:t>
      </w:r>
      <w:r w:rsidR="00B2143B" w:rsidRPr="00302D5A">
        <w:rPr>
          <w:rStyle w:val="fontstyle01"/>
          <w:color w:val="FF0000"/>
        </w:rPr>
        <w:t xml:space="preserve"> 5.9 GHz frequency band as defined in 11.21.6 (Fine timing measurement (FTM) procedure)</w:t>
      </w:r>
      <w:r w:rsidR="00B2143B">
        <w:rPr>
          <w:rStyle w:val="fontstyle01"/>
          <w:color w:val="FF0000"/>
        </w:rPr>
        <w:t>.</w:t>
      </w:r>
      <w:r w:rsidR="00B760D3">
        <w:rPr>
          <w:rStyle w:val="fontstyle01"/>
          <w:color w:val="FF0000"/>
        </w:rPr>
        <w:t xml:space="preserve"> </w:t>
      </w:r>
      <w:r w:rsidR="00B760D3">
        <w:rPr>
          <w:rStyle w:val="fontstyle01"/>
          <w:color w:val="00B050"/>
        </w:rPr>
        <w:t>(#1608)</w:t>
      </w:r>
    </w:p>
    <w:sectPr w:rsidR="002960DE" w:rsidRPr="002960DE">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5B8" w:rsidRDefault="00B725B8">
      <w:r>
        <w:separator/>
      </w:r>
    </w:p>
  </w:endnote>
  <w:endnote w:type="continuationSeparator" w:id="0">
    <w:p w:rsidR="00B725B8" w:rsidRDefault="00B7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B725B8">
    <w:pPr>
      <w:pStyle w:val="Footer"/>
      <w:tabs>
        <w:tab w:val="clear" w:pos="6480"/>
        <w:tab w:val="center" w:pos="4680"/>
        <w:tab w:val="right" w:pos="9360"/>
      </w:tabs>
    </w:pPr>
    <w:r>
      <w:fldChar w:fldCharType="begin"/>
    </w:r>
    <w:r>
      <w:instrText xml:space="preserve"> SUBJECT  \* MERGEFORMAT </w:instrText>
    </w:r>
    <w:r>
      <w:fldChar w:fldCharType="separate"/>
    </w:r>
    <w:r w:rsidR="005921A2">
      <w:t>Submission</w:t>
    </w:r>
    <w:r>
      <w:fldChar w:fldCharType="end"/>
    </w:r>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r>
      <w:fldChar w:fldCharType="begin"/>
    </w:r>
    <w:r>
      <w:instrText xml:space="preserve"> COMMENTS  "Stephan Sand, DLR"  \* MERGEFORMAT </w:instrText>
    </w:r>
    <w:r>
      <w:fldChar w:fldCharType="separate"/>
    </w:r>
    <w:r w:rsidR="005921A2">
      <w:t>Stephan Sand, DLR</w:t>
    </w:r>
    <w:r>
      <w:fldChar w:fldCharType="end"/>
    </w:r>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5B8" w:rsidRDefault="00B725B8">
      <w:r>
        <w:separator/>
      </w:r>
    </w:p>
  </w:footnote>
  <w:footnote w:type="continuationSeparator" w:id="0">
    <w:p w:rsidR="00B725B8" w:rsidRDefault="00B7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B725B8">
    <w:pPr>
      <w:pStyle w:val="Header"/>
      <w:tabs>
        <w:tab w:val="clear" w:pos="6480"/>
        <w:tab w:val="center" w:pos="4680"/>
        <w:tab w:val="right" w:pos="9360"/>
      </w:tabs>
    </w:pPr>
    <w:r>
      <w:fldChar w:fldCharType="begin"/>
    </w:r>
    <w:r>
      <w:instrText xml:space="preserve"> KEYWORDS  \* MERGEFORMAT </w:instrText>
    </w:r>
    <w:r>
      <w:fldChar w:fldCharType="separate"/>
    </w:r>
    <w:r w:rsidR="005921A2">
      <w:t>January 2021</w:t>
    </w:r>
    <w:r>
      <w:fldChar w:fldCharType="end"/>
    </w:r>
    <w:r w:rsidR="005921A2">
      <w:tab/>
    </w:r>
    <w:r w:rsidR="005921A2">
      <w:tab/>
    </w:r>
    <w:r>
      <w:fldChar w:fldCharType="begin"/>
    </w:r>
    <w:r>
      <w:instrText xml:space="preserve"> TITLE  \* MERGEFORMAT </w:instrText>
    </w:r>
    <w:r>
      <w:fldChar w:fldCharType="separate"/>
    </w:r>
    <w:r w:rsidR="005921A2">
      <w:t>doc.: IEEE 802.11-21/0083r</w:t>
    </w:r>
    <w:r>
      <w:fldChar w:fldCharType="end"/>
    </w:r>
    <w:r w:rsidR="00D65EA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345DC"/>
    <w:rsid w:val="000570EB"/>
    <w:rsid w:val="00094B80"/>
    <w:rsid w:val="000A1F6D"/>
    <w:rsid w:val="000D1CB8"/>
    <w:rsid w:val="000D3551"/>
    <w:rsid w:val="00111091"/>
    <w:rsid w:val="00114AE4"/>
    <w:rsid w:val="0012018C"/>
    <w:rsid w:val="00142B92"/>
    <w:rsid w:val="00162F52"/>
    <w:rsid w:val="00174D8F"/>
    <w:rsid w:val="00175C56"/>
    <w:rsid w:val="0017782B"/>
    <w:rsid w:val="0019409A"/>
    <w:rsid w:val="001A7AC1"/>
    <w:rsid w:val="001B055D"/>
    <w:rsid w:val="001D723B"/>
    <w:rsid w:val="001D7CE6"/>
    <w:rsid w:val="00221721"/>
    <w:rsid w:val="00223AFB"/>
    <w:rsid w:val="00271598"/>
    <w:rsid w:val="002870C5"/>
    <w:rsid w:val="0029020B"/>
    <w:rsid w:val="002960DE"/>
    <w:rsid w:val="002A7BFE"/>
    <w:rsid w:val="002B0CE6"/>
    <w:rsid w:val="002C505D"/>
    <w:rsid w:val="002C78D6"/>
    <w:rsid w:val="002D44BE"/>
    <w:rsid w:val="00302D5A"/>
    <w:rsid w:val="00324432"/>
    <w:rsid w:val="00337E4E"/>
    <w:rsid w:val="003574E5"/>
    <w:rsid w:val="00364087"/>
    <w:rsid w:val="00367C70"/>
    <w:rsid w:val="003A2DA7"/>
    <w:rsid w:val="003A7996"/>
    <w:rsid w:val="003C3619"/>
    <w:rsid w:val="003F0DC4"/>
    <w:rsid w:val="004049EF"/>
    <w:rsid w:val="00406EDB"/>
    <w:rsid w:val="0042189B"/>
    <w:rsid w:val="00426730"/>
    <w:rsid w:val="00442037"/>
    <w:rsid w:val="00460F97"/>
    <w:rsid w:val="00462648"/>
    <w:rsid w:val="00480B6B"/>
    <w:rsid w:val="00492095"/>
    <w:rsid w:val="00492505"/>
    <w:rsid w:val="004B064B"/>
    <w:rsid w:val="004C7776"/>
    <w:rsid w:val="004D01BA"/>
    <w:rsid w:val="005079A8"/>
    <w:rsid w:val="005226EA"/>
    <w:rsid w:val="00542F03"/>
    <w:rsid w:val="0055508F"/>
    <w:rsid w:val="005802F8"/>
    <w:rsid w:val="005921A2"/>
    <w:rsid w:val="006164F6"/>
    <w:rsid w:val="00620941"/>
    <w:rsid w:val="0062440B"/>
    <w:rsid w:val="0062779D"/>
    <w:rsid w:val="006310AB"/>
    <w:rsid w:val="00641614"/>
    <w:rsid w:val="00642252"/>
    <w:rsid w:val="00643771"/>
    <w:rsid w:val="0064434B"/>
    <w:rsid w:val="00652741"/>
    <w:rsid w:val="0066243A"/>
    <w:rsid w:val="006B6CAF"/>
    <w:rsid w:val="006C0727"/>
    <w:rsid w:val="006E145F"/>
    <w:rsid w:val="007227E8"/>
    <w:rsid w:val="0072329C"/>
    <w:rsid w:val="00740263"/>
    <w:rsid w:val="00745A72"/>
    <w:rsid w:val="00751267"/>
    <w:rsid w:val="00753457"/>
    <w:rsid w:val="007640C8"/>
    <w:rsid w:val="00770572"/>
    <w:rsid w:val="00776FC6"/>
    <w:rsid w:val="007903C7"/>
    <w:rsid w:val="00797CA3"/>
    <w:rsid w:val="007E1E78"/>
    <w:rsid w:val="007E35BB"/>
    <w:rsid w:val="008044B3"/>
    <w:rsid w:val="00806425"/>
    <w:rsid w:val="00832D07"/>
    <w:rsid w:val="00847C90"/>
    <w:rsid w:val="00855248"/>
    <w:rsid w:val="00890282"/>
    <w:rsid w:val="00891A80"/>
    <w:rsid w:val="0089253C"/>
    <w:rsid w:val="008B4432"/>
    <w:rsid w:val="008C1FF5"/>
    <w:rsid w:val="009226C0"/>
    <w:rsid w:val="009227DF"/>
    <w:rsid w:val="009504FE"/>
    <w:rsid w:val="009703E3"/>
    <w:rsid w:val="00974449"/>
    <w:rsid w:val="00990D64"/>
    <w:rsid w:val="009A4FB1"/>
    <w:rsid w:val="009E2318"/>
    <w:rsid w:val="009F2FBC"/>
    <w:rsid w:val="009F5957"/>
    <w:rsid w:val="009F76F1"/>
    <w:rsid w:val="00A453BD"/>
    <w:rsid w:val="00AA427C"/>
    <w:rsid w:val="00B2143B"/>
    <w:rsid w:val="00B2231C"/>
    <w:rsid w:val="00B476A3"/>
    <w:rsid w:val="00B50E5C"/>
    <w:rsid w:val="00B617FE"/>
    <w:rsid w:val="00B64B87"/>
    <w:rsid w:val="00B6679A"/>
    <w:rsid w:val="00B725B8"/>
    <w:rsid w:val="00B756FA"/>
    <w:rsid w:val="00B760D3"/>
    <w:rsid w:val="00B85CD2"/>
    <w:rsid w:val="00B86981"/>
    <w:rsid w:val="00B97CC9"/>
    <w:rsid w:val="00BB5831"/>
    <w:rsid w:val="00BC2F23"/>
    <w:rsid w:val="00BC46CF"/>
    <w:rsid w:val="00BC6DA2"/>
    <w:rsid w:val="00BC7B79"/>
    <w:rsid w:val="00BE68C2"/>
    <w:rsid w:val="00C344FC"/>
    <w:rsid w:val="00C36AC3"/>
    <w:rsid w:val="00C5206F"/>
    <w:rsid w:val="00C56ED3"/>
    <w:rsid w:val="00C61645"/>
    <w:rsid w:val="00C64928"/>
    <w:rsid w:val="00CA09B2"/>
    <w:rsid w:val="00CA1475"/>
    <w:rsid w:val="00CA2277"/>
    <w:rsid w:val="00CA4B1E"/>
    <w:rsid w:val="00CB0FF1"/>
    <w:rsid w:val="00CD7BF8"/>
    <w:rsid w:val="00D01B65"/>
    <w:rsid w:val="00D21086"/>
    <w:rsid w:val="00D22211"/>
    <w:rsid w:val="00D53DD7"/>
    <w:rsid w:val="00D65EA7"/>
    <w:rsid w:val="00D66E6B"/>
    <w:rsid w:val="00D9634E"/>
    <w:rsid w:val="00DA0FAC"/>
    <w:rsid w:val="00DA4975"/>
    <w:rsid w:val="00DC5A7B"/>
    <w:rsid w:val="00DD61B1"/>
    <w:rsid w:val="00DD71D9"/>
    <w:rsid w:val="00E10DB8"/>
    <w:rsid w:val="00E11B39"/>
    <w:rsid w:val="00E356D3"/>
    <w:rsid w:val="00E44E11"/>
    <w:rsid w:val="00E457DA"/>
    <w:rsid w:val="00E5034B"/>
    <w:rsid w:val="00E87F5A"/>
    <w:rsid w:val="00EB03EC"/>
    <w:rsid w:val="00EE117C"/>
    <w:rsid w:val="00EE1844"/>
    <w:rsid w:val="00F00B95"/>
    <w:rsid w:val="00F57FD7"/>
    <w:rsid w:val="00F829EA"/>
    <w:rsid w:val="00F86C6B"/>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C8F690"/>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044-03-00bd-lb251-cids-related-to-dmg-sta-with-ocb-operation.docx" TargetMode="External"/><Relationship Id="rId13" Type="http://schemas.openxmlformats.org/officeDocument/2006/relationships/hyperlink" Target="https://mentor.ieee.org/802.11/dcn/21/11-21-0083-05-00bd-lb251-cr-for-11bd-d1-0-clause-4.docx" TargetMode="External"/><Relationship Id="rId18" Type="http://schemas.openxmlformats.org/officeDocument/2006/relationships/hyperlink" Target="https://mentor.ieee.org/802.11/dcn/21/11-21-0083-05-00bd-lb251-cr-for-11bd-d1-0-clause-4.docx" TargetMode="External"/><Relationship Id="rId26" Type="http://schemas.openxmlformats.org/officeDocument/2006/relationships/hyperlink" Target="https://mentor.ieee.org/802.11/dcn/21/11-21-0044-03-00bd-lb251-cids-related-to-dmg-sta-with-ocb-operation.docx" TargetMode="External"/><Relationship Id="rId3" Type="http://schemas.openxmlformats.org/officeDocument/2006/relationships/styles" Target="styles.xml"/><Relationship Id="rId21" Type="http://schemas.openxmlformats.org/officeDocument/2006/relationships/hyperlink" Target="https://mentor.ieee.org/802.11/dcn/21/11-21-0083-05-00bd-lb251-cr-for-11bd-d1-0-clause-4.docx" TargetMode="External"/><Relationship Id="rId7" Type="http://schemas.openxmlformats.org/officeDocument/2006/relationships/endnotes" Target="endnotes.xml"/><Relationship Id="rId12" Type="http://schemas.openxmlformats.org/officeDocument/2006/relationships/hyperlink" Target="https://mentor.ieee.org/802.11/dcn/21/11-21-0083-05-00bd-lb251-cr-for-11bd-d1-0-clause-4.docx" TargetMode="External"/><Relationship Id="rId17" Type="http://schemas.openxmlformats.org/officeDocument/2006/relationships/hyperlink" Target="https://mentor.ieee.org/802.11/dcn/21/11-21-0083-05-00bd-lb251-cr-for-11bd-d1-0-clause-4.docx" TargetMode="External"/><Relationship Id="rId25" Type="http://schemas.openxmlformats.org/officeDocument/2006/relationships/hyperlink" Target="https://mentor.ieee.org/802.11/dcn/21/11-21-0083-05-00bd-lb251-cr-for-11bd-d1-0-clause-4.docx" TargetMode="External"/><Relationship Id="rId2" Type="http://schemas.openxmlformats.org/officeDocument/2006/relationships/numbering" Target="numbering.xml"/><Relationship Id="rId16" Type="http://schemas.openxmlformats.org/officeDocument/2006/relationships/hyperlink" Target="https://mentor.ieee.org/802.11/dcn/21/11-21-0083-05-00bd-lb251-cr-for-11bd-d1-0-clause-4.docx" TargetMode="External"/><Relationship Id="rId20" Type="http://schemas.openxmlformats.org/officeDocument/2006/relationships/hyperlink" Target="https://mentor.ieee.org/802.11/dcn/21/11-21-0083-05-00bd-lb251-cr-for-11bd-d1-0-clause-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083-05-00bd-lb251-cr-for-11bd-d1-0-clause-4.docx" TargetMode="External"/><Relationship Id="rId24" Type="http://schemas.openxmlformats.org/officeDocument/2006/relationships/hyperlink" Target="https://mentor.ieee.org/802.11/dcn/21/11-21-0083-05-00bd-lb251-cr-for-11bd-d1-0-clause-4.docx" TargetMode="External"/><Relationship Id="rId5" Type="http://schemas.openxmlformats.org/officeDocument/2006/relationships/webSettings" Target="webSettings.xml"/><Relationship Id="rId15" Type="http://schemas.openxmlformats.org/officeDocument/2006/relationships/hyperlink" Target="https://mentor.ieee.org/802.11/dcn/21/11-21-0083-05-00bd-lb251-cr-for-11bd-d1-0-clause-4.docx" TargetMode="External"/><Relationship Id="rId23" Type="http://schemas.openxmlformats.org/officeDocument/2006/relationships/hyperlink" Target="https://mentor.ieee.org/802.11/dcn/21/11-21-0083-05-00bd-lb251-cr-for-11bd-d1-0-clause-4.docx" TargetMode="External"/><Relationship Id="rId28" Type="http://schemas.openxmlformats.org/officeDocument/2006/relationships/footer" Target="footer1.xml"/><Relationship Id="rId10" Type="http://schemas.openxmlformats.org/officeDocument/2006/relationships/hyperlink" Target="https://mentor.ieee.org/802.11/dcn/21/11-21-0083-05-00bd-lb251-cr-for-11bd-d1-0-clause-4.docx" TargetMode="External"/><Relationship Id="rId19" Type="http://schemas.openxmlformats.org/officeDocument/2006/relationships/hyperlink" Target="https://mentor.ieee.org/802.11/dcn/21/11-21-0083-05-00bd-lb251-cr-for-11bd-d1-0-clause-4.docx" TargetMode="External"/><Relationship Id="rId4" Type="http://schemas.openxmlformats.org/officeDocument/2006/relationships/settings" Target="settings.xml"/><Relationship Id="rId9" Type="http://schemas.openxmlformats.org/officeDocument/2006/relationships/hyperlink" Target="https://mentor.ieee.org/802.11/dcn/21/11-21-0083-05-00bd-lb251-cr-for-11bd-d1-0-clause-4.docx" TargetMode="External"/><Relationship Id="rId14" Type="http://schemas.openxmlformats.org/officeDocument/2006/relationships/hyperlink" Target="https://mentor.ieee.org/802.11/dcn/21/11-21-0083-05-00bd-lb251-cr-for-11bd-d1-0-clause-4.docx" TargetMode="External"/><Relationship Id="rId22" Type="http://schemas.openxmlformats.org/officeDocument/2006/relationships/hyperlink" Target="https://mentor.ieee.org/802.11/dcn/21/11-21-0083-05-00bd-lb251-cr-for-11bd-d1-0-clause-4.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3ECE-FFC4-42A4-B1E5-FF14DB02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802.11-21/0083r4</vt:lpstr>
    </vt:vector>
  </TitlesOfParts>
  <Company>Some Company</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802.11-21/0083r5</dc:title>
  <dc:subject>Submission</dc:subject>
  <dc:creator>Sand, Stephan</dc:creator>
  <cp:keywords>January 20221</cp:keywords>
  <dc:description>Stephan Sand, DLR</dc:description>
  <cp:lastModifiedBy>Sand, Stephan</cp:lastModifiedBy>
  <cp:revision>5</cp:revision>
  <cp:lastPrinted>1899-12-31T23:00:00Z</cp:lastPrinted>
  <dcterms:created xsi:type="dcterms:W3CDTF">2021-03-23T14:38:00Z</dcterms:created>
  <dcterms:modified xsi:type="dcterms:W3CDTF">2021-03-23T14:50:00Z</dcterms:modified>
</cp:coreProperties>
</file>