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pPr>
        <w:rPr>
          <w:strike/>
        </w:rPr>
      </w:pPr>
      <w:r w:rsidRPr="00B2231C">
        <w:rPr>
          <w:strike/>
        </w:rPr>
        <w:t>Own comments will be addressed in separate contribution</w:t>
      </w:r>
    </w:p>
    <w:p w:rsidR="00B2231C" w:rsidRDefault="00B2231C">
      <w:pPr>
        <w:rPr>
          <w:highlight w:val="cyan"/>
        </w:rPr>
      </w:pPr>
      <w:r w:rsidRPr="00B2231C">
        <w:rPr>
          <w:highlight w:val="cyan"/>
        </w:rPr>
        <w:t>Presented and discussed, no open discussion points</w:t>
      </w:r>
    </w:p>
    <w:p w:rsidR="00B2231C" w:rsidRPr="00B2231C" w:rsidRDefault="00B2231C">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7"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8"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also exchange other </w:t>
            </w:r>
            <w:r w:rsidRPr="00641614">
              <w:rPr>
                <w:rFonts w:ascii="Arial" w:hAnsi="Arial" w:cs="Arial"/>
                <w:sz w:val="20"/>
              </w:rPr>
              <w:lastRenderedPageBreak/>
              <w:t>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NGV STAs</w:t>
            </w:r>
            <w:r w:rsidR="000D3551">
              <w:rPr>
                <w:rFonts w:ascii="Arial" w:hAnsi="Arial" w:cs="Arial"/>
                <w:sz w:val="20"/>
              </w:rPr>
              <w:t xml:space="preserve"> are capable of</w:t>
            </w:r>
            <w:r w:rsidR="00CA1475" w:rsidRPr="00641614">
              <w:rPr>
                <w:rFonts w:ascii="Arial" w:hAnsi="Arial" w:cs="Arial"/>
                <w:sz w:val="20"/>
              </w:rPr>
              <w:t xml:space="preserve"> transmit</w:t>
            </w:r>
            <w:r w:rsidR="000D3551">
              <w:rPr>
                <w:rFonts w:ascii="Arial" w:hAnsi="Arial" w:cs="Arial"/>
                <w:sz w:val="20"/>
              </w:rPr>
              <w:t>ting</w:t>
            </w:r>
            <w:r w:rsidR="00CA1475" w:rsidRPr="00641614">
              <w:rPr>
                <w:rFonts w:ascii="Arial" w:hAnsi="Arial" w:cs="Arial"/>
                <w:sz w:val="20"/>
              </w:rPr>
              <w:t xml:space="preserve"> and receiv</w:t>
            </w:r>
            <w:r w:rsidR="00162F52">
              <w:rPr>
                <w:rFonts w:ascii="Arial" w:hAnsi="Arial" w:cs="Arial"/>
                <w:sz w:val="20"/>
              </w:rPr>
              <w:t>ing</w:t>
            </w:r>
            <w:r w:rsidR="00CA1475" w:rsidRPr="00641614">
              <w:rPr>
                <w:rFonts w:ascii="Arial" w:hAnsi="Arial" w:cs="Arial"/>
                <w:sz w:val="20"/>
              </w:rPr>
              <w:t xml:space="preserve"> frames </w:t>
            </w:r>
            <w:r w:rsidR="00162F52">
              <w:rPr>
                <w:rFonts w:ascii="Arial" w:hAnsi="Arial" w:cs="Arial"/>
                <w:sz w:val="20"/>
              </w:rPr>
              <w:t>outside the context of a BSS</w:t>
            </w:r>
            <w:r w:rsidR="003574E5" w:rsidRPr="00641614">
              <w:rPr>
                <w:rFonts w:ascii="Arial" w:hAnsi="Arial" w:cs="Arial"/>
                <w:sz w:val="20"/>
              </w:rPr>
              <w:t xml:space="preserve">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9"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B2231C" w:rsidRDefault="007640C8" w:rsidP="00C344FC">
            <w:pPr>
              <w:jc w:val="right"/>
              <w:rPr>
                <w:rFonts w:ascii="Arial" w:hAnsi="Arial" w:cs="Arial"/>
                <w:sz w:val="20"/>
                <w:highlight w:val="cyan"/>
              </w:rPr>
            </w:pPr>
            <w:r w:rsidRPr="00B2231C">
              <w:rPr>
                <w:rFonts w:ascii="Arial" w:hAnsi="Arial" w:cs="Arial"/>
                <w:sz w:val="20"/>
                <w:highlight w:val="cyan"/>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w:t>
            </w:r>
            <w:r w:rsidRPr="00641614">
              <w:rPr>
                <w:rFonts w:ascii="Arial" w:hAnsi="Arial" w:cs="Arial"/>
                <w:sz w:val="20"/>
              </w:rPr>
              <w:lastRenderedPageBreak/>
              <w:t>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w:t>
            </w:r>
            <w:r w:rsidRPr="00641614">
              <w:rPr>
                <w:rFonts w:ascii="Arial" w:hAnsi="Arial" w:cs="Arial"/>
                <w:sz w:val="20"/>
              </w:rPr>
              <w:lastRenderedPageBreak/>
              <w:t xml:space="preserve">frames while operating </w:t>
            </w:r>
            <w:proofErr w:type="gramStart"/>
            <w:r w:rsidRPr="00641614">
              <w:rPr>
                <w:rFonts w:ascii="Arial" w:hAnsi="Arial" w:cs="Arial"/>
                <w:sz w:val="20"/>
              </w:rPr>
              <w:t>OCB  (</w:t>
            </w:r>
            <w:bookmarkStart w:id="0" w:name="_Hlk62926282"/>
            <w:proofErr w:type="gramEnd"/>
            <w:r w:rsidRPr="00641614">
              <w:rPr>
                <w:rFonts w:ascii="Arial" w:hAnsi="Arial" w:cs="Arial"/>
                <w:sz w:val="20"/>
              </w:rPr>
              <w:t>dot11OCBActivated is true</w:t>
            </w:r>
            <w:bookmarkEnd w:id="0"/>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lastRenderedPageBreak/>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r>
            <w:r w:rsidR="00162F52" w:rsidRPr="00641614">
              <w:rPr>
                <w:rFonts w:ascii="Arial" w:hAnsi="Arial" w:cs="Arial"/>
                <w:sz w:val="20"/>
              </w:rPr>
              <w:t>NGV STAs</w:t>
            </w:r>
            <w:r w:rsidR="00162F52">
              <w:rPr>
                <w:rFonts w:ascii="Arial" w:hAnsi="Arial" w:cs="Arial"/>
                <w:sz w:val="20"/>
              </w:rPr>
              <w:t xml:space="preserve"> are capable of</w:t>
            </w:r>
            <w:r w:rsidR="00162F52" w:rsidRPr="00641614">
              <w:rPr>
                <w:rFonts w:ascii="Arial" w:hAnsi="Arial" w:cs="Arial"/>
                <w:sz w:val="20"/>
              </w:rPr>
              <w:t xml:space="preserve"> transmit</w:t>
            </w:r>
            <w:r w:rsidR="00162F52">
              <w:rPr>
                <w:rFonts w:ascii="Arial" w:hAnsi="Arial" w:cs="Arial"/>
                <w:sz w:val="20"/>
              </w:rPr>
              <w:t>ting</w:t>
            </w:r>
            <w:r w:rsidR="00162F52" w:rsidRPr="00641614">
              <w:rPr>
                <w:rFonts w:ascii="Arial" w:hAnsi="Arial" w:cs="Arial"/>
                <w:sz w:val="20"/>
              </w:rPr>
              <w:t xml:space="preserve"> and receiv</w:t>
            </w:r>
            <w:r w:rsidR="00162F52">
              <w:rPr>
                <w:rFonts w:ascii="Arial" w:hAnsi="Arial" w:cs="Arial"/>
                <w:sz w:val="20"/>
              </w:rPr>
              <w:t>ing</w:t>
            </w:r>
            <w:r w:rsidR="00162F52" w:rsidRPr="00641614">
              <w:rPr>
                <w:rFonts w:ascii="Arial" w:hAnsi="Arial" w:cs="Arial"/>
                <w:sz w:val="20"/>
              </w:rPr>
              <w:t xml:space="preserve"> frames </w:t>
            </w:r>
            <w:r w:rsidR="00162F52">
              <w:rPr>
                <w:rFonts w:ascii="Arial" w:hAnsi="Arial" w:cs="Arial"/>
                <w:sz w:val="20"/>
              </w:rPr>
              <w:t>outside the context of a BSS</w:t>
            </w:r>
            <w:r w:rsidR="00162F52" w:rsidRPr="00641614">
              <w:rPr>
                <w:rFonts w:ascii="Arial" w:hAnsi="Arial" w:cs="Arial"/>
                <w:sz w:val="20"/>
              </w:rPr>
              <w:t xml:space="preserve">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0"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B2231C">
              <w:rPr>
                <w:rFonts w:ascii="Arial" w:hAnsi="Arial" w:cs="Arial"/>
                <w:sz w:val="20"/>
                <w:highlight w:val="yellow"/>
              </w:rPr>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xml:space="preserve">, coexistence, backward compatibility, and fairness with non-NGV STAs when </w:t>
            </w:r>
            <w:r w:rsidRPr="00E5034B">
              <w:rPr>
                <w:rFonts w:ascii="Arial" w:hAnsi="Arial" w:cs="Arial"/>
                <w:sz w:val="20"/>
              </w:rPr>
              <w:lastRenderedPageBreak/>
              <w:t>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lastRenderedPageBreak/>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1" w:history="1">
              <w:r w:rsidR="00806425">
                <w:rPr>
                  <w:rStyle w:val="Hyperlink"/>
                  <w:rFonts w:ascii="Arial" w:hAnsi="Arial" w:cs="Arial"/>
                  <w:sz w:val="20"/>
                </w:rPr>
                <w:t>https://mentor.ieee.org/802.11/dcn/21/11-21-0083-02-00bd-lb251-cr-for-11bd-d1-0-clause-4.docx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C56ED3">
              <w:rPr>
                <w:rFonts w:ascii="Arial" w:hAnsi="Arial" w:cs="Arial"/>
                <w:sz w:val="20"/>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2" w:history="1">
              <w:r w:rsidR="00806425">
                <w:rPr>
                  <w:rStyle w:val="Hyperlink"/>
                  <w:rFonts w:ascii="Arial" w:hAnsi="Arial" w:cs="Arial"/>
                  <w:sz w:val="20"/>
                </w:rPr>
                <w:t>https://mentor.ieee.org/802.11/dcn/21/11-21-0083-02-00bd-lb251-cr-for-11bd-d1-0-clause-4.docx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C56ED3">
              <w:rPr>
                <w:rFonts w:ascii="Arial" w:hAnsi="Arial" w:cs="Arial"/>
                <w:sz w:val="20"/>
              </w:rPr>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2A7BFE" w:rsidP="005921A2">
            <w:pPr>
              <w:rPr>
                <w:rFonts w:ascii="Arial" w:hAnsi="Arial" w:cs="Arial"/>
                <w:sz w:val="20"/>
              </w:rPr>
            </w:pPr>
            <w:r w:rsidRPr="00C56ED3">
              <w:rPr>
                <w:rFonts w:ascii="Arial" w:hAnsi="Arial" w:cs="Arial"/>
                <w:sz w:val="20"/>
              </w:rPr>
              <w:t>Accepted</w:t>
            </w:r>
          </w:p>
          <w:p w:rsidR="002A7BFE" w:rsidRPr="00C56ED3" w:rsidRDefault="002A7BFE" w:rsidP="005921A2">
            <w:pPr>
              <w:rPr>
                <w:rFonts w:ascii="Arial" w:hAnsi="Arial" w:cs="Arial"/>
                <w:sz w:val="20"/>
              </w:rPr>
            </w:pPr>
          </w:p>
          <w:p w:rsidR="002A7BFE" w:rsidRPr="00C56ED3" w:rsidRDefault="002A7BFE" w:rsidP="005921A2">
            <w:pPr>
              <w:rPr>
                <w:rFonts w:ascii="Arial" w:hAnsi="Arial" w:cs="Arial"/>
                <w:sz w:val="20"/>
              </w:rPr>
            </w:pPr>
            <w:r w:rsidRPr="00C56ED3">
              <w:rPr>
                <w:rFonts w:ascii="Arial" w:hAnsi="Arial" w:cs="Arial"/>
                <w:sz w:val="20"/>
              </w:rPr>
              <w:t>Note similar to CID 1001</w:t>
            </w:r>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9226C0">
              <w:rPr>
                <w:rFonts w:ascii="Arial" w:hAnsi="Arial" w:cs="Arial"/>
                <w:sz w:val="20"/>
              </w:rPr>
              <w:lastRenderedPageBreak/>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9226C0">
              <w:rPr>
                <w:rFonts w:ascii="Arial" w:hAnsi="Arial" w:cs="Arial"/>
                <w:sz w:val="20"/>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3"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4" w:history="1">
              <w:r w:rsidR="00806425">
                <w:rPr>
                  <w:rStyle w:val="Hyperlink"/>
                  <w:rFonts w:ascii="Arial" w:hAnsi="Arial" w:cs="Arial"/>
                  <w:sz w:val="20"/>
                </w:rPr>
                <w:t>https://mentor.ieee.org/802.11/dcn/21/11-21-0083-02-00bd-lb251-cr-for-11bd-d1-0-clause-4.docx</w:t>
              </w:r>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E10DB8">
              <w:rPr>
                <w:rFonts w:ascii="Arial" w:hAnsi="Arial" w:cs="Arial"/>
                <w:color w:val="000000" w:themeColor="text1"/>
                <w:sz w:val="20"/>
              </w:rPr>
              <w:lastRenderedPageBreak/>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15"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16"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7" w:history="1">
              <w:r w:rsidR="00806425">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 xml:space="preserve">Optional support for operating as DMG STA, when dot11OCBActivated is true, with the MAC and MLME functions defined in Clause 31.3 (Operation in 60 </w:t>
            </w:r>
            <w:r w:rsidR="00426730" w:rsidRPr="00C61645">
              <w:rPr>
                <w:rFonts w:ascii="Arial" w:hAnsi="Arial" w:cs="Arial"/>
                <w:sz w:val="20"/>
              </w:rPr>
              <w:lastRenderedPageBreak/>
              <w:t>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8" w:history="1">
              <w:r w:rsidR="00806425">
                <w:rPr>
                  <w:rStyle w:val="Hyperlink"/>
                  <w:rFonts w:ascii="Arial" w:hAnsi="Arial" w:cs="Arial"/>
                  <w:sz w:val="20"/>
                </w:rPr>
                <w:t>https://mentor.ieee.org/802.11/dcn/21/11-21-0083-02-00bd-lb251-cr-for-11bd-d1-0-clause-4.docx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C61645">
              <w:rPr>
                <w:rFonts w:ascii="Arial" w:hAnsi="Arial" w:cs="Arial"/>
                <w:sz w:val="20"/>
              </w:rPr>
              <w:lastRenderedPageBreak/>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Revised</w:t>
            </w:r>
          </w:p>
          <w:p w:rsidR="001D7CE6" w:rsidRPr="00C61645" w:rsidRDefault="001D7CE6" w:rsidP="005921A2">
            <w:pPr>
              <w:rPr>
                <w:rFonts w:ascii="Arial" w:hAnsi="Arial" w:cs="Arial"/>
                <w:sz w:val="20"/>
              </w:rPr>
            </w:pP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w:t>
            </w:r>
            <w:proofErr w:type="spellStart"/>
            <w:r w:rsidRPr="00C61645">
              <w:rPr>
                <w:rFonts w:ascii="Arial" w:hAnsi="Arial" w:cs="Arial"/>
                <w:sz w:val="20"/>
              </w:rPr>
              <w:t>optinally</w:t>
            </w:r>
            <w:proofErr w:type="spellEnd"/>
            <w:r w:rsidRPr="00C61645">
              <w:rPr>
                <w:rFonts w:ascii="Arial" w:hAnsi="Arial" w:cs="Arial"/>
                <w:sz w:val="20"/>
              </w:rPr>
              <w:t xml:space="preserve">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"New 20 MHz channel access mechanism" doesn't give any idea what it is. Either remove "new" from the sentence or give a name for the new 20 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9" w:history="1">
              <w:r w:rsidR="00175C56">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0" w:history="1">
              <w:r w:rsidR="00175C56">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1" w:history="1">
              <w:r w:rsidR="00175C56">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Additionally, an NGV STA may support positioning based on fine timing measurement (FTM) procedures outside the 5.9 GHz frequency band as defined in 11.21.6</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2" w:history="1">
              <w:r w:rsidR="00175C56">
                <w:rPr>
                  <w:rStyle w:val="Hyperlink"/>
                  <w:rFonts w:ascii="Arial" w:hAnsi="Arial" w:cs="Arial"/>
                  <w:sz w:val="20"/>
                </w:rPr>
                <w:t>https://mentor.ieee.org/802.11/dcn/21/11-21-0083-02-00bd-lb251-cr-for-11bd-d1-0-clause-4.docx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an NGV PHY may support RTT based ranging using 10 and 20 MHz bandwidth PPDUs, subclause 4.3.19.19 should contain a statement that an NGV STA operating OCB may use an adapted FTM session with non-TB measurement exchange and may be capable to compute differential </w:t>
            </w:r>
            <w:r w:rsidRPr="00B760D3">
              <w:rPr>
                <w:rFonts w:ascii="Arial" w:hAnsi="Arial" w:cs="Arial"/>
                <w:sz w:val="20"/>
              </w:rPr>
              <w:lastRenderedPageBreak/>
              <w:t>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lastRenderedPageBreak/>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3" w:history="1">
              <w:r w:rsidR="00175C56">
                <w:rPr>
                  <w:rStyle w:val="Hyperlink"/>
                  <w:rFonts w:ascii="Arial" w:hAnsi="Arial" w:cs="Arial"/>
                  <w:sz w:val="20"/>
                </w:rPr>
                <w:t>https://mentor.ieee.org/802.11/dcn/21/11-21-0083-02-00bd-lb251-cr-for-11bd-d1-0-clause-4.docx</w:t>
              </w:r>
            </w:hyperlink>
            <w:bookmarkStart w:id="1" w:name="_GoBack"/>
            <w:bookmarkEnd w:id="1"/>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t xml:space="preserve">Given the proposed and agreed changes in </w:t>
      </w:r>
      <w:hyperlink r:id="rId24" w:history="1">
        <w:r w:rsidRPr="002105E7">
          <w:rPr>
            <w:rStyle w:val="Hyperlink"/>
          </w:rPr>
          <w:t>https://mentor.ieee.org/802.11/dcn/21/11-21-0044-03-00bd-lb251-cids-related-to-dmg-sta-with-ocb-operation.docx</w:t>
        </w:r>
      </w:hyperlink>
      <w:r w:rsidRPr="009703E3">
        <w:t xml:space="preserve"> </w:t>
      </w:r>
      <w:r>
        <w:t xml:space="preserve">that </w:t>
      </w:r>
      <w:r w:rsidRPr="009703E3">
        <w:t>all control and data frame subtypes for a 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lastRenderedPageBreak/>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proofErr w:type="spellStart"/>
      <w:r w:rsidR="00B2231C" w:rsidRPr="00B2231C">
        <w:rPr>
          <w:rStyle w:val="fontstyle01"/>
          <w:strike/>
          <w:color w:val="FF0000"/>
          <w:highlight w:val="cyan"/>
        </w:rPr>
        <w:t>or</w:t>
      </w:r>
      <w:r w:rsidR="00745A72" w:rsidRPr="00B2231C">
        <w:rPr>
          <w:rStyle w:val="fontstyle01"/>
          <w:color w:val="FF0000"/>
          <w:highlight w:val="cyan"/>
        </w:rPr>
        <w:t>and</w:t>
      </w:r>
      <w:proofErr w:type="spellEnd"/>
      <w:r w:rsidRPr="00890282">
        <w:rPr>
          <w:rStyle w:val="fontstyle01"/>
          <w:color w:val="FF0000"/>
        </w:rPr>
        <w:t xml:space="preserve"> at least 3dB lower sensitivity when </w:t>
      </w:r>
      <w:r w:rsidR="00745A72">
        <w:rPr>
          <w:rStyle w:val="fontstyle01"/>
          <w:color w:val="FF0000"/>
        </w:rPr>
        <w:t>communica</w:t>
      </w:r>
      <w:r w:rsidRPr="00890282">
        <w:rPr>
          <w:rStyle w:val="fontstyle01"/>
          <w:color w:val="FF0000"/>
        </w:rPr>
        <w:t>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890282">
        <w:rPr>
          <w:rStyle w:val="fontstyle01"/>
          <w:color w:val="FF0000"/>
        </w:rPr>
        <w:t>NGV STAs may support positioning based on</w:t>
      </w:r>
      <w:r w:rsidRPr="00302D5A">
        <w:rPr>
          <w:rStyle w:val="fontstyle01"/>
          <w:color w:val="FF0000"/>
        </w:rPr>
        <w:t xml:space="preserve"> NGV Ranging</w:t>
      </w:r>
      <w:r w:rsidR="00C64928">
        <w:rPr>
          <w:rStyle w:val="fontstyle01"/>
          <w:color w:val="FF0000"/>
        </w:rPr>
        <w:t xml:space="preserve"> in the 5.9 GHz band or on</w:t>
      </w:r>
      <w:r w:rsidRPr="00302D5A">
        <w:rPr>
          <w:rStyle w:val="fontstyle01"/>
          <w:color w:val="FF0000"/>
        </w:rPr>
        <w:t xml:space="preserve"> fine timing measurement (FTM) </w:t>
      </w:r>
      <w:r w:rsidR="00C64928">
        <w:rPr>
          <w:rStyle w:val="fontstyle01"/>
          <w:color w:val="FF0000"/>
        </w:rPr>
        <w:t>procedures outside the</w:t>
      </w:r>
      <w:r w:rsidR="00C64928" w:rsidRPr="00302D5A">
        <w:rPr>
          <w:rStyle w:val="fontstyle01"/>
          <w:color w:val="FF0000"/>
        </w:rPr>
        <w:t xml:space="preserve"> 5.9 GHz frequency band</w:t>
      </w:r>
      <w:r w:rsidRPr="00302D5A">
        <w:rPr>
          <w:rStyle w:val="fontstyle01"/>
          <w:color w:val="FF0000"/>
        </w:rPr>
        <w:t xml:space="preserve"> as defined in 11.21.6 (Fine timing measurement (FTM) procedure)</w:t>
      </w:r>
      <w:r>
        <w:rPr>
          <w:rStyle w:val="fontstyle01"/>
          <w:color w:val="FF0000"/>
        </w:rPr>
        <w:t>.</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B2231C">
        <w:rPr>
          <w:rStyle w:val="fontstyle01"/>
          <w:color w:val="FF0000"/>
          <w:highlight w:val="cyan"/>
        </w:rPr>
        <w:t>are</w:t>
      </w:r>
      <w:r w:rsidR="00B2231C">
        <w:rPr>
          <w:rStyle w:val="fontstyle01"/>
          <w:color w:val="FF0000"/>
          <w:highlight w:val="cyan"/>
        </w:rPr>
        <w:t xml:space="preserve"> capable of</w:t>
      </w:r>
      <w:r w:rsidRPr="00480B6B">
        <w:rPr>
          <w:rStyle w:val="fontstyle01"/>
          <w:strike/>
          <w:color w:val="FF0000"/>
        </w:rPr>
        <w:t xml:space="preserve"> typically used in vehicular environments to</w:t>
      </w:r>
      <w:r w:rsidRPr="00480B6B">
        <w:rPr>
          <w:rStyle w:val="fontstyle01"/>
          <w:color w:val="FF0000"/>
        </w:rPr>
        <w:t xml:space="preserve"> </w:t>
      </w:r>
      <w:r w:rsidRPr="00B2231C">
        <w:rPr>
          <w:rStyle w:val="fontstyle01"/>
          <w:color w:val="FF0000"/>
        </w:rPr>
        <w:t>transmit</w:t>
      </w:r>
      <w:r w:rsidR="00B2231C" w:rsidRPr="00B2231C">
        <w:rPr>
          <w:rStyle w:val="fontstyle01"/>
          <w:color w:val="FF0000"/>
          <w:highlight w:val="cyan"/>
        </w:rPr>
        <w:t>ting</w:t>
      </w:r>
      <w:r>
        <w:rPr>
          <w:rStyle w:val="fontstyle01"/>
        </w:rPr>
        <w:t xml:space="preserve"> and </w:t>
      </w:r>
      <w:proofErr w:type="spellStart"/>
      <w:r w:rsidRPr="00B2231C">
        <w:rPr>
          <w:rStyle w:val="fontstyle01"/>
          <w:color w:val="FF0000"/>
        </w:rPr>
        <w:t>rec</w:t>
      </w:r>
      <w:r w:rsidRPr="00B2231C">
        <w:rPr>
          <w:rStyle w:val="fontstyle01"/>
          <w:strike/>
          <w:color w:val="FF0000"/>
        </w:rPr>
        <w:t>i</w:t>
      </w:r>
      <w:r w:rsidRPr="00B2231C">
        <w:rPr>
          <w:rStyle w:val="fontstyle01"/>
          <w:color w:val="FF0000"/>
        </w:rPr>
        <w:t>eiv</w:t>
      </w:r>
      <w:r w:rsidRPr="00B2231C">
        <w:rPr>
          <w:rStyle w:val="fontstyle01"/>
          <w:strike/>
          <w:color w:val="FF0000"/>
          <w:highlight w:val="cyan"/>
        </w:rPr>
        <w:t>e</w:t>
      </w:r>
      <w:r w:rsidR="00B2231C" w:rsidRPr="00B2231C">
        <w:rPr>
          <w:rStyle w:val="fontstyle01"/>
          <w:color w:val="FF0000"/>
          <w:highlight w:val="cyan"/>
        </w:rPr>
        <w:t>ing</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 xml:space="preserve">while </w:t>
      </w:r>
      <w:r w:rsidRPr="00B2231C">
        <w:rPr>
          <w:rStyle w:val="fontstyle01"/>
          <w:strike/>
          <w:color w:val="FF0000"/>
          <w:highlight w:val="cyan"/>
        </w:rPr>
        <w:t>operating</w:t>
      </w:r>
      <w:r w:rsidRPr="00B2231C">
        <w:rPr>
          <w:rStyle w:val="fontstyle01"/>
          <w:color w:val="FF0000"/>
          <w:highlight w:val="cyan"/>
        </w:rPr>
        <w:t xml:space="preserve"> outside the context of a BSS</w:t>
      </w:r>
      <w:r w:rsidRPr="00B2231C">
        <w:rPr>
          <w:rStyle w:val="fontstyle01"/>
          <w:strike/>
          <w:color w:val="FF0000"/>
          <w:highlight w:val="cyan"/>
        </w:rPr>
        <w:t xml:space="preserve"> (OCB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2" w:name="_Hlk63795483"/>
      <w:r w:rsidR="00751267">
        <w:rPr>
          <w:rFonts w:ascii="TimesNewRoman" w:hAnsi="TimesNewRoman"/>
          <w:color w:val="FF0000"/>
          <w:sz w:val="20"/>
        </w:rPr>
        <w:t xml:space="preserve">that are not present in a non-NGV STA </w:t>
      </w:r>
      <w:bookmarkEnd w:id="2"/>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lastRenderedPageBreak/>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2870C5">
        <w:rPr>
          <w:rFonts w:ascii="TimesNewRoman" w:hAnsi="TimesNewRoman"/>
          <w:color w:val="FF0000"/>
          <w:sz w:val="20"/>
        </w:rPr>
        <w:t>—</w:t>
      </w:r>
      <w:r w:rsidR="00D9634E" w:rsidRPr="00364087">
        <w:rPr>
          <w:rFonts w:ascii="TimesNewRoman" w:hAnsi="TimesNewRoman"/>
          <w:color w:val="000000"/>
          <w:sz w:val="20"/>
        </w:rPr>
        <w:t xml:space="preserve"> </w:t>
      </w:r>
      <w:r w:rsidR="00D9634E">
        <w:rPr>
          <w:rFonts w:ascii="TimesNewRoman" w:hAnsi="TimesNewRoman"/>
          <w:color w:val="FF0000"/>
          <w:sz w:val="20"/>
        </w:rPr>
        <w:t>Mandatory support for reception of frame aggregation when communicating OCB</w:t>
      </w:r>
      <w:r w:rsidR="00D9634E">
        <w:rPr>
          <w:rFonts w:ascii="TimesNewRoman" w:hAnsi="TimesNewRoman"/>
          <w:color w:val="FF0000"/>
          <w:sz w:val="20"/>
        </w:rPr>
        <w:br/>
      </w:r>
      <w:r w:rsidR="00D9634E" w:rsidRPr="002870C5">
        <w:rPr>
          <w:rFonts w:ascii="TimesNewRoman" w:hAnsi="TimesNewRoman"/>
          <w:color w:val="FF0000"/>
          <w:sz w:val="20"/>
        </w:rPr>
        <w:t>—</w:t>
      </w:r>
      <w:r w:rsidR="00D9634E" w:rsidRPr="00364087">
        <w:rPr>
          <w:rFonts w:ascii="TimesNewRoman" w:hAnsi="TimesNewRoman"/>
          <w:color w:val="000000"/>
          <w:sz w:val="20"/>
        </w:rPr>
        <w:t xml:space="preserve"> </w:t>
      </w:r>
      <w:r w:rsidR="00D9634E">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 xml:space="preserve">ine Timing Measurement procedure negotiation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2870C5">
        <w:rPr>
          <w:rFonts w:ascii="TimesNewRoman" w:hAnsi="TimesNewRoman"/>
          <w:color w:val="FF0000"/>
          <w:sz w:val="20"/>
        </w:rPr>
        <w:t>—</w:t>
      </w:r>
      <w:r w:rsidR="00B2143B">
        <w:rPr>
          <w:rFonts w:ascii="TimesNewRoman" w:hAnsi="TimesNewRoman"/>
          <w:color w:val="FF0000"/>
          <w:sz w:val="20"/>
        </w:rPr>
        <w:t xml:space="preserve"> </w:t>
      </w:r>
      <w:r w:rsidRPr="002960DE">
        <w:rPr>
          <w:rFonts w:ascii="TimesNewRoman" w:hAnsi="TimesNewRoman"/>
          <w:color w:val="FF0000"/>
          <w:sz w:val="20"/>
        </w:rPr>
        <w:t>PASN as defined in 12.12 (Pre Association Security Negotiation)</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 an NGV STA may support</w:t>
      </w:r>
      <w:r w:rsidR="00B2143B">
        <w:rPr>
          <w:rFonts w:ascii="TimesNewRoman" w:hAnsi="TimesNewRoman"/>
          <w:color w:val="FF0000"/>
          <w:sz w:val="20"/>
        </w:rPr>
        <w:t xml:space="preserve"> positioning based</w:t>
      </w:r>
      <w:r w:rsidRPr="002960DE">
        <w:rPr>
          <w:rFonts w:ascii="TimesNewRoman" w:hAnsi="TimesNewRoman"/>
          <w:color w:val="FF0000"/>
          <w:sz w:val="20"/>
        </w:rPr>
        <w:t xml:space="preserve"> </w:t>
      </w:r>
      <w:r w:rsidR="00B2143B">
        <w:rPr>
          <w:rStyle w:val="fontstyle01"/>
          <w:color w:val="FF0000"/>
        </w:rPr>
        <w:t>on</w:t>
      </w:r>
      <w:r w:rsidR="00B2143B" w:rsidRPr="00302D5A">
        <w:rPr>
          <w:rStyle w:val="fontstyle01"/>
          <w:color w:val="FF0000"/>
        </w:rPr>
        <w:t xml:space="preserve"> fine timing measurement (FTM) </w:t>
      </w:r>
      <w:r w:rsidR="00B2143B">
        <w:rPr>
          <w:rStyle w:val="fontstyle01"/>
          <w:color w:val="FF0000"/>
        </w:rPr>
        <w:t>procedures outside the</w:t>
      </w:r>
      <w:r w:rsidR="00B2143B" w:rsidRPr="00302D5A">
        <w:rPr>
          <w:rStyle w:val="fontstyle01"/>
          <w:color w:val="FF0000"/>
        </w:rPr>
        <w:t xml:space="preserve"> 5.9 GHz frequency band as defined in 11.21.6 (Fine timing measurement (FTM) procedure)</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CC9" w:rsidRDefault="00B97CC9">
      <w:r>
        <w:separator/>
      </w:r>
    </w:p>
  </w:endnote>
  <w:endnote w:type="continuationSeparator" w:id="0">
    <w:p w:rsidR="00B97CC9" w:rsidRDefault="00B9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B50E5C">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CC9" w:rsidRDefault="00B97CC9">
      <w:r>
        <w:separator/>
      </w:r>
    </w:p>
  </w:footnote>
  <w:footnote w:type="continuationSeparator" w:id="0">
    <w:p w:rsidR="00B97CC9" w:rsidRDefault="00B9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B50E5C">
    <w:pPr>
      <w:pStyle w:val="Header"/>
      <w:tabs>
        <w:tab w:val="clear" w:pos="6480"/>
        <w:tab w:val="center" w:pos="4680"/>
        <w:tab w:val="right" w:pos="9360"/>
      </w:tabs>
    </w:pPr>
    <w:fldSimple w:instr=" KEYWORDS  \* MERGEFORMAT ">
      <w:r w:rsidR="005921A2">
        <w:t>January 2021</w:t>
      </w:r>
    </w:fldSimple>
    <w:r w:rsidR="005921A2">
      <w:tab/>
    </w:r>
    <w:r w:rsidR="005921A2">
      <w:tab/>
    </w:r>
    <w:fldSimple w:instr=" TITLE  \* MERGEFORMAT ">
      <w:r w:rsidR="005921A2">
        <w:t>doc.: IEEE 802.11-21/0083r</w:t>
      </w:r>
    </w:fldSimple>
    <w:r w:rsidR="0080642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345DC"/>
    <w:rsid w:val="000570EB"/>
    <w:rsid w:val="00094B80"/>
    <w:rsid w:val="000A1F6D"/>
    <w:rsid w:val="000D1CB8"/>
    <w:rsid w:val="000D3551"/>
    <w:rsid w:val="00111091"/>
    <w:rsid w:val="00162F52"/>
    <w:rsid w:val="00174D8F"/>
    <w:rsid w:val="00175C56"/>
    <w:rsid w:val="0019409A"/>
    <w:rsid w:val="001B055D"/>
    <w:rsid w:val="001D723B"/>
    <w:rsid w:val="001D7CE6"/>
    <w:rsid w:val="00221721"/>
    <w:rsid w:val="00223AFB"/>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C3619"/>
    <w:rsid w:val="003F0DC4"/>
    <w:rsid w:val="004049EF"/>
    <w:rsid w:val="00406EDB"/>
    <w:rsid w:val="0042189B"/>
    <w:rsid w:val="00426730"/>
    <w:rsid w:val="00442037"/>
    <w:rsid w:val="00460F97"/>
    <w:rsid w:val="00462648"/>
    <w:rsid w:val="00480B6B"/>
    <w:rsid w:val="00492095"/>
    <w:rsid w:val="00492505"/>
    <w:rsid w:val="004B064B"/>
    <w:rsid w:val="005079A8"/>
    <w:rsid w:val="005226EA"/>
    <w:rsid w:val="0055508F"/>
    <w:rsid w:val="005802F8"/>
    <w:rsid w:val="005921A2"/>
    <w:rsid w:val="0062440B"/>
    <w:rsid w:val="0062779D"/>
    <w:rsid w:val="006310AB"/>
    <w:rsid w:val="00641614"/>
    <w:rsid w:val="00642252"/>
    <w:rsid w:val="00643771"/>
    <w:rsid w:val="0064434B"/>
    <w:rsid w:val="00652741"/>
    <w:rsid w:val="0066243A"/>
    <w:rsid w:val="006B6CAF"/>
    <w:rsid w:val="006C0727"/>
    <w:rsid w:val="006E145F"/>
    <w:rsid w:val="007227E8"/>
    <w:rsid w:val="0072329C"/>
    <w:rsid w:val="00745A72"/>
    <w:rsid w:val="00751267"/>
    <w:rsid w:val="007640C8"/>
    <w:rsid w:val="00770572"/>
    <w:rsid w:val="00776FC6"/>
    <w:rsid w:val="007903C7"/>
    <w:rsid w:val="00797CA3"/>
    <w:rsid w:val="007E1E78"/>
    <w:rsid w:val="00806425"/>
    <w:rsid w:val="00832D07"/>
    <w:rsid w:val="00847C90"/>
    <w:rsid w:val="00890282"/>
    <w:rsid w:val="00891A80"/>
    <w:rsid w:val="0089253C"/>
    <w:rsid w:val="009226C0"/>
    <w:rsid w:val="009227DF"/>
    <w:rsid w:val="009504FE"/>
    <w:rsid w:val="009703E3"/>
    <w:rsid w:val="00990D64"/>
    <w:rsid w:val="009A4FB1"/>
    <w:rsid w:val="009E2318"/>
    <w:rsid w:val="009F2FBC"/>
    <w:rsid w:val="009F5957"/>
    <w:rsid w:val="009F76F1"/>
    <w:rsid w:val="00A453BD"/>
    <w:rsid w:val="00AA427C"/>
    <w:rsid w:val="00B2143B"/>
    <w:rsid w:val="00B2231C"/>
    <w:rsid w:val="00B476A3"/>
    <w:rsid w:val="00B50E5C"/>
    <w:rsid w:val="00B617FE"/>
    <w:rsid w:val="00B64B87"/>
    <w:rsid w:val="00B756FA"/>
    <w:rsid w:val="00B760D3"/>
    <w:rsid w:val="00B85CD2"/>
    <w:rsid w:val="00B86981"/>
    <w:rsid w:val="00B97CC9"/>
    <w:rsid w:val="00BB5831"/>
    <w:rsid w:val="00BC2F23"/>
    <w:rsid w:val="00BC46CF"/>
    <w:rsid w:val="00BC6DA2"/>
    <w:rsid w:val="00BC7B79"/>
    <w:rsid w:val="00BE68C2"/>
    <w:rsid w:val="00C344FC"/>
    <w:rsid w:val="00C36AC3"/>
    <w:rsid w:val="00C5206F"/>
    <w:rsid w:val="00C56ED3"/>
    <w:rsid w:val="00C61645"/>
    <w:rsid w:val="00C64928"/>
    <w:rsid w:val="00CA09B2"/>
    <w:rsid w:val="00CA1475"/>
    <w:rsid w:val="00CA2277"/>
    <w:rsid w:val="00CA4B1E"/>
    <w:rsid w:val="00CB0FF1"/>
    <w:rsid w:val="00CD7BF8"/>
    <w:rsid w:val="00D01B65"/>
    <w:rsid w:val="00D21086"/>
    <w:rsid w:val="00D22211"/>
    <w:rsid w:val="00D66E6B"/>
    <w:rsid w:val="00D9634E"/>
    <w:rsid w:val="00DA4975"/>
    <w:rsid w:val="00DC5A7B"/>
    <w:rsid w:val="00DD61B1"/>
    <w:rsid w:val="00DD71D9"/>
    <w:rsid w:val="00E10DB8"/>
    <w:rsid w:val="00E11B39"/>
    <w:rsid w:val="00E356D3"/>
    <w:rsid w:val="00E44E11"/>
    <w:rsid w:val="00E457DA"/>
    <w:rsid w:val="00E5034B"/>
    <w:rsid w:val="00E87F5A"/>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44975F"/>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3-02-00bd-lb251-cr-for-11bd-d1-0-clause-4.docx" TargetMode="External"/><Relationship Id="rId13" Type="http://schemas.openxmlformats.org/officeDocument/2006/relationships/hyperlink" Target="https://mentor.ieee.org/802.11/dcn/21/11-21-0083-02-00bd-lb251-cr-for-11bd-d1-0-clause-4.docx" TargetMode="External"/><Relationship Id="rId18" Type="http://schemas.openxmlformats.org/officeDocument/2006/relationships/hyperlink" Target="https://mentor.ieee.org/802.11/dcn/21/11-21-0083-02-00bd-lb251-cr-for-11bd-d1-0-clause-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0083-02-00bd-lb251-cr-for-11bd-d1-0-clause-4.docx" TargetMode="External"/><Relationship Id="rId7" Type="http://schemas.openxmlformats.org/officeDocument/2006/relationships/hyperlink" Target="https://mentor.ieee.org/802.11/dcn/21/11-21-0044-03-00bd-lb251-cids-related-to-dmg-sta-with-ocb-operation.docx" TargetMode="External"/><Relationship Id="rId12" Type="http://schemas.openxmlformats.org/officeDocument/2006/relationships/hyperlink" Target="https://mentor.ieee.org/802.11/dcn/21/11-21-0083-02-00bd-lb251-cr-for-11bd-d1-0-clause-4.docx" TargetMode="External"/><Relationship Id="rId17" Type="http://schemas.openxmlformats.org/officeDocument/2006/relationships/hyperlink" Target="https://mentor.ieee.org/802.11/dcn/21/11-21-0083-02-00bd-lb251-cr-for-11bd-d1-0-clause-4.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0083-02-00bd-lb251-cr-for-11bd-d1-0-clause-4.docx" TargetMode="External"/><Relationship Id="rId20" Type="http://schemas.openxmlformats.org/officeDocument/2006/relationships/hyperlink" Target="https://mentor.ieee.org/802.11/dcn/21/11-21-0083-02-00bd-lb251-cr-for-11bd-d1-0-clause-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3-02-00bd-lb251-cr-for-11bd-d1-0-clause-4.docx" TargetMode="External"/><Relationship Id="rId24" Type="http://schemas.openxmlformats.org/officeDocument/2006/relationships/hyperlink" Target="https://mentor.ieee.org/802.11/dcn/21/11-21-0044-03-00bd-lb251-cids-related-to-dmg-sta-with-ocb-operation.docx" TargetMode="External"/><Relationship Id="rId5" Type="http://schemas.openxmlformats.org/officeDocument/2006/relationships/footnotes" Target="footnotes.xml"/><Relationship Id="rId15" Type="http://schemas.openxmlformats.org/officeDocument/2006/relationships/hyperlink" Target="https://mentor.ieee.org/802.11/dcn/21/11-21-0083-02-00bd-lb251-cr-for-11bd-d1-0-clause-4.docx" TargetMode="External"/><Relationship Id="rId23" Type="http://schemas.openxmlformats.org/officeDocument/2006/relationships/hyperlink" Target="https://mentor.ieee.org/802.11/dcn/21/11-21-0083-02-00bd-lb251-cr-for-11bd-d1-0-clause-4.docx" TargetMode="External"/><Relationship Id="rId28" Type="http://schemas.openxmlformats.org/officeDocument/2006/relationships/theme" Target="theme/theme1.xml"/><Relationship Id="rId10" Type="http://schemas.openxmlformats.org/officeDocument/2006/relationships/hyperlink" Target="https://mentor.ieee.org/802.11/dcn/21/11-21-0083-02-00bd-lb251-cr-for-11bd-d1-0-clause-4.docx" TargetMode="External"/><Relationship Id="rId19" Type="http://schemas.openxmlformats.org/officeDocument/2006/relationships/hyperlink" Target="https://mentor.ieee.org/802.11/dcn/21/11-21-0083-02-00bd-lb251-cr-for-11bd-d1-0-clause-4.docx" TargetMode="External"/><Relationship Id="rId4" Type="http://schemas.openxmlformats.org/officeDocument/2006/relationships/webSettings" Target="webSettings.xml"/><Relationship Id="rId9" Type="http://schemas.openxmlformats.org/officeDocument/2006/relationships/hyperlink" Target="https://mentor.ieee.org/802.11/dcn/21/11-21-0083-02-00bd-lb251-cr-for-11bd-d1-0-clause-4.docx" TargetMode="External"/><Relationship Id="rId14" Type="http://schemas.openxmlformats.org/officeDocument/2006/relationships/hyperlink" Target="https://mentor.ieee.org/802.11/dcn/21/11-21-0083-02-00bd-lb251-cr-for-11bd-d1-0-clause-4.docx" TargetMode="External"/><Relationship Id="rId22" Type="http://schemas.openxmlformats.org/officeDocument/2006/relationships/hyperlink" Target="https://mentor.ieee.org/802.11/dcn/21/11-21-0083-02-00bd-lb251-cr-for-11bd-d1-0-clause-4.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802.11-21/0083r1</vt:lpstr>
    </vt:vector>
  </TitlesOfParts>
  <Company>Some Company</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802.11-21/0083r2</dc:title>
  <dc:subject>Submission</dc:subject>
  <dc:creator>Sand, Stephan</dc:creator>
  <cp:keywords>January 20221</cp:keywords>
  <dc:description>Stephan Sand, DLR</dc:description>
  <cp:lastModifiedBy>Sand, Stephan</cp:lastModifiedBy>
  <cp:revision>6</cp:revision>
  <cp:lastPrinted>1899-12-31T23:00:00Z</cp:lastPrinted>
  <dcterms:created xsi:type="dcterms:W3CDTF">2021-02-18T21:29:00Z</dcterms:created>
  <dcterms:modified xsi:type="dcterms:W3CDTF">2021-02-23T16:32:00Z</dcterms:modified>
</cp:coreProperties>
</file>