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Pr="00FD0CDE" w:rsidRDefault="00CE4BAA" w:rsidP="004378DC">
      <w:pPr>
        <w:rPr>
          <w:rStyle w:val="SC7204809"/>
          <w:sz w:val="20"/>
          <w:szCs w:val="20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2C352A7A" w14:textId="60CD2F6C" w:rsidR="00223E90" w:rsidRPr="00FD0CDE" w:rsidRDefault="00223E90" w:rsidP="00223E90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EHT STA may negotiate individual TWT agreements with another EHT STA as defined in 10.47.1 (TWT overview) and 26.8.2 (Individual TWT agreements). </w:t>
      </w:r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643019B9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EHT STA </w:t>
      </w:r>
      <w:r w:rsidRPr="00FD0CDE">
        <w:rPr>
          <w:rFonts w:eastAsia="宋体"/>
          <w:sz w:val="22"/>
          <w:szCs w:val="22"/>
          <w:lang w:eastAsia="zh-CN"/>
        </w:rPr>
        <w:t>of a non-AP MLD</w:t>
      </w:r>
      <w:r w:rsidRPr="00FD0CDE">
        <w:rPr>
          <w:sz w:val="22"/>
          <w:szCs w:val="22"/>
        </w:rPr>
        <w:t xml:space="preserve"> may negotiate individual TWT agreements with </w:t>
      </w:r>
      <w:r w:rsidR="00657D37" w:rsidRPr="00FD0CDE">
        <w:rPr>
          <w:rFonts w:eastAsia="宋体"/>
          <w:sz w:val="22"/>
          <w:szCs w:val="22"/>
          <w:lang w:eastAsia="zh-CN"/>
        </w:rPr>
        <w:t>an EHT AP of an AP 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</w:p>
    <w:p w14:paraId="2457C6D8" w14:textId="0CCAC9FF" w:rsidR="00657D37" w:rsidRPr="00FD0CDE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 EHT STA indicate</w:t>
      </w:r>
      <w:r w:rsidR="00705E11" w:rsidRPr="00FD0CDE">
        <w:rPr>
          <w:rFonts w:eastAsia="宋体"/>
          <w:sz w:val="22"/>
          <w:szCs w:val="22"/>
          <w:lang w:eastAsia="zh-CN"/>
        </w:rPr>
        <w:t>s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the link(s) that are requested for a TWT agreement setup</w:t>
      </w:r>
      <w:r w:rsidRPr="00FD0CDE"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with a value of Request TWT, Suggest TWT or Demand TWT in the TWT Command field and with the TWT Request field equal to 1</w:t>
      </w:r>
    </w:p>
    <w:p w14:paraId="11FA1943" w14:textId="31D5C895" w:rsidR="00657D37" w:rsidRPr="00FD0CDE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he EHT AP 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indicates the </w:t>
      </w:r>
      <w:r w:rsidR="00657D37" w:rsidRPr="00FD0CDE">
        <w:rPr>
          <w:rFonts w:eastAsia="宋体"/>
          <w:sz w:val="22"/>
          <w:szCs w:val="22"/>
          <w:lang w:eastAsia="zh-CN"/>
        </w:rPr>
        <w:t>link(s)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a value of Accept TWT, Alternate TWT, Dictate TWT or Reject TWT in the TWT Command field and with the TWT Request field equal to 0 as a response</w:t>
      </w:r>
    </w:p>
    <w:p w14:paraId="3D4CEECA" w14:textId="77777777" w:rsidR="00657D37" w:rsidRPr="00F36419" w:rsidRDefault="00657D37" w:rsidP="00705E11">
      <w:pPr>
        <w:jc w:val="both"/>
        <w:rPr>
          <w:rFonts w:eastAsia="宋体"/>
          <w:sz w:val="22"/>
          <w:szCs w:val="22"/>
          <w:lang w:val="en-US" w:eastAsia="zh-CN"/>
        </w:rPr>
      </w:pPr>
    </w:p>
    <w:p w14:paraId="79363FB0" w14:textId="68E21929" w:rsidR="00705E11" w:rsidRPr="00FD0CDE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During the negotiation of TWT agreements, an EHT STA of a non-AP MLD may indicate different link(s) in each TWT element if there are more than one TWT element in the management frame.</w:t>
      </w:r>
    </w:p>
    <w:p w14:paraId="376D8304" w14:textId="77777777" w:rsidR="00657D37" w:rsidRPr="00FD0CDE" w:rsidRDefault="00657D37" w:rsidP="00FC4238">
      <w:pPr>
        <w:jc w:val="both"/>
        <w:rPr>
          <w:sz w:val="22"/>
          <w:szCs w:val="22"/>
        </w:rPr>
      </w:pPr>
    </w:p>
    <w:p w14:paraId="739D4658" w14:textId="7E9B2EFD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example of TWT </w:t>
      </w:r>
      <w:r w:rsidR="00551462" w:rsidRPr="00FD0CDE">
        <w:rPr>
          <w:sz w:val="22"/>
          <w:szCs w:val="22"/>
        </w:rPr>
        <w:t>agreements negotiation between two MLDs is</w:t>
      </w:r>
      <w:r w:rsidRPr="00FD0CDE">
        <w:rPr>
          <w:sz w:val="22"/>
          <w:szCs w:val="22"/>
        </w:rPr>
        <w:t xml:space="preserve"> 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Pr="00FD0CDE">
        <w:rPr>
          <w:sz w:val="22"/>
          <w:szCs w:val="22"/>
        </w:rPr>
        <w:t>).</w:t>
      </w:r>
    </w:p>
    <w:p w14:paraId="70054A8E" w14:textId="77777777" w:rsidR="00FC4238" w:rsidRPr="00FD0CDE" w:rsidRDefault="00FC4238" w:rsidP="00223E90">
      <w:pPr>
        <w:jc w:val="both"/>
        <w:rPr>
          <w:sz w:val="20"/>
        </w:rPr>
      </w:pPr>
    </w:p>
    <w:p w14:paraId="5977CA13" w14:textId="77777777" w:rsidR="00551462" w:rsidRPr="00FD0CDE" w:rsidRDefault="00551462" w:rsidP="00223E90">
      <w:pPr>
        <w:jc w:val="both"/>
        <w:rPr>
          <w:sz w:val="20"/>
        </w:rPr>
      </w:pPr>
    </w:p>
    <w:p w14:paraId="5832D22C" w14:textId="30B7971B" w:rsidR="00551462" w:rsidRPr="00FD0CDE" w:rsidRDefault="0060797E" w:rsidP="00551462">
      <w:pPr>
        <w:pStyle w:val="T"/>
      </w:pPr>
      <w:r w:rsidRPr="00FD0CDE"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115pt" o:ole="">
            <v:imagedata r:id="rId8" o:title=""/>
          </v:shape>
          <o:OLEObject Type="Embed" ProgID="Visio.Drawing.15" ShapeID="_x0000_i1025" DrawAspect="Content" ObjectID="_1676191057" r:id="rId9"/>
        </w:object>
      </w:r>
    </w:p>
    <w:p w14:paraId="30B5C5F1" w14:textId="55E113B7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 xml:space="preserve">Figure 35-x – Example of </w:t>
      </w:r>
      <w:r w:rsidRPr="00FD0CDE">
        <w:rPr>
          <w:sz w:val="22"/>
          <w:szCs w:val="22"/>
        </w:rPr>
        <w:t>TWT agreements negotiation</w:t>
      </w:r>
    </w:p>
    <w:p w14:paraId="63903303" w14:textId="77777777" w:rsidR="00551462" w:rsidRPr="00FD0CDE" w:rsidRDefault="00551462" w:rsidP="00223E90">
      <w:pPr>
        <w:jc w:val="both"/>
        <w:rPr>
          <w:sz w:val="20"/>
        </w:rPr>
      </w:pPr>
    </w:p>
    <w:p w14:paraId="29C0F133" w14:textId="67D3D38C" w:rsidR="00F36419" w:rsidRPr="00F151CB" w:rsidRDefault="00551462" w:rsidP="00223E90">
      <w:pPr>
        <w:jc w:val="both"/>
        <w:rPr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="0060797E" w:rsidRPr="00F151CB">
        <w:rPr>
          <w:rFonts w:eastAsia="宋体"/>
          <w:sz w:val="22"/>
          <w:szCs w:val="22"/>
          <w:lang w:eastAsia="zh-CN"/>
        </w:rPr>
        <w:t>a</w:t>
      </w:r>
      <w:r w:rsidR="0060797E" w:rsidRPr="00F151CB">
        <w:rPr>
          <w:sz w:val="22"/>
          <w:szCs w:val="22"/>
        </w:rPr>
        <w:t xml:space="preserve"> TWT element in a TWT set</w:t>
      </w:r>
      <w:r w:rsidR="00DD149E" w:rsidRPr="00F151CB">
        <w:rPr>
          <w:sz w:val="22"/>
          <w:szCs w:val="22"/>
        </w:rPr>
        <w:t>up frame</w:t>
      </w:r>
      <w:r w:rsidRPr="00F151CB">
        <w:rPr>
          <w:sz w:val="22"/>
          <w:szCs w:val="22"/>
        </w:rPr>
        <w:t xml:space="preserve"> to AP 1 affiliated with the AP MLD. </w:t>
      </w:r>
      <w:r w:rsidR="00DD149E" w:rsidRPr="00F151CB">
        <w:rPr>
          <w:sz w:val="22"/>
          <w:szCs w:val="22"/>
        </w:rPr>
        <w:t>The TWT element</w:t>
      </w:r>
      <w:r w:rsidR="00F151CB" w:rsidRPr="00F151CB">
        <w:rPr>
          <w:sz w:val="22"/>
          <w:szCs w:val="22"/>
        </w:rPr>
        <w:t xml:space="preserve"> sent by non-AP STA 1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>AP 1, AP 2, and AP 3</w:t>
      </w:r>
      <w:r w:rsidR="00F36419" w:rsidRPr="00F151CB">
        <w:rPr>
          <w:sz w:val="22"/>
          <w:szCs w:val="22"/>
        </w:rPr>
        <w:t xml:space="preserve"> to request three links to be setup</w:t>
      </w:r>
      <w:r w:rsidR="00F151CB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TWT agreement</w:t>
      </w:r>
      <w:r w:rsidR="00F151CB" w:rsidRPr="00F151CB">
        <w:rPr>
          <w:sz w:val="22"/>
          <w:szCs w:val="22"/>
        </w:rPr>
        <w:t>s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(one link between AP 1 and non-AP STA 1, one link between AP 2 and non-AP STA 2, and one link between AP 3 and non-AP STA 3), and is</w:t>
      </w:r>
      <w:r w:rsidR="00F151CB" w:rsidRPr="00F151CB">
        <w:rPr>
          <w:sz w:val="22"/>
          <w:szCs w:val="22"/>
        </w:rPr>
        <w:t xml:space="preserve"> with</w:t>
      </w:r>
      <w:r w:rsidR="00F36419" w:rsidRPr="00F151CB">
        <w:rPr>
          <w:sz w:val="22"/>
          <w:szCs w:val="22"/>
        </w:rPr>
        <w:t xml:space="preserve"> a value of Request TWT in the TWT Command field and with the TWT Request field equal to 1. AP 1 affiliated with the AP MLD sends </w:t>
      </w:r>
      <w:r w:rsidR="00F36419" w:rsidRPr="00F151CB">
        <w:rPr>
          <w:rFonts w:eastAsia="宋体"/>
          <w:sz w:val="22"/>
          <w:szCs w:val="22"/>
          <w:lang w:eastAsia="zh-CN"/>
        </w:rPr>
        <w:t>a</w:t>
      </w:r>
      <w:r w:rsidR="00F36419" w:rsidRPr="00F151CB">
        <w:rPr>
          <w:sz w:val="22"/>
          <w:szCs w:val="22"/>
        </w:rPr>
        <w:t xml:space="preserve"> TWT element in a TWT setup frame to non-AP STA 1 affiliated with the </w:t>
      </w:r>
      <w:r w:rsidR="00F36419" w:rsidRPr="00F151CB">
        <w:rPr>
          <w:sz w:val="22"/>
          <w:szCs w:val="22"/>
        </w:rPr>
        <w:lastRenderedPageBreak/>
        <w:t xml:space="preserve">non-AP MLD and the TWT element </w:t>
      </w:r>
      <w:r w:rsidR="00F151CB" w:rsidRPr="00F151CB">
        <w:rPr>
          <w:sz w:val="22"/>
          <w:szCs w:val="22"/>
        </w:rPr>
        <w:t xml:space="preserve">sent by AP 1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 xml:space="preserve">AP 1, </w:t>
      </w:r>
      <w:r w:rsidR="00F36419" w:rsidRPr="00F151CB">
        <w:rPr>
          <w:sz w:val="22"/>
          <w:szCs w:val="22"/>
        </w:rPr>
        <w:t>AP</w:t>
      </w:r>
      <w:r w:rsidR="00F151CB" w:rsidRPr="00F151CB">
        <w:rPr>
          <w:sz w:val="22"/>
          <w:szCs w:val="22"/>
        </w:rPr>
        <w:t xml:space="preserve"> 2, and </w:t>
      </w:r>
      <w:r w:rsidR="00F36419" w:rsidRPr="00F151CB">
        <w:rPr>
          <w:sz w:val="22"/>
          <w:szCs w:val="22"/>
        </w:rPr>
        <w:t xml:space="preserve">AP 3 </w:t>
      </w:r>
      <w:r w:rsidR="00F151CB" w:rsidRPr="00F151CB">
        <w:rPr>
          <w:sz w:val="22"/>
          <w:szCs w:val="22"/>
        </w:rPr>
        <w:t xml:space="preserve">with </w:t>
      </w:r>
      <w:r w:rsidR="00F151CB" w:rsidRPr="00F151CB">
        <w:rPr>
          <w:rFonts w:eastAsia="宋体"/>
          <w:sz w:val="22"/>
          <w:szCs w:val="22"/>
          <w:lang w:eastAsia="zh-CN"/>
        </w:rPr>
        <w:t>a v</w:t>
      </w:r>
      <w:bookmarkStart w:id="0" w:name="_GoBack"/>
      <w:bookmarkEnd w:id="0"/>
      <w:r w:rsidR="00F151CB" w:rsidRPr="00F151CB">
        <w:rPr>
          <w:rFonts w:eastAsia="宋体"/>
          <w:sz w:val="22"/>
          <w:szCs w:val="22"/>
          <w:lang w:eastAsia="zh-CN"/>
        </w:rPr>
        <w:t xml:space="preserve">alue of Accept TWT </w:t>
      </w:r>
      <w:r w:rsidR="00F151CB" w:rsidRPr="00F151CB">
        <w:rPr>
          <w:sz w:val="22"/>
          <w:szCs w:val="22"/>
        </w:rPr>
        <w:t xml:space="preserve">in the TWT Command field and with the TWT Request field equal to 0. After successful TWT agrements </w:t>
      </w:r>
      <w:r w:rsidR="00972D63" w:rsidRPr="00F151CB">
        <w:rPr>
          <w:sz w:val="22"/>
          <w:szCs w:val="22"/>
        </w:rPr>
        <w:t>setup</w:t>
      </w:r>
      <w:r w:rsidR="00972D63" w:rsidRPr="00F151CB">
        <w:rPr>
          <w:sz w:val="22"/>
          <w:szCs w:val="22"/>
        </w:rPr>
        <w:t xml:space="preserve"> </w:t>
      </w:r>
      <w:r w:rsidR="00F151CB" w:rsidRPr="00F151CB">
        <w:rPr>
          <w:sz w:val="22"/>
          <w:szCs w:val="22"/>
        </w:rPr>
        <w:t>on three links</w:t>
      </w:r>
      <w:r w:rsidR="006940C7">
        <w:rPr>
          <w:sz w:val="22"/>
          <w:szCs w:val="22"/>
        </w:rPr>
        <w:t>,</w:t>
      </w:r>
      <w:r w:rsidR="00D64E04">
        <w:rPr>
          <w:sz w:val="22"/>
          <w:szCs w:val="22"/>
        </w:rPr>
        <w:t xml:space="preserve"> these three links share the same TWT SP</w:t>
      </w:r>
      <w:r w:rsidR="00D64E04" w:rsidRPr="00F151CB">
        <w:rPr>
          <w:sz w:val="22"/>
          <w:szCs w:val="22"/>
        </w:rPr>
        <w:t xml:space="preserve"> </w:t>
      </w:r>
      <w:r w:rsidR="00F151CB" w:rsidRPr="00F151CB">
        <w:rPr>
          <w:sz w:val="22"/>
          <w:szCs w:val="22"/>
        </w:rPr>
        <w:t>(link 1 between AP 1 and non-AP STA 1, link 2 between AP 2 and non-AP STA 2, and link 3 between AP 3 and non-AP STA 3).</w:t>
      </w:r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62E02343" w14:textId="4C096F5C" w:rsidR="0060797E" w:rsidRPr="00FD0CDE" w:rsidRDefault="0060797E" w:rsidP="0060797E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Another example of TWT agreements negotiation between two MLDs is shown in Figure 35-</w:t>
      </w:r>
      <w:r w:rsidR="00FD0CDE" w:rsidRPr="00FD0CDE">
        <w:rPr>
          <w:rFonts w:eastAsia="宋体"/>
          <w:sz w:val="22"/>
          <w:szCs w:val="22"/>
          <w:lang w:eastAsia="zh-CN"/>
        </w:rPr>
        <w:t>y</w:t>
      </w:r>
      <w:r w:rsidRPr="00FD0CDE">
        <w:rPr>
          <w:sz w:val="22"/>
          <w:szCs w:val="22"/>
        </w:rPr>
        <w:t xml:space="preserve"> (Another Example of TWT agreements negotiation).</w:t>
      </w: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40B678EF" w14:textId="49ECB19C" w:rsidR="00551462" w:rsidRPr="00FD0CDE" w:rsidRDefault="0060797E" w:rsidP="00223E90">
      <w:pPr>
        <w:jc w:val="both"/>
        <w:rPr>
          <w:sz w:val="20"/>
        </w:rPr>
      </w:pPr>
      <w:r w:rsidRPr="00FD0CDE">
        <w:object w:dxaOrig="10380" w:dyaOrig="2551" w14:anchorId="358DBF41">
          <v:shape id="_x0000_i1026" type="#_x0000_t75" style="width:467pt;height:115pt" o:ole="">
            <v:imagedata r:id="rId10" o:title=""/>
          </v:shape>
          <o:OLEObject Type="Embed" ProgID="Visio.Drawing.15" ShapeID="_x0000_i1026" DrawAspect="Content" ObjectID="_1676191058" r:id="rId11"/>
        </w:object>
      </w:r>
    </w:p>
    <w:p w14:paraId="138120FD" w14:textId="66173A11" w:rsidR="00FD0CDE" w:rsidRPr="00FD0CDE" w:rsidRDefault="00FD0CDE" w:rsidP="00FD0CDE">
      <w:pPr>
        <w:pStyle w:val="T"/>
        <w:rPr>
          <w:color w:val="00B050"/>
          <w:w w:val="100"/>
        </w:rPr>
      </w:pPr>
      <w:r w:rsidRPr="00FD0CDE">
        <w:t>Figure 35-</w:t>
      </w:r>
      <w:r w:rsidR="006940C7">
        <w:t>y</w:t>
      </w:r>
      <w:r w:rsidRPr="00FD0CDE">
        <w:t xml:space="preserve"> – Another Example of </w:t>
      </w:r>
      <w:r w:rsidRPr="00FD0CDE">
        <w:rPr>
          <w:sz w:val="22"/>
          <w:szCs w:val="22"/>
        </w:rPr>
        <w:t>TWT agreements negotiation</w:t>
      </w: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304D343C" w14:textId="2633759D" w:rsidR="00F151CB" w:rsidRPr="00F151CB" w:rsidRDefault="00F151CB" w:rsidP="00F151CB">
      <w:pPr>
        <w:jc w:val="both"/>
        <w:rPr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AP 1 affiliated with the AP MLD. The TWT element sent by non-AP STA 1 indicates the link of AP 2 to request one link to be setup TWT agreement (one link between AP 2 and non-AP STA 2), and is with a value of Request TWT in the TWT Command field and with the TWT Request field equal to 1. AP 1 affiliated with the 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non-AP STA 1 affiliated with the non-AP MLD and the TWT element sent by AP 1 indicates the links of AP 2 with </w:t>
      </w:r>
      <w:r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Pr="00F151CB">
        <w:rPr>
          <w:sz w:val="22"/>
          <w:szCs w:val="22"/>
        </w:rPr>
        <w:t xml:space="preserve">in the TWT Command field and with the TWT Request field equal to 0. </w:t>
      </w:r>
      <w:r w:rsidR="00972D63">
        <w:rPr>
          <w:sz w:val="22"/>
          <w:szCs w:val="22"/>
        </w:rPr>
        <w:t>A</w:t>
      </w:r>
      <w:r w:rsidRPr="00F151CB">
        <w:rPr>
          <w:sz w:val="22"/>
          <w:szCs w:val="22"/>
        </w:rPr>
        <w:t xml:space="preserve"> successful TWT agrement </w:t>
      </w:r>
      <w:r w:rsidR="00972D63">
        <w:rPr>
          <w:sz w:val="22"/>
          <w:szCs w:val="22"/>
        </w:rPr>
        <w:t xml:space="preserve">is </w:t>
      </w:r>
      <w:r w:rsidR="00972D63" w:rsidRPr="00F151CB">
        <w:rPr>
          <w:sz w:val="22"/>
          <w:szCs w:val="22"/>
        </w:rPr>
        <w:t xml:space="preserve">setup </w:t>
      </w:r>
      <w:r w:rsidRPr="00F151CB">
        <w:rPr>
          <w:sz w:val="22"/>
          <w:szCs w:val="22"/>
        </w:rPr>
        <w:t>on one link (link 2 between AP 2 and non-AP STA 2).</w:t>
      </w:r>
    </w:p>
    <w:p w14:paraId="6398AE0F" w14:textId="77777777" w:rsidR="0060797E" w:rsidRPr="00F151CB" w:rsidRDefault="0060797E" w:rsidP="00223E90">
      <w:pPr>
        <w:jc w:val="both"/>
        <w:rPr>
          <w:sz w:val="20"/>
        </w:rPr>
      </w:pPr>
    </w:p>
    <w:p w14:paraId="735A53DB" w14:textId="77777777" w:rsidR="0060797E" w:rsidRPr="00FD0CDE" w:rsidRDefault="0060797E" w:rsidP="00223E90">
      <w:pPr>
        <w:jc w:val="both"/>
        <w:rPr>
          <w:sz w:val="20"/>
        </w:rPr>
      </w:pPr>
    </w:p>
    <w:p w14:paraId="151D31D1" w14:textId="77777777" w:rsidR="00916EB2" w:rsidRPr="006940C7" w:rsidRDefault="00916EB2" w:rsidP="00E2763A">
      <w:pPr>
        <w:jc w:val="both"/>
        <w:rPr>
          <w:sz w:val="20"/>
        </w:rPr>
      </w:pPr>
    </w:p>
    <w:p w14:paraId="060D951E" w14:textId="77777777" w:rsidR="00216B7D" w:rsidRPr="00FD0CDE" w:rsidRDefault="00216B7D" w:rsidP="00216B7D">
      <w:pPr>
        <w:jc w:val="both"/>
      </w:pPr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4D7C60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5F1B4CAA" w14:textId="77777777" w:rsidR="009B0D82" w:rsidRPr="00FD0CDE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FD0CDE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AACB" w14:textId="77777777" w:rsidR="00F03908" w:rsidRDefault="00F03908">
      <w:r>
        <w:separator/>
      </w:r>
    </w:p>
  </w:endnote>
  <w:endnote w:type="continuationSeparator" w:id="0">
    <w:p w14:paraId="1ABB26E3" w14:textId="77777777" w:rsidR="00F03908" w:rsidRDefault="00F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657D37" w:rsidRDefault="00F0390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57D37">
      <w:t>Submission</w:t>
    </w:r>
    <w:r>
      <w:fldChar w:fldCharType="end"/>
    </w:r>
    <w:r w:rsidR="00657D37">
      <w:tab/>
      <w:t xml:space="preserve">page </w:t>
    </w:r>
    <w:r w:rsidR="00657D37">
      <w:fldChar w:fldCharType="begin"/>
    </w:r>
    <w:r w:rsidR="00657D37">
      <w:instrText xml:space="preserve">page </w:instrText>
    </w:r>
    <w:r w:rsidR="00657D37">
      <w:fldChar w:fldCharType="separate"/>
    </w:r>
    <w:r w:rsidR="007C23E7">
      <w:rPr>
        <w:noProof/>
      </w:rPr>
      <w:t>3</w:t>
    </w:r>
    <w:r w:rsidR="00657D37">
      <w:rPr>
        <w:noProof/>
      </w:rPr>
      <w:fldChar w:fldCharType="end"/>
    </w:r>
    <w:r w:rsidR="00657D37">
      <w:tab/>
      <w:t>Ming Gan, Huawei</w:t>
    </w:r>
  </w:p>
  <w:p w14:paraId="78B10FFF" w14:textId="77777777" w:rsidR="00657D37" w:rsidRDefault="00657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076B" w14:textId="77777777" w:rsidR="00F03908" w:rsidRDefault="00F03908">
      <w:r>
        <w:separator/>
      </w:r>
    </w:p>
  </w:footnote>
  <w:footnote w:type="continuationSeparator" w:id="0">
    <w:p w14:paraId="25A3873D" w14:textId="77777777" w:rsidR="00F03908" w:rsidRDefault="00F0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8AB90C8" w:rsidR="00657D37" w:rsidRDefault="00657D3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7C23E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7F4382C5-DE38-413D-93E5-D948C93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2021-02-28T14:18:00Z</dcterms:created>
  <dcterms:modified xsi:type="dcterms:W3CDTF">2021-03-02T03:50:00Z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(3)vGqz532XNY0nmcW905YBQbUNnFyQg+7fA8ypcMjM5oGlZOTKJhRFDKawiIs0krbyglkXGKDq
xxydGGDxfHugZdKb8ViMuffxrglHoJevpRgLe374d2JWWrNq8fOsEJ9tMStNjyvBRiuIChkz
H6XaSL3AoPDtcb5D+14eFntHZC4imhwqra3BT9RGVwFOfzcpdlOz6K/yY/vYtSGHn2gbxkG5
rWEa/HS4zqVC3MtM7T</vt:lpwstr>
  </property>
  <property fmtid="{D5CDD505-2E9C-101B-9397-08002B2CF9AE}" pid="9" name="_2015_ms_pID_7253431">
    <vt:lpwstr>8295bee6VRnVjDWsbSzLzPi5RPBkEGojzPHy6mV9OCpAve1PDKVVQb
4uPLlcoXgzcno4ZmH4iSVYVFQwYAJfutNd6ZenuHj9nH8S11oVjbvyknm87nWGcoJQSHPhbO
9VMSFkY9EhZZpAcckUFvYfaAibgvgISwqGMM/TWBgC+0xpMzDARxaN4VUWB9+Eu3Ykfwjro7
xaJNySC+k7XbZc5uCLOuOsDIRiGrc3eMtRIo</vt:lpwstr>
  </property>
  <property fmtid="{D5CDD505-2E9C-101B-9397-08002B2CF9AE}" pid="10" name="_2015_ms_pID_7253432">
    <vt:lpwstr>dAT6esFY/V5RABS1IAoP3h4=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1614178926</vt:lpwstr>
  </property>
</Properties>
</file>