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7999EE5" w:rsidR="00DE584F" w:rsidRPr="00183F4C" w:rsidRDefault="00DE584F" w:rsidP="00FF787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A12A5A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225A1">
              <w:rPr>
                <w:b w:val="0"/>
                <w:sz w:val="20"/>
                <w:lang w:eastAsia="ko-KR"/>
              </w:rPr>
              <w:t>16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FE28CC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FE28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  <w:bookmarkStart w:id="0" w:name="_GoBack"/>
      <w:bookmarkEnd w:id="0"/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77777777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>In R1, 802.11be defines a directional-based TID-to-link mapping mechanism among the setup links of a MLD.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012CF45" w14:textId="27A856A9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C3577B">
              <w:rPr>
                <w:sz w:val="18"/>
                <w:szCs w:val="18"/>
              </w:rPr>
              <w:t xml:space="preserve"> </w:t>
            </w:r>
            <w:r w:rsidRPr="00C3577B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C3577B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516C786" w14:textId="2C27C251" w:rsidR="00EC1A3A" w:rsidRDefault="00EC1A3A" w:rsidP="00C3577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r w:rsidR="00C3577B">
              <w:rPr>
                <w:sz w:val="18"/>
                <w:szCs w:val="18"/>
              </w:rPr>
              <w:t xml:space="preserve">Association Request fame </w:t>
            </w:r>
            <w:r>
              <w:rPr>
                <w:sz w:val="18"/>
                <w:szCs w:val="18"/>
              </w:rPr>
              <w:t>initiat</w:t>
            </w:r>
            <w:r w:rsidR="00C3577B">
              <w:rPr>
                <w:sz w:val="18"/>
                <w:szCs w:val="18"/>
              </w:rPr>
              <w:t xml:space="preserve">ing </w:t>
            </w:r>
            <w:r>
              <w:rPr>
                <w:sz w:val="18"/>
                <w:szCs w:val="18"/>
              </w:rPr>
              <w:t xml:space="preserve">a multi-link setup </w:t>
            </w:r>
            <w:r w:rsidR="00C3577B">
              <w:rPr>
                <w:sz w:val="18"/>
                <w:szCs w:val="18"/>
              </w:rPr>
              <w:t xml:space="preserve">from a STA affiliated to a non-AP MLD. </w:t>
            </w:r>
            <w:r>
              <w:rPr>
                <w:sz w:val="18"/>
                <w:szCs w:val="18"/>
              </w:rPr>
              <w:t>Otherwise it is not present.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C7FB47" w14:textId="77777777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 </w:t>
            </w:r>
            <w:r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lastRenderedPageBreak/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177FF94" w14:textId="16D10FBB" w:rsidR="00C3577B" w:rsidRDefault="00C3577B" w:rsidP="00193A6B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TID-to-Link Mapping element is optionally present if</w:t>
            </w:r>
            <w:r w:rsidRPr="00462953">
              <w:rPr>
                <w:sz w:val="18"/>
                <w:szCs w:val="18"/>
              </w:rPr>
              <w:t xml:space="preserve"> </w:t>
            </w:r>
            <w:r w:rsidRPr="00462953">
              <w:rPr>
                <w:sz w:val="18"/>
                <w:szCs w:val="18"/>
                <w:lang w:eastAsia="en-US"/>
              </w:rPr>
              <w:t>dot11MultiLinkActivated is true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462953">
              <w:rPr>
                <w:sz w:val="18"/>
                <w:szCs w:val="18"/>
                <w:lang w:eastAsia="en-US"/>
              </w:rPr>
              <w:t>dot11TIDtoLinkMappingActivated is true</w:t>
            </w:r>
            <w:r>
              <w:rPr>
                <w:sz w:val="18"/>
                <w:szCs w:val="18"/>
                <w:lang w:eastAsia="en-US"/>
              </w:rPr>
              <w:t xml:space="preserve">, and an </w:t>
            </w:r>
            <w:r>
              <w:rPr>
                <w:sz w:val="18"/>
                <w:szCs w:val="18"/>
              </w:rPr>
              <w:t xml:space="preserve">AP affiliated to an AP MLD receives the </w:t>
            </w:r>
            <w:proofErr w:type="spellStart"/>
            <w:r w:rsidR="00B82B49">
              <w:rPr>
                <w:sz w:val="18"/>
                <w:szCs w:val="18"/>
              </w:rPr>
              <w:t>Rea</w:t>
            </w:r>
            <w:r>
              <w:rPr>
                <w:sz w:val="18"/>
                <w:szCs w:val="18"/>
              </w:rPr>
              <w:t>ssociation</w:t>
            </w:r>
            <w:proofErr w:type="spellEnd"/>
            <w:r>
              <w:rPr>
                <w:sz w:val="18"/>
                <w:szCs w:val="18"/>
              </w:rPr>
              <w:t xml:space="preserve"> Request fame initiating a multi-link setup from a STA affiliated to a non-AP MLD. Otherwise it is not present.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1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1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1981055C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>
              <w:rPr>
                <w:w w:val="100"/>
              </w:rPr>
              <w:t>-</w:t>
            </w:r>
            <w:r w:rsidRPr="002A35BD">
              <w:rPr>
                <w:w w:val="100"/>
              </w:rPr>
              <w:t>TO</w:t>
            </w:r>
            <w:r>
              <w:rPr>
                <w:w w:val="100"/>
              </w:rPr>
              <w:t>-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44862954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PREFERRED_TID-TO-LINK_MAPPING_SUGGESTED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6303433F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0C763A4" w14:textId="3AB1BB87" w:rsidR="00B2542D" w:rsidRDefault="00B2542D" w:rsidP="00B2542D">
      <w:pPr>
        <w:pStyle w:val="SP10291093"/>
        <w:spacing w:before="240" w:after="240"/>
        <w:rPr>
          <w:rStyle w:val="SC10319501"/>
        </w:rPr>
      </w:pPr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End w:id="2"/>
      <w:bookmarkEnd w:id="3"/>
      <w:bookmarkEnd w:id="4"/>
      <w:bookmarkEnd w:id="5"/>
      <w:bookmarkEnd w:id="6"/>
      <w:bookmarkEnd w:id="7"/>
      <w:bookmarkEnd w:id="8"/>
      <w:r>
        <w:rPr>
          <w:rStyle w:val="SC10319501"/>
        </w:rPr>
        <w:t xml:space="preserve">9.4.1.11 Action field </w:t>
      </w:r>
    </w:p>
    <w:p w14:paraId="40490BE9" w14:textId="451B4E11" w:rsidR="00BE7CB4" w:rsidRPr="00BE7CB4" w:rsidRDefault="00BE7CB4" w:rsidP="00BE7CB4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9-51 (Category values)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 </w:t>
      </w:r>
    </w:p>
    <w:p w14:paraId="61CA7D79" w14:textId="09554E93" w:rsidR="00BE7CB4" w:rsidRDefault="00BE7CB4" w:rsidP="00BE7CB4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 xml:space="preserve">Table 9-51—Category values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175"/>
        <w:gridCol w:w="1501"/>
        <w:gridCol w:w="947"/>
        <w:gridCol w:w="1110"/>
      </w:tblGrid>
      <w:tr w:rsidR="00B2542D" w14:paraId="770E50D5" w14:textId="77777777" w:rsidTr="00BE7CB4">
        <w:trPr>
          <w:trHeight w:val="780"/>
          <w:jc w:val="center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5503E1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482CDD2" w14:textId="77777777" w:rsidR="00B2542D" w:rsidRDefault="00B2542D" w:rsidP="00442556">
            <w:pPr>
              <w:pStyle w:val="TableParagraph"/>
              <w:kinsoku w:val="0"/>
              <w:overflowPunct w:val="0"/>
              <w:ind w:left="114" w:right="10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1EA729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7FFC0BD" w14:textId="77777777" w:rsidR="00B2542D" w:rsidRDefault="00B2542D" w:rsidP="00442556">
            <w:pPr>
              <w:pStyle w:val="TableParagraph"/>
              <w:kinsoku w:val="0"/>
              <w:overflowPunct w:val="0"/>
              <w:ind w:left="737" w:right="7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1DB6B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0B9B59A9" w14:textId="77777777" w:rsidR="00B2542D" w:rsidRDefault="00B2542D" w:rsidP="00442556">
            <w:pPr>
              <w:pStyle w:val="TableParagraph"/>
              <w:kinsoku w:val="0"/>
              <w:overflowPunct w:val="0"/>
              <w:ind w:left="23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See </w:t>
            </w:r>
            <w:proofErr w:type="spellStart"/>
            <w:r>
              <w:rPr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9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CB6E4D" w14:textId="77777777" w:rsidR="00B2542D" w:rsidRDefault="00B2542D" w:rsidP="0044255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4536BDE" w14:textId="77777777" w:rsidR="00B2542D" w:rsidRDefault="00B2542D" w:rsidP="00442556">
            <w:pPr>
              <w:pStyle w:val="TableParagraph"/>
              <w:kinsoku w:val="0"/>
              <w:overflowPunct w:val="0"/>
              <w:ind w:left="185" w:right="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Robust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5E1312" w14:textId="77777777" w:rsidR="00B2542D" w:rsidRDefault="00B2542D" w:rsidP="00442556">
            <w:pPr>
              <w:pStyle w:val="TableParagraph"/>
              <w:kinsoku w:val="0"/>
              <w:overflowPunct w:val="0"/>
              <w:spacing w:before="81" w:line="232" w:lineRule="auto"/>
              <w:ind w:left="176" w:right="1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Group addressed privacy</w:t>
            </w:r>
          </w:p>
        </w:tc>
      </w:tr>
      <w:tr w:rsidR="00B2542D" w14:paraId="5AEF7406" w14:textId="77777777" w:rsidTr="00BE7CB4">
        <w:trPr>
          <w:trHeight w:val="712"/>
          <w:jc w:val="center"/>
        </w:trPr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3AAA094" w14:textId="6CE2138E" w:rsidR="00B2542D" w:rsidRDefault="00B2542D" w:rsidP="00442556">
            <w:pPr>
              <w:pStyle w:val="TableParagraph"/>
              <w:kinsoku w:val="0"/>
              <w:overflowPunct w:val="0"/>
              <w:spacing w:before="49"/>
              <w:ind w:left="116" w:right="104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F4AAB" w14:textId="249FCCA3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TID-to-Link Mapping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07A88" w14:textId="0F6E41E4" w:rsidR="00B2542D" w:rsidRDefault="00FE28CC" w:rsidP="00BE7CB4">
            <w:pPr>
              <w:pStyle w:val="TableParagraph"/>
              <w:kinsoku w:val="0"/>
              <w:overflowPunct w:val="0"/>
              <w:spacing w:before="54" w:line="232" w:lineRule="auto"/>
              <w:ind w:left="129" w:right="410"/>
              <w:jc w:val="both"/>
            </w:pPr>
            <w:hyperlink w:anchor="bookmark55" w:history="1">
              <w:r w:rsidR="00BE7CB4">
                <w:rPr>
                  <w:sz w:val="18"/>
                  <w:szCs w:val="18"/>
                </w:rPr>
                <w:t>9.6.36 (TID-to-Link Mapping Action frame</w:t>
              </w:r>
            </w:hyperlink>
            <w:hyperlink w:anchor="bookmark55" w:history="1">
              <w:r w:rsidR="00BE7CB4">
                <w:rPr>
                  <w:sz w:val="18"/>
                  <w:szCs w:val="18"/>
                </w:rPr>
                <w:t xml:space="preserve"> details)</w:t>
              </w:r>
            </w:hyperlink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A98959" w14:textId="7C7EBB36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185"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070248" w14:textId="00C7651D" w:rsidR="00B2542D" w:rsidRDefault="00BE7CB4" w:rsidP="00442556">
            <w:pPr>
              <w:pStyle w:val="TableParagraph"/>
              <w:kinsoku w:val="0"/>
              <w:overflowPunct w:val="0"/>
              <w:spacing w:before="49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9E9666" w14:textId="77777777" w:rsidR="00B2542D" w:rsidRPr="00BE7CB4" w:rsidRDefault="00B2542D" w:rsidP="00BE7CB4">
      <w:pPr>
        <w:pStyle w:val="Default"/>
      </w:pPr>
      <w:bookmarkStart w:id="9" w:name="9.4.1.11_Action_field"/>
      <w:bookmarkStart w:id="10" w:name="_bookmark18"/>
      <w:bookmarkStart w:id="11" w:name="_bookmark19"/>
      <w:bookmarkEnd w:id="9"/>
      <w:bookmarkEnd w:id="10"/>
      <w:bookmarkEnd w:id="11"/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4CA0561C" w14:textId="77777777" w:rsidTr="00A9390F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4FCE60F" w14:textId="48E09D56" w:rsidR="0037082E" w:rsidRDefault="0037082E" w:rsidP="00A9390F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 Capabilities (see</w:t>
            </w:r>
            <w:hyperlink w:anchor="bookmark38" w:history="1">
              <w:r>
                <w:rPr>
                  <w:sz w:val="18"/>
                  <w:szCs w:val="18"/>
                </w:rPr>
                <w:t xml:space="preserve"> 9.4.2.247c (EHT Capabilities</w:t>
              </w:r>
            </w:hyperlink>
            <w:r>
              <w:rPr>
                <w:sz w:val="18"/>
                <w:szCs w:val="18"/>
              </w:rPr>
              <w:t xml:space="preserve"> </w:t>
            </w:r>
            <w:hyperlink w:anchor="bookmark38" w:history="1">
              <w:r>
                <w:rPr>
                  <w:sz w:val="18"/>
                  <w:szCs w:val="18"/>
                </w:rPr>
                <w:t>element)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129946" w14:textId="7B264263" w:rsidR="0037082E" w:rsidRPr="006F34B0" w:rsidRDefault="00C3577B" w:rsidP="00C3577B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8F0BBE" w14:textId="77777777" w:rsidR="0037082E" w:rsidRDefault="0037082E" w:rsidP="00C41A63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C22E6C" w14:textId="77777777" w:rsidR="0037082E" w:rsidRDefault="0037082E" w:rsidP="00C41A63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37BBA21" w14:textId="77777777" w:rsidR="0037082E" w:rsidRDefault="0037082E" w:rsidP="00C41A63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493ECC46" w:rsidR="0037082E" w:rsidRDefault="0037082E" w:rsidP="0037082E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9.4.2.247d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1B713D11" w14:textId="77777777" w:rsidR="00BE7CB4" w:rsidRDefault="00BE7CB4" w:rsidP="00BE7CB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along with text and figure as shown below:</w:t>
      </w:r>
    </w:p>
    <w:p w14:paraId="2FB607CC" w14:textId="77777777" w:rsidR="00BE7CB4" w:rsidRDefault="00BE7CB4" w:rsidP="00BE7CB4">
      <w:pPr>
        <w:pStyle w:val="H5"/>
        <w:rPr>
          <w:w w:val="100"/>
        </w:rPr>
      </w:pPr>
      <w:r>
        <w:rPr>
          <w:w w:val="100"/>
        </w:rPr>
        <w:t>9.4.2.295c.2 EHT MAC Capabilities Information field</w:t>
      </w:r>
    </w:p>
    <w:p w14:paraId="7555F645" w14:textId="77777777" w:rsidR="00BE7CB4" w:rsidRDefault="00BE7CB4" w:rsidP="00BE7CB4">
      <w:pPr>
        <w:pStyle w:val="T"/>
        <w:rPr>
          <w:w w:val="100"/>
        </w:rPr>
      </w:pPr>
      <w:r>
        <w:rPr>
          <w:w w:val="100"/>
        </w:rPr>
        <w:t>The format of the EHT MAC Capabilities Information field is defined in Figure 9-xxxb (EHT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2010"/>
        <w:gridCol w:w="3430"/>
      </w:tblGrid>
      <w:tr w:rsidR="00BE7CB4" w14:paraId="54606786" w14:textId="77777777" w:rsidTr="00442556">
        <w:trPr>
          <w:trHeight w:val="19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D5BB1C" w14:textId="77777777" w:rsidR="00BE7CB4" w:rsidRDefault="00BE7CB4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781FBB" w14:textId="77777777" w:rsidR="00BE7CB4" w:rsidRDefault="00BE7CB4" w:rsidP="0044255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</w:t>
            </w:r>
          </w:p>
        </w:tc>
        <w:tc>
          <w:tcPr>
            <w:tcW w:w="343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65F478" w14:textId="77777777" w:rsidR="00BE7CB4" w:rsidRDefault="00BE7CB4" w:rsidP="00442556">
            <w:pPr>
              <w:pStyle w:val="figuretext"/>
            </w:pPr>
          </w:p>
        </w:tc>
      </w:tr>
      <w:tr w:rsidR="00BE7CB4" w14:paraId="712A0A20" w14:textId="77777777" w:rsidTr="00442556">
        <w:trPr>
          <w:trHeight w:val="35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BE7CB4" w:rsidRDefault="00BE7CB4" w:rsidP="00442556">
            <w:pPr>
              <w:pStyle w:val="figuretext"/>
              <w:rPr>
                <w:w w:val="1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77777777" w:rsidR="00BE7CB4" w:rsidRDefault="00BE7CB4" w:rsidP="00442556">
            <w:pPr>
              <w:pStyle w:val="figuretext"/>
            </w:pPr>
            <w:r>
              <w:rPr>
                <w:w w:val="100"/>
              </w:rPr>
              <w:t>TID-to-link Mapping Negotiation Supported</w:t>
            </w:r>
          </w:p>
        </w:tc>
        <w:tc>
          <w:tcPr>
            <w:tcW w:w="3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77777777" w:rsidR="00BE7CB4" w:rsidRDefault="00BE7CB4" w:rsidP="00442556">
            <w:pPr>
              <w:pStyle w:val="figuretext"/>
            </w:pPr>
            <w:r>
              <w:t>Reserved</w:t>
            </w:r>
          </w:p>
        </w:tc>
      </w:tr>
      <w:tr w:rsidR="00BE7CB4" w14:paraId="3D528B63" w14:textId="77777777" w:rsidTr="00442556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BE7CB4" w:rsidRDefault="00BE7CB4" w:rsidP="00442556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77777777" w:rsidR="00BE7CB4" w:rsidRDefault="00BE7CB4" w:rsidP="0044255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343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77777777" w:rsidR="00BE7CB4" w:rsidRDefault="00BE7CB4" w:rsidP="00442556">
            <w:pPr>
              <w:pStyle w:val="figuretext"/>
            </w:pPr>
            <w:r>
              <w:t>TBD</w:t>
            </w:r>
          </w:p>
        </w:tc>
      </w:tr>
    </w:tbl>
    <w:p w14:paraId="22BA3C4B" w14:textId="77777777" w:rsidR="00BE7CB4" w:rsidRPr="00A9390F" w:rsidRDefault="00BE7CB4" w:rsidP="00BE7CB4">
      <w:pPr>
        <w:pStyle w:val="FigTitle"/>
        <w:spacing w:before="0" w:line="0" w:lineRule="atLeast"/>
      </w:pPr>
      <w:r>
        <w:rPr>
          <w:w w:val="100"/>
        </w:rPr>
        <w:t>Figure 9-788em – EHT Capabilities element format</w:t>
      </w:r>
    </w:p>
    <w:p w14:paraId="5DA7CF3A" w14:textId="77777777" w:rsidR="00BE7CB4" w:rsidRDefault="00BE7CB4" w:rsidP="00BE7CB4">
      <w:pPr>
        <w:pStyle w:val="T"/>
        <w:rPr>
          <w:w w:val="100"/>
          <w:lang w:eastAsia="en-US"/>
        </w:rPr>
      </w:pPr>
      <w:r>
        <w:rPr>
          <w:w w:val="100"/>
        </w:rPr>
        <w:t>The subfields of the EHT MAC Capabilities Information field are defined in Table 9-xxx (Subfields of the EHT MAC Capabilities Information field).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610"/>
        <w:gridCol w:w="4730"/>
      </w:tblGrid>
      <w:tr w:rsidR="00BE7CB4" w14:paraId="05D37A20" w14:textId="77777777" w:rsidTr="00442556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09C5D6F0" w14:textId="77777777" w:rsidR="00BE7CB4" w:rsidRDefault="00BE7CB4" w:rsidP="00442556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9-xxx – Subfields of the EHT MAC Capabilities Information field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442556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442556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TID-to-link Mapping Negotiation Supported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Default="00BE7CB4" w:rsidP="00442556">
            <w:pPr>
              <w:pStyle w:val="TableText"/>
              <w:rPr>
                <w:lang w:eastAsia="en-US"/>
              </w:rPr>
            </w:pPr>
            <w:r>
              <w:rPr>
                <w:w w:val="100"/>
                <w:lang w:eastAsia="en-US"/>
              </w:rPr>
              <w:t>Indicates support for TID-to-link mapping negotiation.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F62E3C" w14:textId="6A967A75" w:rsidR="00BE7CB4" w:rsidRDefault="00BE7CB4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 xml:space="preserve">Set to 1 if </w:t>
            </w:r>
            <w:r w:rsidRPr="00D97990">
              <w:rPr>
                <w:w w:val="100"/>
                <w:lang w:eastAsia="en-US"/>
              </w:rPr>
              <w:t>dot11MultiLinkActivated</w:t>
            </w:r>
            <w:r>
              <w:rPr>
                <w:w w:val="100"/>
                <w:lang w:eastAsia="en-US"/>
              </w:rPr>
              <w:t xml:space="preserve"> is true and dot11TIDtoLinkMappingActivated is true. (</w:t>
            </w:r>
            <w:proofErr w:type="gramStart"/>
            <w:r>
              <w:rPr>
                <w:w w:val="100"/>
                <w:lang w:eastAsia="en-US"/>
              </w:rPr>
              <w:t>see</w:t>
            </w:r>
            <w:proofErr w:type="gramEnd"/>
            <w:r>
              <w:rPr>
                <w:w w:val="100"/>
                <w:lang w:eastAsia="en-US"/>
              </w:rPr>
              <w:t xml:space="preserve"> 35.3.6.1.3 (Negotiation of TID-to-link mapping)).</w:t>
            </w:r>
          </w:p>
          <w:p w14:paraId="08587A75" w14:textId="77777777" w:rsidR="00BE7CB4" w:rsidRDefault="00BE7CB4" w:rsidP="00442556">
            <w:pPr>
              <w:pStyle w:val="TableText"/>
              <w:rPr>
                <w:w w:val="100"/>
                <w:lang w:eastAsia="en-US"/>
              </w:rPr>
            </w:pPr>
          </w:p>
          <w:p w14:paraId="455E98FE" w14:textId="77777777" w:rsidR="00BE7CB4" w:rsidRDefault="00BE7CB4" w:rsidP="00442556">
            <w:pPr>
              <w:pStyle w:val="TableText"/>
              <w:rPr>
                <w:w w:val="100"/>
                <w:lang w:eastAsia="en-US"/>
              </w:rPr>
            </w:pPr>
            <w:r>
              <w:rPr>
                <w:w w:val="100"/>
                <w:lang w:eastAsia="en-US"/>
              </w:rPr>
              <w:t>Set to 0 otherwise.</w:t>
            </w:r>
          </w:p>
        </w:tc>
      </w:tr>
    </w:tbl>
    <w:p w14:paraId="3EA5274F" w14:textId="77777777" w:rsidR="00BE7CB4" w:rsidRDefault="00BE7CB4" w:rsidP="00BE7CB4">
      <w:pPr>
        <w:pStyle w:val="Default"/>
      </w:pPr>
    </w:p>
    <w:p w14:paraId="4036FBB8" w14:textId="77777777" w:rsidR="006F34B0" w:rsidRDefault="006F34B0" w:rsidP="00BE7CB4">
      <w:pPr>
        <w:pStyle w:val="Default"/>
      </w:pPr>
    </w:p>
    <w:p w14:paraId="65A6B4D6" w14:textId="6E9904FE" w:rsidR="00D322B0" w:rsidRPr="00C3577B" w:rsidRDefault="00D322B0" w:rsidP="00C3577B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60E1E0DB" w14:textId="7D1267FA" w:rsidR="00BE7CB4" w:rsidRDefault="00BE7CB4" w:rsidP="00BE7CB4">
      <w:pPr>
        <w:pStyle w:val="H4"/>
        <w:rPr>
          <w:w w:val="100"/>
        </w:rPr>
      </w:pPr>
      <w:r>
        <w:rPr>
          <w:w w:val="100"/>
        </w:rPr>
        <w:t>9.4.2.295d TID</w:t>
      </w:r>
      <w:r w:rsidR="000A13CD">
        <w:rPr>
          <w:w w:val="100"/>
        </w:rPr>
        <w:t>-</w:t>
      </w:r>
      <w:r>
        <w:rPr>
          <w:w w:val="100"/>
        </w:rPr>
        <w:t>to</w:t>
      </w:r>
      <w:r w:rsidR="000A13CD">
        <w:rPr>
          <w:w w:val="100"/>
        </w:rPr>
        <w:t>-L</w:t>
      </w:r>
      <w:r>
        <w:rPr>
          <w:w w:val="100"/>
        </w:rPr>
        <w:t xml:space="preserve">ink Mapping element </w:t>
      </w:r>
    </w:p>
    <w:p w14:paraId="547C259F" w14:textId="6F82BA18" w:rsidR="00BE7CB4" w:rsidRPr="00C3577B" w:rsidRDefault="00442556" w:rsidP="00C3577B">
      <w:pPr>
        <w:pStyle w:val="Default"/>
        <w:jc w:val="both"/>
        <w:rPr>
          <w:sz w:val="20"/>
          <w:szCs w:val="20"/>
        </w:rPr>
      </w:pPr>
      <w:r w:rsidRPr="00C3577B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 xml:space="preserve">element indicates </w:t>
      </w:r>
      <w:r w:rsidR="00B66A1F" w:rsidRPr="00B66A1F">
        <w:rPr>
          <w:sz w:val="20"/>
          <w:szCs w:val="20"/>
        </w:rPr>
        <w:t>links on which an uplink or a downlink frames belonging to each TID can be exchanged.</w:t>
      </w:r>
      <w:r w:rsidR="00B66A1F"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 xml:space="preserve">The format of the 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is shown in Figure 9-788</w:t>
      </w:r>
      <w:r>
        <w:rPr>
          <w:sz w:val="20"/>
          <w:szCs w:val="20"/>
        </w:rPr>
        <w:t xml:space="preserve">el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</w:t>
      </w:r>
      <w:r w:rsidRPr="00C3577B">
        <w:rPr>
          <w:sz w:val="20"/>
          <w:szCs w:val="20"/>
        </w:rPr>
        <w:t>element format).</w:t>
      </w:r>
    </w:p>
    <w:p w14:paraId="1C840032" w14:textId="77777777" w:rsidR="00442556" w:rsidRDefault="00442556" w:rsidP="00442556">
      <w:pPr>
        <w:pStyle w:val="Default"/>
      </w:pPr>
    </w:p>
    <w:tbl>
      <w:tblPr>
        <w:tblW w:w="1017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920"/>
        <w:gridCol w:w="990"/>
        <w:gridCol w:w="360"/>
        <w:gridCol w:w="990"/>
        <w:gridCol w:w="990"/>
        <w:gridCol w:w="990"/>
        <w:gridCol w:w="360"/>
        <w:gridCol w:w="990"/>
      </w:tblGrid>
      <w:tr w:rsidR="00BF6A87" w14:paraId="7680FE4A" w14:textId="71A23339" w:rsidTr="00E13A65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BC2C77" w14:textId="77777777" w:rsidR="00BF6A87" w:rsidRDefault="00BF6A87" w:rsidP="00BF6A87">
            <w:pPr>
              <w:pStyle w:val="figuretext"/>
              <w:rPr>
                <w:w w:val="1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293B2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8CB90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61A1F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4FAB1" w14:textId="052A2B99" w:rsidR="00BF6A87" w:rsidRDefault="00BF6A87" w:rsidP="00BF6A87">
            <w:pPr>
              <w:pStyle w:val="figuretext"/>
            </w:pPr>
            <w:r>
              <w:rPr>
                <w:w w:val="100"/>
              </w:rPr>
              <w:t>DL Link Mapping Pr</w:t>
            </w:r>
            <w:r w:rsidR="00B66A1F">
              <w:rPr>
                <w:w w:val="100"/>
              </w:rPr>
              <w:t>e</w:t>
            </w:r>
            <w:r>
              <w:rPr>
                <w:w w:val="100"/>
              </w:rPr>
              <w:t>sen</w:t>
            </w:r>
            <w:r w:rsidR="00B66A1F">
              <w:rPr>
                <w:w w:val="100"/>
              </w:rPr>
              <w:t>c</w:t>
            </w:r>
            <w:r>
              <w:rPr>
                <w:w w:val="100"/>
              </w:rPr>
              <w:t>e Indicator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8AD6C" w14:textId="5F2B6EF5" w:rsidR="00BF6A87" w:rsidRDefault="00BF6A87" w:rsidP="00B03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DL Link Mapping Of TID 0 </w:t>
            </w:r>
          </w:p>
          <w:p w14:paraId="1E1353FA" w14:textId="5DDCE7C0" w:rsidR="00BF6A87" w:rsidRDefault="00BF6A87" w:rsidP="00B03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CA38FE" w14:textId="454C0967" w:rsidR="00BF6A87" w:rsidRDefault="00BF6A87" w:rsidP="00B03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F526C" w14:textId="34FD25B3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DL Link Mapping Of TID 7</w:t>
            </w:r>
          </w:p>
          <w:p w14:paraId="33023391" w14:textId="19EA3031" w:rsidR="00BF6A87" w:rsidRDefault="00BF6A87" w:rsidP="00BF6A87">
            <w:pPr>
              <w:pStyle w:val="figuretext"/>
            </w:pPr>
            <w:r>
              <w:rPr>
                <w:w w:val="100"/>
              </w:rPr>
              <w:t>(Optional)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3FA14" w14:textId="3DD7503E" w:rsidR="00BF6A87" w:rsidRDefault="00BF6A87" w:rsidP="00B03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UL Link Mapping Pr</w:t>
            </w:r>
            <w:r w:rsidR="00B66A1F">
              <w:rPr>
                <w:w w:val="100"/>
              </w:rPr>
              <w:t>e</w:t>
            </w:r>
            <w:r>
              <w:rPr>
                <w:w w:val="100"/>
              </w:rPr>
              <w:t>sen</w:t>
            </w:r>
            <w:r w:rsidR="00B66A1F">
              <w:rPr>
                <w:w w:val="100"/>
              </w:rPr>
              <w:t>c</w:t>
            </w:r>
            <w:r>
              <w:rPr>
                <w:w w:val="100"/>
              </w:rPr>
              <w:t>e Indicator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92D77B" w14:textId="34CE4E06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UL Link Mapping Of TID 0 </w:t>
            </w:r>
          </w:p>
          <w:p w14:paraId="25EDD285" w14:textId="4661683E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B1F888" w14:textId="21E8F535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3AE33" w14:textId="725CA121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UL Link Mapping Of TID 7</w:t>
            </w:r>
          </w:p>
          <w:p w14:paraId="5998466E" w14:textId="6B0E99FD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</w:tr>
      <w:tr w:rsidR="00BF6A87" w14:paraId="7623BB38" w14:textId="41D2DFAC" w:rsidTr="00E13A65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A85B10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A4A28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BB619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5C78E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570B2" w14:textId="77777777" w:rsidR="00BF6A87" w:rsidRDefault="00BF6A87" w:rsidP="00BF6A8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3A1FB2" w14:textId="2499B670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80F7A9" w14:textId="77777777" w:rsidR="00BF6A87" w:rsidRDefault="00BF6A87" w:rsidP="00BF6A87">
            <w:pPr>
              <w:pStyle w:val="figuretext"/>
              <w:rPr>
                <w:w w:val="1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13BE6" w14:textId="4847870A" w:rsidR="00BF6A87" w:rsidRDefault="00BF6A87" w:rsidP="00BF6A87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1DBB109" w14:textId="2A367959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4238128" w14:textId="06DA02B5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11EC209" w14:textId="77777777" w:rsidR="00BF6A87" w:rsidRDefault="00BF6A87" w:rsidP="00BF6A87">
            <w:pPr>
              <w:pStyle w:val="figuretext"/>
              <w:rPr>
                <w:w w:val="1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4069953" w14:textId="74A69625" w:rsidR="00BF6A87" w:rsidRDefault="00BF6A87" w:rsidP="00BF6A87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53D25D49" w14:textId="7B147028" w:rsidR="00BE7CB4" w:rsidRDefault="00BE7CB4" w:rsidP="00BE7CB4">
      <w:pPr>
        <w:pStyle w:val="FigTitle"/>
        <w:spacing w:before="0" w:line="0" w:lineRule="atLeast"/>
      </w:pPr>
      <w:r>
        <w:rPr>
          <w:w w:val="100"/>
        </w:rPr>
        <w:t>Figure 9-788el – TID-to-</w:t>
      </w:r>
      <w:r w:rsidR="00E17ACE">
        <w:rPr>
          <w:w w:val="100"/>
        </w:rPr>
        <w:t>L</w:t>
      </w:r>
      <w:r>
        <w:rPr>
          <w:w w:val="100"/>
        </w:rPr>
        <w:t>ink Mapping element format</w:t>
      </w:r>
    </w:p>
    <w:p w14:paraId="4851A2CB" w14:textId="77777777" w:rsidR="00BE7CB4" w:rsidRDefault="00BE7CB4" w:rsidP="00BE7CB4">
      <w:pPr>
        <w:pStyle w:val="Default"/>
      </w:pPr>
    </w:p>
    <w:p w14:paraId="7EDF2773" w14:textId="65210606" w:rsidR="00BE7CB4" w:rsidRDefault="00442556" w:rsidP="00C3577B">
      <w:pPr>
        <w:pStyle w:val="Default"/>
        <w:jc w:val="both"/>
        <w:rPr>
          <w:sz w:val="20"/>
          <w:szCs w:val="20"/>
        </w:rPr>
      </w:pPr>
      <w:r w:rsidRPr="00C3577B">
        <w:rPr>
          <w:sz w:val="20"/>
          <w:szCs w:val="20"/>
        </w:rPr>
        <w:t>The Element ID, Length, and Element ID Extension fields are defined in 9.4.2.1 (General).</w:t>
      </w:r>
    </w:p>
    <w:p w14:paraId="61BBCAFF" w14:textId="77777777" w:rsidR="000A13CD" w:rsidRDefault="000A13CD" w:rsidP="00C3577B">
      <w:pPr>
        <w:pStyle w:val="Default"/>
        <w:jc w:val="both"/>
        <w:rPr>
          <w:sz w:val="20"/>
          <w:szCs w:val="20"/>
        </w:rPr>
      </w:pPr>
    </w:p>
    <w:p w14:paraId="705CB256" w14:textId="6FBB4408" w:rsidR="000A13CD" w:rsidRDefault="000A13CD" w:rsidP="00C3577B">
      <w:pPr>
        <w:pStyle w:val="Default"/>
        <w:jc w:val="both"/>
        <w:rPr>
          <w:sz w:val="20"/>
          <w:szCs w:val="20"/>
        </w:rPr>
      </w:pPr>
      <w:r w:rsidRPr="00184989">
        <w:rPr>
          <w:sz w:val="20"/>
          <w:szCs w:val="20"/>
        </w:rPr>
        <w:t xml:space="preserve">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</w:t>
      </w:r>
      <w:r w:rsidR="00B82B49">
        <w:rPr>
          <w:sz w:val="20"/>
          <w:szCs w:val="20"/>
        </w:rPr>
        <w:t xml:space="preserve">Presence </w:t>
      </w:r>
      <w:r>
        <w:rPr>
          <w:sz w:val="20"/>
          <w:szCs w:val="20"/>
        </w:rPr>
        <w:t xml:space="preserve">Indicator field represents which 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Of TID </w:t>
      </w:r>
      <w:r w:rsidRPr="00B03EFB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A value of 1 in bit position </w:t>
      </w:r>
      <w:r w:rsidRPr="00B03EFB">
        <w:rPr>
          <w:i/>
          <w:sz w:val="20"/>
          <w:szCs w:val="20"/>
        </w:rPr>
        <w:t>n</w:t>
      </w:r>
      <w:r w:rsidRPr="00184989">
        <w:rPr>
          <w:sz w:val="20"/>
          <w:szCs w:val="20"/>
        </w:rPr>
        <w:t xml:space="preserve"> of 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</w:t>
      </w:r>
      <w:proofErr w:type="spellStart"/>
      <w:r>
        <w:rPr>
          <w:sz w:val="20"/>
          <w:szCs w:val="20"/>
        </w:rPr>
        <w:t>Presense</w:t>
      </w:r>
      <w:proofErr w:type="spellEnd"/>
      <w:r>
        <w:rPr>
          <w:sz w:val="20"/>
          <w:szCs w:val="20"/>
        </w:rPr>
        <w:t xml:space="preserve"> Indicator field </w:t>
      </w:r>
      <w:r w:rsidRPr="00184989">
        <w:rPr>
          <w:sz w:val="20"/>
          <w:szCs w:val="20"/>
        </w:rPr>
        <w:t xml:space="preserve">means that </w:t>
      </w:r>
      <w:r>
        <w:rPr>
          <w:sz w:val="20"/>
          <w:szCs w:val="20"/>
        </w:rPr>
        <w:t xml:space="preserve">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Of TID </w:t>
      </w:r>
      <w:r w:rsidRPr="00B03EFB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BF6A87">
        <w:rPr>
          <w:sz w:val="20"/>
          <w:szCs w:val="20"/>
        </w:rPr>
        <w:t xml:space="preserve">field </w:t>
      </w:r>
      <w:r>
        <w:rPr>
          <w:sz w:val="20"/>
          <w:szCs w:val="20"/>
        </w:rPr>
        <w:t>is present</w:t>
      </w:r>
      <w:r w:rsidR="001A5DBC">
        <w:rPr>
          <w:sz w:val="20"/>
          <w:szCs w:val="20"/>
        </w:rPr>
        <w:t xml:space="preserve"> in the TID-to-Link Mapping element</w:t>
      </w:r>
      <w:r>
        <w:rPr>
          <w:sz w:val="20"/>
          <w:szCs w:val="20"/>
        </w:rPr>
        <w:t>. Otherw</w:t>
      </w:r>
      <w:r w:rsidR="00B82B49">
        <w:rPr>
          <w:sz w:val="20"/>
          <w:szCs w:val="20"/>
        </w:rPr>
        <w:t>i</w:t>
      </w:r>
      <w:r>
        <w:rPr>
          <w:sz w:val="20"/>
          <w:szCs w:val="20"/>
        </w:rPr>
        <w:t xml:space="preserve">se, 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Of TID </w:t>
      </w:r>
      <w:r w:rsidRPr="00B03EFB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BF6A87">
        <w:rPr>
          <w:sz w:val="20"/>
          <w:szCs w:val="20"/>
        </w:rPr>
        <w:t xml:space="preserve">field </w:t>
      </w:r>
      <w:r>
        <w:rPr>
          <w:sz w:val="20"/>
          <w:szCs w:val="20"/>
        </w:rPr>
        <w:t>is not present in the TID-to-Link Mapping element.</w:t>
      </w:r>
    </w:p>
    <w:p w14:paraId="7711A892" w14:textId="7B4E4EBD" w:rsidR="000A13CD" w:rsidRDefault="000A13CD" w:rsidP="00C3577B">
      <w:pPr>
        <w:pStyle w:val="Default"/>
        <w:jc w:val="both"/>
        <w:rPr>
          <w:sz w:val="20"/>
          <w:szCs w:val="20"/>
        </w:rPr>
      </w:pPr>
    </w:p>
    <w:p w14:paraId="690CA8DE" w14:textId="23EFB243" w:rsidR="00BF6A87" w:rsidRDefault="000A13CD" w:rsidP="00C3577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Of TID </w:t>
      </w:r>
      <w:r w:rsidRPr="00B03EFB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="0037357B">
        <w:rPr>
          <w:sz w:val="20"/>
          <w:szCs w:val="20"/>
        </w:rPr>
        <w:t xml:space="preserve">(where </w:t>
      </w:r>
      <w:r w:rsidR="0037357B" w:rsidRPr="008C4412">
        <w:rPr>
          <w:i/>
          <w:sz w:val="20"/>
          <w:szCs w:val="20"/>
        </w:rPr>
        <w:t>n</w:t>
      </w:r>
      <w:r w:rsidR="0037357B">
        <w:rPr>
          <w:sz w:val="20"/>
          <w:szCs w:val="20"/>
        </w:rPr>
        <w:t xml:space="preserve"> = 0,…,7</w:t>
      </w:r>
      <w:r w:rsidR="0037357B" w:rsidRPr="008C4412">
        <w:rPr>
          <w:sz w:val="20"/>
          <w:szCs w:val="20"/>
        </w:rPr>
        <w:t xml:space="preserve">) </w:t>
      </w:r>
      <w:r w:rsidR="0037357B">
        <w:rPr>
          <w:sz w:val="20"/>
          <w:szCs w:val="20"/>
        </w:rPr>
        <w:t xml:space="preserve">is 1 octet and the 4 LSBs of the DL Link Mapping Of TID </w:t>
      </w:r>
      <w:r w:rsidR="0037357B" w:rsidRPr="00B03EFB">
        <w:rPr>
          <w:i/>
          <w:sz w:val="20"/>
          <w:szCs w:val="20"/>
        </w:rPr>
        <w:t>n</w:t>
      </w:r>
      <w:r w:rsidR="0037357B">
        <w:rPr>
          <w:sz w:val="20"/>
          <w:szCs w:val="20"/>
        </w:rPr>
        <w:t xml:space="preserve"> field</w:t>
      </w:r>
      <w:r w:rsidR="00B45C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indicate </w:t>
      </w:r>
      <w:r w:rsidRPr="00462953">
        <w:rPr>
          <w:sz w:val="20"/>
          <w:szCs w:val="20"/>
        </w:rPr>
        <w:t>the link</w:t>
      </w:r>
      <w:r>
        <w:rPr>
          <w:sz w:val="20"/>
          <w:szCs w:val="20"/>
        </w:rPr>
        <w:t>s</w:t>
      </w:r>
      <w:r w:rsidRPr="00462953">
        <w:rPr>
          <w:sz w:val="20"/>
          <w:szCs w:val="20"/>
        </w:rPr>
        <w:t xml:space="preserve"> on which </w:t>
      </w:r>
      <w:r w:rsidR="00BF6A87">
        <w:rPr>
          <w:sz w:val="20"/>
          <w:szCs w:val="20"/>
        </w:rPr>
        <w:t xml:space="preserve">downlink </w:t>
      </w:r>
      <w:r w:rsidRPr="00462953">
        <w:rPr>
          <w:sz w:val="20"/>
          <w:szCs w:val="20"/>
        </w:rPr>
        <w:t xml:space="preserve">frames belonging to the TID </w:t>
      </w:r>
      <w:r w:rsidRPr="00E13A65"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462953">
        <w:rPr>
          <w:sz w:val="20"/>
          <w:szCs w:val="20"/>
        </w:rPr>
        <w:t>are sent.</w:t>
      </w:r>
      <w:r>
        <w:rPr>
          <w:sz w:val="20"/>
          <w:szCs w:val="20"/>
        </w:rPr>
        <w:t xml:space="preserve"> A value of 1 in bit position </w:t>
      </w:r>
      <w:proofErr w:type="spellStart"/>
      <w:r w:rsidR="00BF6A87" w:rsidRPr="00B03EFB">
        <w:rPr>
          <w:i/>
          <w:sz w:val="20"/>
          <w:szCs w:val="20"/>
        </w:rPr>
        <w:t>i</w:t>
      </w:r>
      <w:proofErr w:type="spellEnd"/>
      <w:r w:rsidRPr="00184989">
        <w:rPr>
          <w:sz w:val="20"/>
          <w:szCs w:val="20"/>
        </w:rPr>
        <w:t xml:space="preserve"> of the </w:t>
      </w:r>
      <w:r w:rsidR="00BF6A87">
        <w:rPr>
          <w:sz w:val="20"/>
          <w:szCs w:val="20"/>
        </w:rPr>
        <w:t xml:space="preserve">DL </w:t>
      </w:r>
      <w:r>
        <w:rPr>
          <w:sz w:val="20"/>
          <w:szCs w:val="20"/>
        </w:rPr>
        <w:t xml:space="preserve">Link Mapping Of TID </w:t>
      </w:r>
      <w:r w:rsidRPr="00B03EFB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Pr="00184989">
        <w:rPr>
          <w:sz w:val="20"/>
          <w:szCs w:val="20"/>
        </w:rPr>
        <w:t xml:space="preserve">means that </w:t>
      </w:r>
      <w:r w:rsidR="00BF6A87">
        <w:rPr>
          <w:sz w:val="20"/>
          <w:szCs w:val="20"/>
        </w:rPr>
        <w:t xml:space="preserve">the link associated with the link ID </w:t>
      </w:r>
      <w:proofErr w:type="spellStart"/>
      <w:r w:rsidR="00BF6A87">
        <w:rPr>
          <w:i/>
          <w:sz w:val="20"/>
          <w:szCs w:val="20"/>
        </w:rPr>
        <w:t>i</w:t>
      </w:r>
      <w:proofErr w:type="spellEnd"/>
      <w:r w:rsidR="00BF6A87">
        <w:rPr>
          <w:sz w:val="20"/>
          <w:szCs w:val="20"/>
        </w:rPr>
        <w:t xml:space="preserve"> is used for exchanging </w:t>
      </w:r>
      <w:r w:rsidR="001A5DBC">
        <w:rPr>
          <w:sz w:val="20"/>
          <w:szCs w:val="20"/>
        </w:rPr>
        <w:t xml:space="preserve">downlink </w:t>
      </w:r>
      <w:r w:rsidR="00BF6A87">
        <w:rPr>
          <w:sz w:val="20"/>
          <w:szCs w:val="20"/>
        </w:rPr>
        <w:t xml:space="preserve">frames belonging to the TID </w:t>
      </w:r>
      <w:r w:rsidR="00BF6A87" w:rsidRPr="00B03EFB">
        <w:rPr>
          <w:i/>
          <w:sz w:val="20"/>
          <w:szCs w:val="20"/>
        </w:rPr>
        <w:t>n</w:t>
      </w:r>
      <w:r w:rsidR="00BF6A87">
        <w:rPr>
          <w:sz w:val="20"/>
          <w:szCs w:val="20"/>
        </w:rPr>
        <w:t>.</w:t>
      </w:r>
      <w:r w:rsidR="00516CAD">
        <w:rPr>
          <w:sz w:val="20"/>
          <w:szCs w:val="20"/>
        </w:rPr>
        <w:t xml:space="preserve"> </w:t>
      </w:r>
      <w:r w:rsidR="0037357B">
        <w:rPr>
          <w:sz w:val="20"/>
          <w:szCs w:val="20"/>
        </w:rPr>
        <w:t>T</w:t>
      </w:r>
      <w:r w:rsidR="0037357B" w:rsidRPr="008C4412">
        <w:rPr>
          <w:sz w:val="20"/>
          <w:szCs w:val="20"/>
        </w:rPr>
        <w:t xml:space="preserve">he </w:t>
      </w:r>
      <w:r w:rsidR="0037357B">
        <w:rPr>
          <w:sz w:val="20"/>
          <w:szCs w:val="20"/>
        </w:rPr>
        <w:t>4</w:t>
      </w:r>
      <w:r w:rsidR="0037357B" w:rsidRPr="008C4412">
        <w:rPr>
          <w:sz w:val="20"/>
          <w:szCs w:val="20"/>
        </w:rPr>
        <w:t xml:space="preserve"> MSBs of the </w:t>
      </w:r>
      <w:r w:rsidR="0037357B">
        <w:rPr>
          <w:sz w:val="20"/>
          <w:szCs w:val="20"/>
        </w:rPr>
        <w:t xml:space="preserve">DL Link Mapping Of TID </w:t>
      </w:r>
      <w:r w:rsidR="0037357B" w:rsidRPr="00B03EFB">
        <w:rPr>
          <w:i/>
          <w:sz w:val="20"/>
          <w:szCs w:val="20"/>
        </w:rPr>
        <w:t>n</w:t>
      </w:r>
      <w:r w:rsidR="0037357B">
        <w:rPr>
          <w:sz w:val="20"/>
          <w:szCs w:val="20"/>
        </w:rPr>
        <w:t xml:space="preserve"> field</w:t>
      </w:r>
      <w:r w:rsidR="0037357B" w:rsidRPr="008C4412">
        <w:rPr>
          <w:sz w:val="20"/>
          <w:szCs w:val="20"/>
        </w:rPr>
        <w:t xml:space="preserve"> are reserved.</w:t>
      </w:r>
      <w:r w:rsidR="0037357B">
        <w:rPr>
          <w:sz w:val="20"/>
          <w:szCs w:val="20"/>
        </w:rPr>
        <w:t xml:space="preserve"> </w:t>
      </w:r>
    </w:p>
    <w:p w14:paraId="133F7BDC" w14:textId="77777777" w:rsidR="00BF6A87" w:rsidRDefault="00BF6A87" w:rsidP="00C3577B">
      <w:pPr>
        <w:pStyle w:val="Default"/>
        <w:jc w:val="both"/>
        <w:rPr>
          <w:sz w:val="20"/>
          <w:szCs w:val="20"/>
        </w:rPr>
      </w:pPr>
    </w:p>
    <w:p w14:paraId="1F34F7BB" w14:textId="40EB5BA6" w:rsidR="001A5DBC" w:rsidRDefault="001A5DBC" w:rsidP="00C3577B">
      <w:pPr>
        <w:pStyle w:val="Default"/>
        <w:jc w:val="both"/>
        <w:rPr>
          <w:sz w:val="20"/>
          <w:szCs w:val="20"/>
        </w:rPr>
      </w:pPr>
      <w:r w:rsidRPr="00184989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UL Link Mapping </w:t>
      </w:r>
      <w:r w:rsidR="002B019A">
        <w:rPr>
          <w:sz w:val="20"/>
          <w:szCs w:val="20"/>
        </w:rPr>
        <w:t xml:space="preserve">Presence </w:t>
      </w:r>
      <w:r>
        <w:rPr>
          <w:sz w:val="20"/>
          <w:szCs w:val="20"/>
        </w:rPr>
        <w:t xml:space="preserve">Indicator field represents which the UL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A value of 1 in bit position </w:t>
      </w:r>
      <w:r w:rsidRPr="00462953">
        <w:rPr>
          <w:i/>
          <w:sz w:val="20"/>
          <w:szCs w:val="20"/>
        </w:rPr>
        <w:t>n</w:t>
      </w:r>
      <w:r w:rsidRPr="00184989">
        <w:rPr>
          <w:sz w:val="20"/>
          <w:szCs w:val="20"/>
        </w:rPr>
        <w:t xml:space="preserve"> of the </w:t>
      </w:r>
      <w:r>
        <w:rPr>
          <w:sz w:val="20"/>
          <w:szCs w:val="20"/>
        </w:rPr>
        <w:t xml:space="preserve">UL Link Mapping </w:t>
      </w:r>
      <w:proofErr w:type="spellStart"/>
      <w:r>
        <w:rPr>
          <w:sz w:val="20"/>
          <w:szCs w:val="20"/>
        </w:rPr>
        <w:t>Presense</w:t>
      </w:r>
      <w:proofErr w:type="spellEnd"/>
      <w:r>
        <w:rPr>
          <w:sz w:val="20"/>
          <w:szCs w:val="20"/>
        </w:rPr>
        <w:t xml:space="preserve"> Indicator field </w:t>
      </w:r>
      <w:r w:rsidRPr="00184989">
        <w:rPr>
          <w:sz w:val="20"/>
          <w:szCs w:val="20"/>
        </w:rPr>
        <w:t xml:space="preserve">means that </w:t>
      </w:r>
      <w:r>
        <w:rPr>
          <w:sz w:val="20"/>
          <w:szCs w:val="20"/>
        </w:rPr>
        <w:t xml:space="preserve">the UL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Otherw</w:t>
      </w:r>
      <w:r w:rsidR="002B019A">
        <w:rPr>
          <w:sz w:val="20"/>
          <w:szCs w:val="20"/>
        </w:rPr>
        <w:t>i</w:t>
      </w:r>
      <w:r>
        <w:rPr>
          <w:sz w:val="20"/>
          <w:szCs w:val="20"/>
        </w:rPr>
        <w:t xml:space="preserve">se, the UL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TID-to-Link Mapping element.</w:t>
      </w:r>
    </w:p>
    <w:p w14:paraId="4E107EF9" w14:textId="77777777" w:rsidR="001A5DBC" w:rsidRDefault="001A5DBC" w:rsidP="00C3577B">
      <w:pPr>
        <w:pStyle w:val="Default"/>
        <w:jc w:val="both"/>
        <w:rPr>
          <w:sz w:val="20"/>
          <w:szCs w:val="20"/>
        </w:rPr>
      </w:pPr>
    </w:p>
    <w:p w14:paraId="4C98DBCC" w14:textId="4F410B81" w:rsidR="001A5DBC" w:rsidRDefault="001A5DBC" w:rsidP="00B45C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UL Link Mapping Of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="00B45C45">
        <w:rPr>
          <w:sz w:val="20"/>
          <w:szCs w:val="20"/>
        </w:rPr>
        <w:t xml:space="preserve">(where </w:t>
      </w:r>
      <w:r w:rsidR="00B45C45" w:rsidRPr="008C4412">
        <w:rPr>
          <w:i/>
          <w:sz w:val="20"/>
          <w:szCs w:val="20"/>
        </w:rPr>
        <w:t>n</w:t>
      </w:r>
      <w:r w:rsidR="00B45C45">
        <w:rPr>
          <w:sz w:val="20"/>
          <w:szCs w:val="20"/>
        </w:rPr>
        <w:t xml:space="preserve"> = 0,…,7</w:t>
      </w:r>
      <w:r w:rsidR="00B45C45" w:rsidRPr="008C4412">
        <w:rPr>
          <w:sz w:val="20"/>
          <w:szCs w:val="20"/>
        </w:rPr>
        <w:t>)</w:t>
      </w:r>
      <w:r w:rsidR="00B45C45">
        <w:rPr>
          <w:sz w:val="20"/>
          <w:szCs w:val="20"/>
        </w:rPr>
        <w:t xml:space="preserve"> is 1 octet and the 4 LSBs of the UL Link Mapping Of TID </w:t>
      </w:r>
      <w:r w:rsidR="00B45C45" w:rsidRPr="00B03EFB">
        <w:rPr>
          <w:i/>
          <w:sz w:val="20"/>
          <w:szCs w:val="20"/>
        </w:rPr>
        <w:t>n</w:t>
      </w:r>
      <w:r w:rsidR="00B45C45">
        <w:rPr>
          <w:sz w:val="20"/>
          <w:szCs w:val="20"/>
        </w:rPr>
        <w:t xml:space="preserve"> </w:t>
      </w:r>
      <w:proofErr w:type="spellStart"/>
      <w:r w:rsidR="00B45C45">
        <w:rPr>
          <w:sz w:val="20"/>
          <w:szCs w:val="20"/>
        </w:rPr>
        <w:t>field</w:t>
      </w:r>
      <w:r>
        <w:rPr>
          <w:sz w:val="20"/>
          <w:szCs w:val="20"/>
        </w:rPr>
        <w:t>indicate</w:t>
      </w:r>
      <w:proofErr w:type="spellEnd"/>
      <w:r>
        <w:rPr>
          <w:sz w:val="20"/>
          <w:szCs w:val="20"/>
        </w:rPr>
        <w:t xml:space="preserve"> </w:t>
      </w:r>
      <w:r w:rsidRPr="00462953">
        <w:rPr>
          <w:sz w:val="20"/>
          <w:szCs w:val="20"/>
        </w:rPr>
        <w:t>the link</w:t>
      </w:r>
      <w:r>
        <w:rPr>
          <w:sz w:val="20"/>
          <w:szCs w:val="20"/>
        </w:rPr>
        <w:t>s</w:t>
      </w:r>
      <w:r w:rsidRPr="00462953">
        <w:rPr>
          <w:sz w:val="20"/>
          <w:szCs w:val="20"/>
        </w:rPr>
        <w:t xml:space="preserve"> on which </w:t>
      </w:r>
      <w:r>
        <w:rPr>
          <w:sz w:val="20"/>
          <w:szCs w:val="20"/>
        </w:rPr>
        <w:t xml:space="preserve">uplink </w:t>
      </w:r>
      <w:r w:rsidRPr="00462953">
        <w:rPr>
          <w:sz w:val="20"/>
          <w:szCs w:val="20"/>
        </w:rPr>
        <w:t xml:space="preserve">frames belonging to the TID </w:t>
      </w:r>
      <w:r w:rsidRPr="00E13A65"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462953">
        <w:rPr>
          <w:sz w:val="20"/>
          <w:szCs w:val="20"/>
        </w:rPr>
        <w:t>are sent.</w:t>
      </w:r>
      <w:r>
        <w:rPr>
          <w:sz w:val="20"/>
          <w:szCs w:val="20"/>
        </w:rPr>
        <w:t xml:space="preserve"> A value of 1 in bit position </w:t>
      </w:r>
      <w:proofErr w:type="spellStart"/>
      <w:r w:rsidRPr="00462953">
        <w:rPr>
          <w:i/>
          <w:sz w:val="20"/>
          <w:szCs w:val="20"/>
        </w:rPr>
        <w:t>i</w:t>
      </w:r>
      <w:proofErr w:type="spellEnd"/>
      <w:r w:rsidRPr="00184989">
        <w:rPr>
          <w:sz w:val="20"/>
          <w:szCs w:val="20"/>
        </w:rPr>
        <w:t xml:space="preserve"> of the </w:t>
      </w:r>
      <w:r>
        <w:rPr>
          <w:sz w:val="20"/>
          <w:szCs w:val="20"/>
        </w:rPr>
        <w:t xml:space="preserve">UL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</w:t>
      </w:r>
      <w:r w:rsidRPr="00184989">
        <w:rPr>
          <w:sz w:val="20"/>
          <w:szCs w:val="20"/>
        </w:rPr>
        <w:t xml:space="preserve">means that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is used for exchanging uplink frames belonging to the TID </w:t>
      </w:r>
      <w:r w:rsidRPr="00462953">
        <w:rPr>
          <w:i/>
          <w:sz w:val="20"/>
          <w:szCs w:val="20"/>
        </w:rPr>
        <w:t>n</w:t>
      </w:r>
      <w:r>
        <w:rPr>
          <w:sz w:val="20"/>
          <w:szCs w:val="20"/>
        </w:rPr>
        <w:t>.</w:t>
      </w:r>
      <w:r w:rsidR="00AC4E18">
        <w:rPr>
          <w:sz w:val="20"/>
          <w:szCs w:val="20"/>
        </w:rPr>
        <w:t xml:space="preserve"> </w:t>
      </w:r>
      <w:r w:rsidR="00B45C45">
        <w:rPr>
          <w:sz w:val="20"/>
          <w:szCs w:val="20"/>
        </w:rPr>
        <w:t>T</w:t>
      </w:r>
      <w:r w:rsidR="00B45C45" w:rsidRPr="008C4412">
        <w:rPr>
          <w:sz w:val="20"/>
          <w:szCs w:val="20"/>
        </w:rPr>
        <w:t xml:space="preserve">he </w:t>
      </w:r>
      <w:r w:rsidR="00B45C45">
        <w:rPr>
          <w:sz w:val="20"/>
          <w:szCs w:val="20"/>
        </w:rPr>
        <w:t>4</w:t>
      </w:r>
      <w:r w:rsidR="00B45C45" w:rsidRPr="008C4412">
        <w:rPr>
          <w:sz w:val="20"/>
          <w:szCs w:val="20"/>
        </w:rPr>
        <w:t xml:space="preserve"> MSBs of the </w:t>
      </w:r>
      <w:r w:rsidR="00B45C45">
        <w:rPr>
          <w:sz w:val="20"/>
          <w:szCs w:val="20"/>
        </w:rPr>
        <w:t xml:space="preserve">UL Link Mapping </w:t>
      </w:r>
      <w:proofErr w:type="gramStart"/>
      <w:r w:rsidR="00B45C45">
        <w:rPr>
          <w:sz w:val="20"/>
          <w:szCs w:val="20"/>
        </w:rPr>
        <w:t>Of</w:t>
      </w:r>
      <w:proofErr w:type="gramEnd"/>
      <w:r w:rsidR="00B45C45">
        <w:rPr>
          <w:sz w:val="20"/>
          <w:szCs w:val="20"/>
        </w:rPr>
        <w:t xml:space="preserve"> TID </w:t>
      </w:r>
      <w:r w:rsidR="00B45C45" w:rsidRPr="00B03EFB">
        <w:rPr>
          <w:i/>
          <w:sz w:val="20"/>
          <w:szCs w:val="20"/>
        </w:rPr>
        <w:t>n</w:t>
      </w:r>
      <w:r w:rsidR="00B45C45">
        <w:rPr>
          <w:sz w:val="20"/>
          <w:szCs w:val="20"/>
        </w:rPr>
        <w:t xml:space="preserve"> field</w:t>
      </w:r>
      <w:r w:rsidR="00B45C45" w:rsidRPr="008C4412">
        <w:rPr>
          <w:sz w:val="20"/>
          <w:szCs w:val="20"/>
        </w:rPr>
        <w:t xml:space="preserve"> are reserved.</w:t>
      </w: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D8574E4" w14:textId="77777777" w:rsidR="00A12A5A" w:rsidRDefault="00A12A5A" w:rsidP="00A12A5A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9.6:</w:t>
      </w:r>
    </w:p>
    <w:p w14:paraId="12D78EE8" w14:textId="35E26A89" w:rsidR="00BE7F0C" w:rsidRDefault="00BE7F0C" w:rsidP="00B2542D">
      <w:pPr>
        <w:pStyle w:val="H3"/>
        <w:rPr>
          <w:w w:val="100"/>
        </w:rPr>
      </w:pPr>
      <w:bookmarkStart w:id="12" w:name="RTF32393639323a2048332c312e"/>
      <w:r>
        <w:rPr>
          <w:w w:val="100"/>
        </w:rPr>
        <w:t>9.6.36</w:t>
      </w:r>
      <w:r w:rsidR="001B5A9F">
        <w:rPr>
          <w:w w:val="100"/>
        </w:rPr>
        <w:t xml:space="preserve"> TID-to-Link Mapping Action frame details</w:t>
      </w:r>
    </w:p>
    <w:p w14:paraId="5C7E2E2A" w14:textId="120A617D" w:rsidR="001B5A9F" w:rsidRDefault="001B5A9F" w:rsidP="00B2542D">
      <w:pPr>
        <w:pStyle w:val="H3"/>
        <w:rPr>
          <w:w w:val="100"/>
        </w:rPr>
      </w:pPr>
      <w:r>
        <w:rPr>
          <w:w w:val="100"/>
        </w:rPr>
        <w:t>9.6.36.1 General</w:t>
      </w:r>
    </w:p>
    <w:p w14:paraId="614CBCE2" w14:textId="0D91A59F" w:rsidR="001B5A9F" w:rsidRDefault="00442556" w:rsidP="00442556">
      <w:pPr>
        <w:pStyle w:val="T"/>
        <w:rPr>
          <w:lang w:eastAsia="en-US"/>
        </w:rPr>
      </w:pPr>
      <w:r>
        <w:rPr>
          <w:lang w:eastAsia="en-US"/>
        </w:rPr>
        <w:t>Several Action field formats are defined to support the TID-to-Link Mapping negotiation. A TID-to-Link Mapping Action field, in the octet immediately after the Category field, differentiates the TID-to-Link Mapping Action field formats. The TID-to-Link Mapping Action field values associated with each Action field format within the TID-to-Link Mapping category are defined in Table 9-526s (TID-to-Link Mapping Action field values).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0E8F07EA" w:rsidR="000F7932" w:rsidRDefault="0040406C" w:rsidP="00442556">
            <w:pPr>
              <w:pStyle w:val="TableTitle"/>
            </w:pPr>
            <w:bookmarkStart w:id="13" w:name="RTF33383334343a205461626c65"/>
            <w:r>
              <w:rPr>
                <w:w w:val="100"/>
              </w:rPr>
              <w:t xml:space="preserve">Table 9-526s – </w:t>
            </w:r>
            <w:r w:rsidR="000F7932">
              <w:rPr>
                <w:w w:val="100"/>
              </w:rPr>
              <w:t>TID-to-Link Mapping Action field values</w:t>
            </w:r>
            <w:bookmarkEnd w:id="1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30FEAC8D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6CE61374" w:rsidR="000F7932" w:rsidRDefault="000F7932" w:rsidP="00B2542D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Default="000F7932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38B4A6C2" w:rsidR="000F7932" w:rsidRDefault="000F7932" w:rsidP="000F7932">
            <w:pPr>
              <w:pStyle w:val="CellBody"/>
            </w:pPr>
            <w:r>
              <w:rPr>
                <w:w w:val="100"/>
              </w:rPr>
              <w:t xml:space="preserve">TID-to-Link Mapping Request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1EDB201" w:rsidR="000F7932" w:rsidRDefault="000F7932" w:rsidP="000F7932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0F7932" w:rsidRDefault="000F7932" w:rsidP="00B2542D">
            <w:pPr>
              <w:pStyle w:val="CellBody"/>
            </w:pPr>
            <w:r>
              <w:rPr>
                <w:w w:val="100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6EE22262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Yes</w:t>
            </w:r>
          </w:p>
        </w:tc>
      </w:tr>
      <w:tr w:rsidR="000F7932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0C6A9C1B" w:rsidR="000F7932" w:rsidRDefault="00B2542D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  <w:r w:rsidR="000F7932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58ABE690" w14:textId="77777777" w:rsidR="000F7932" w:rsidRPr="00442556" w:rsidRDefault="000F7932" w:rsidP="00B2542D">
      <w:pPr>
        <w:pStyle w:val="T"/>
        <w:rPr>
          <w:lang w:val="en-GB" w:eastAsia="en-US"/>
        </w:rPr>
      </w:pPr>
    </w:p>
    <w:p w14:paraId="13E222D3" w14:textId="77756240" w:rsidR="00A12A5A" w:rsidRDefault="00BE7F0C" w:rsidP="00B2542D">
      <w:pPr>
        <w:pStyle w:val="H3"/>
        <w:rPr>
          <w:w w:val="100"/>
        </w:rPr>
      </w:pPr>
      <w:r>
        <w:rPr>
          <w:w w:val="100"/>
        </w:rPr>
        <w:t xml:space="preserve">9.6.36.1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"/>
    </w:p>
    <w:p w14:paraId="026AF378" w14:textId="2867C794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an MLD uses the TID-to-Link Mapping Request frame to </w:t>
      </w:r>
      <w:r w:rsidR="004148A4">
        <w:t>setup a TID-to-link mapping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526t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5299A91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9-526t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00E6EFA5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3B3EB06D" w:rsidR="000F7932" w:rsidRDefault="000F7932" w:rsidP="00B2542D">
            <w:pPr>
              <w:pStyle w:val="CellBody"/>
            </w:pPr>
            <w:r>
              <w:rPr>
                <w:w w:val="100"/>
              </w:rPr>
              <w:t>TID-to-Link Mapping (see 9.4.2.247d (TID-to-Link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6919D262" w14:textId="018A1C4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non-AP STA sending </w:t>
      </w:r>
      <w:r>
        <w:rPr>
          <w:w w:val="100"/>
        </w:rPr>
        <w:t xml:space="preserve">the AID Switch Request frame to </w:t>
      </w:r>
      <w:r w:rsidRPr="00B2542D">
        <w:rPr>
          <w:w w:val="100"/>
        </w:rPr>
        <w:t>identify the request/response transaction.</w:t>
      </w:r>
    </w:p>
    <w:p w14:paraId="2A6A6FC3" w14:textId="5C9C28D0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>contains a</w:t>
      </w:r>
      <w:r>
        <w:rPr>
          <w:w w:val="100"/>
        </w:rPr>
        <w:t xml:space="preserve"> TID-to-Link Mapping </w:t>
      </w:r>
      <w:r w:rsidRPr="00B2542D">
        <w:rPr>
          <w:w w:val="100"/>
        </w:rPr>
        <w:t>element as specified in 9.4.2.193 (</w:t>
      </w:r>
      <w:r>
        <w:rPr>
          <w:w w:val="100"/>
        </w:rPr>
        <w:t xml:space="preserve">TID-to-Link Mapping) element)). 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69EF4E5D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.36</w:t>
      </w:r>
      <w:r>
        <w:rPr>
          <w:w w:val="100"/>
        </w:rPr>
        <w:t>.</w:t>
      </w:r>
      <w:r w:rsidR="001B5A9F">
        <w:rPr>
          <w:w w:val="100"/>
        </w:rPr>
        <w:t>2</w:t>
      </w:r>
      <w:r>
        <w:rPr>
          <w:w w:val="100"/>
        </w:rPr>
        <w:t xml:space="preserve"> TID-to-Link Mapping Response frame format </w:t>
      </w:r>
    </w:p>
    <w:p w14:paraId="721EBE36" w14:textId="13316BD7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 xml:space="preserve">The TID-to-Link Mapping Response frame is sent by a STA affiliated to a MLD in response to a TID-to-Link Mapping Request frame, or sent by a STA affiliated to a MLD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526u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6BF8EF88" w:rsidR="000F7932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9-526u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462953" w14:paraId="7F1DCA06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038D5B4B" w:rsidR="000F7932" w:rsidRDefault="000F7932" w:rsidP="00442556">
            <w:pPr>
              <w:pStyle w:val="CellBody"/>
            </w:pPr>
            <w:r>
              <w:rPr>
                <w:w w:val="100"/>
              </w:rPr>
              <w:t>TID-to-Link Mapping (see 9.4.2.247d (TID-to-Link Mapping element))</w:t>
            </w:r>
            <w:r w:rsidR="00243814">
              <w:rPr>
                <w:w w:val="100"/>
              </w:rPr>
              <w:t xml:space="preserve"> (Optional)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1ADE9ED1" w:rsidR="00AB0FFA" w:rsidRDefault="00AB0FFA" w:rsidP="00AB0FFA">
      <w:pPr>
        <w:pStyle w:val="T"/>
        <w:rPr>
          <w:w w:val="100"/>
        </w:rPr>
      </w:pPr>
      <w:r w:rsidRPr="009D07D7">
        <w:rPr>
          <w:w w:val="100"/>
        </w:rPr>
        <w:t>The TID-to-Link Mapping field contains a TID-to-Link Mapping element as specified in 9.4.2.193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The TID-to-Link Mapping field is present in the TID-to-Link Mapping Response frame when the Status Code is set to </w:t>
      </w:r>
      <w:r w:rsidR="000447AC" w:rsidRPr="00361D9D">
        <w:rPr>
          <w:color w:val="FF0000"/>
        </w:rPr>
        <w:t>&lt;ANA&gt; (DENIED_TID-TO-LINK_MAPPING)</w:t>
      </w:r>
      <w:r w:rsidR="004148A4" w:rsidRPr="009D07D7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292640F6" w:rsidR="001B5A9F" w:rsidRDefault="001B5A9F" w:rsidP="00442556">
      <w:pPr>
        <w:pStyle w:val="H3"/>
        <w:numPr>
          <w:ilvl w:val="3"/>
          <w:numId w:val="24"/>
        </w:numPr>
        <w:rPr>
          <w:w w:val="100"/>
        </w:rPr>
      </w:pPr>
      <w:r>
        <w:rPr>
          <w:w w:val="100"/>
        </w:rPr>
        <w:lastRenderedPageBreak/>
        <w:t xml:space="preserve">TID-to-Link Mapping Teardown frame format </w:t>
      </w:r>
    </w:p>
    <w:p w14:paraId="2D13F3D0" w14:textId="576EEC2D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a MLD </w:t>
      </w:r>
      <w:r>
        <w:t>to request the teardown of an existing TID-to-link mapping agreement. The Action field of the TID-to-Link Mapping Teardown frame contains the information shown in Table 9-526v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33CA6B5F" w:rsidR="00243814" w:rsidRDefault="0040406C" w:rsidP="00442556">
            <w:pPr>
              <w:pStyle w:val="TableTitle"/>
            </w:pPr>
            <w:r>
              <w:rPr>
                <w:w w:val="100"/>
              </w:rPr>
              <w:t xml:space="preserve">Table 9-526v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>TID-to-Link Mapping Action</w:t>
            </w:r>
          </w:p>
        </w:tc>
      </w:tr>
      <w:tr w:rsidR="00243814" w:rsidRPr="00462953" w14:paraId="3EA1AFEA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0AADDB33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TID-to-Link Mapping Action field is defined in 9.6.36.1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By default, all TIDs shall be mapped to all setup links for both UL and DL (see 35.3.6.1.2 (Default mapping mode)). </w:t>
      </w: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3580D5AD" w14:textId="18560CD1" w:rsidR="00B115AC" w:rsidRDefault="006F5371" w:rsidP="009D07D7">
      <w:pPr>
        <w:pStyle w:val="T"/>
        <w:rPr>
          <w:color w:val="FF0000"/>
          <w:u w:val="single"/>
        </w:rPr>
      </w:pPr>
      <w:r w:rsidRPr="006F5371">
        <w:rPr>
          <w:color w:val="FF0000"/>
          <w:u w:val="single"/>
        </w:rPr>
        <w:t>When both MLDs</w:t>
      </w:r>
      <w:r w:rsidR="00624AA7">
        <w:rPr>
          <w:color w:val="FF0000"/>
          <w:u w:val="single"/>
        </w:rPr>
        <w:t xml:space="preserve"> </w:t>
      </w:r>
      <w:r w:rsidR="00624AA7" w:rsidRPr="006F5371">
        <w:rPr>
          <w:color w:val="FF0000"/>
          <w:u w:val="single"/>
        </w:rPr>
        <w:t xml:space="preserve">have not explicitly negotiated a </w:t>
      </w:r>
      <w:r w:rsidR="00624AA7">
        <w:rPr>
          <w:color w:val="FF0000"/>
          <w:u w:val="single"/>
        </w:rPr>
        <w:t xml:space="preserve">TID-to-link </w:t>
      </w:r>
      <w:r w:rsidR="00624AA7" w:rsidRPr="006F5371">
        <w:rPr>
          <w:color w:val="FF0000"/>
          <w:u w:val="single"/>
        </w:rPr>
        <w:t xml:space="preserve">mapping by </w:t>
      </w:r>
      <w:r w:rsidR="00624AA7">
        <w:rPr>
          <w:color w:val="FF0000"/>
          <w:u w:val="single"/>
        </w:rPr>
        <w:t xml:space="preserve">the </w:t>
      </w:r>
      <w:r w:rsidR="00624AA7" w:rsidRPr="006F5371">
        <w:rPr>
          <w:color w:val="FF0000"/>
          <w:u w:val="single"/>
        </w:rPr>
        <w:t>following procedure defined in 35.3.6.1.3 (Negotiation of TID-to-link mapping), the MLDs shall operate in default mapping mode (see 35.3.6.1.2 (Default mapping mode)).</w:t>
      </w:r>
      <w:r w:rsidR="00B115AC">
        <w:rPr>
          <w:color w:val="FF0000"/>
          <w:u w:val="single"/>
        </w:rPr>
        <w:t xml:space="preserve"> 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lastRenderedPageBreak/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C9377F1" w14:textId="423987A1" w:rsidR="00B115AC" w:rsidRDefault="00036E60" w:rsidP="006F5371">
      <w:pPr>
        <w:pStyle w:val="T"/>
        <w:rPr>
          <w:color w:val="auto"/>
        </w:rPr>
      </w:pPr>
      <w:r w:rsidRPr="00213E9E">
        <w:rPr>
          <w:color w:val="auto"/>
        </w:rPr>
        <w:t xml:space="preserve">A MLD may support TID-to-link mapping negotiation. A MLD that supports TID-to-link mapping negotiation has </w:t>
      </w:r>
      <w:r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to 1 </w:t>
      </w:r>
      <w:r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Pr="00213E9E">
        <w:rPr>
          <w:color w:val="auto"/>
        </w:rPr>
        <w:t>Mapping Negotiation Supported subfield in the EHT MAC Capabilities Information field of the EHT Capabilities element that it transmits.</w:t>
      </w:r>
      <w:r w:rsidR="004551E7">
        <w:rPr>
          <w:color w:val="auto"/>
        </w:rPr>
        <w:t xml:space="preserve"> </w:t>
      </w:r>
      <w:r w:rsidRPr="00036E60">
        <w:rPr>
          <w:color w:val="auto"/>
        </w:rPr>
        <w:t xml:space="preserve">Otherwise it shall set the </w:t>
      </w:r>
      <w:proofErr w:type="spellStart"/>
      <w:r w:rsidR="004551E7" w:rsidRPr="00462953">
        <w:rPr>
          <w:color w:val="auto"/>
        </w:rPr>
        <w:t>the</w:t>
      </w:r>
      <w:proofErr w:type="spellEnd"/>
      <w:r w:rsidR="004551E7" w:rsidRPr="00462953">
        <w:rPr>
          <w:color w:val="auto"/>
        </w:rPr>
        <w:t xml:space="preserve"> TID-to-Link Mapping Negotiation Supported subfield</w:t>
      </w:r>
      <w:r w:rsidR="004551E7" w:rsidRPr="00036E60">
        <w:rPr>
          <w:color w:val="auto"/>
        </w:rPr>
        <w:t xml:space="preserve"> </w:t>
      </w:r>
      <w:r w:rsidRPr="00036E60">
        <w:rPr>
          <w:color w:val="auto"/>
        </w:rPr>
        <w:t>to 0.</w:t>
      </w:r>
      <w:r>
        <w:rPr>
          <w:color w:val="auto"/>
        </w:rPr>
        <w:t xml:space="preserve"> </w:t>
      </w:r>
    </w:p>
    <w:p w14:paraId="4F7331A9" w14:textId="697F8360" w:rsidR="00736C9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TID-to-link mapping </w:t>
      </w:r>
      <w:proofErr w:type="spellStart"/>
      <w:r>
        <w:rPr>
          <w:color w:val="auto"/>
        </w:rPr>
        <w:t>neogitation</w:t>
      </w:r>
      <w:proofErr w:type="spellEnd"/>
      <w:r>
        <w:rPr>
          <w:color w:val="auto"/>
        </w:rPr>
        <w:t xml:space="preserve"> by include the </w:t>
      </w:r>
      <w:proofErr w:type="spellStart"/>
      <w:r w:rsidR="007D1769">
        <w:rPr>
          <w:color w:val="auto"/>
        </w:rPr>
        <w:t>the</w:t>
      </w:r>
      <w:proofErr w:type="spellEnd"/>
      <w:r w:rsidR="007D1769">
        <w:rPr>
          <w:color w:val="auto"/>
        </w:rPr>
        <w:t xml:space="preserve"> TID-to-Link Mapping element in the </w:t>
      </w:r>
      <w:r w:rsidR="002302DB">
        <w:rPr>
          <w:color w:val="auto"/>
        </w:rPr>
        <w:t>(Re</w:t>
      </w:r>
      <w:proofErr w:type="gramStart"/>
      <w:r w:rsidR="002302DB">
        <w:rPr>
          <w:color w:val="auto"/>
        </w:rPr>
        <w:t>)</w:t>
      </w:r>
      <w:r w:rsidR="007D1769">
        <w:rPr>
          <w:color w:val="auto"/>
        </w:rPr>
        <w:t>Association</w:t>
      </w:r>
      <w:proofErr w:type="gramEnd"/>
      <w:r w:rsidR="007D1769">
        <w:rPr>
          <w:color w:val="auto"/>
        </w:rPr>
        <w:t xml:space="preserve">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1FD7A379" w14:textId="64833B26" w:rsidR="002302DB" w:rsidRPr="00DF3A07" w:rsidRDefault="002302DB" w:rsidP="006F5371">
      <w:pPr>
        <w:pStyle w:val="T"/>
      </w:pPr>
      <w:r>
        <w:t xml:space="preserve">After receiving the (Re)Association Request frame containing the TID-to-Link Mapping element, if the AP MLD accepts the requested link mapping in the TID-to-Link Mapping element in the received TID-to-Link Mapping Request frame, it shall </w:t>
      </w:r>
      <w:r w:rsidR="003A614D">
        <w:t xml:space="preserve">reply to the (Re)Association Request frame according to </w:t>
      </w:r>
      <w:r w:rsidR="003A614D" w:rsidRPr="003A614D">
        <w:t xml:space="preserve">11.3.5.3 </w:t>
      </w:r>
      <w:r w:rsidR="003A614D">
        <w:t>(</w:t>
      </w:r>
      <w:r w:rsidR="003A614D" w:rsidRPr="003A614D">
        <w:t>AP or PCP association receipt procedures</w:t>
      </w:r>
      <w:r w:rsidR="003A614D">
        <w:t>)</w:t>
      </w:r>
      <w:r w:rsidR="003A614D" w:rsidRPr="003A614D">
        <w:t xml:space="preserve"> and 11.3.5.5 </w:t>
      </w:r>
      <w:r w:rsidR="003A614D">
        <w:t>(</w:t>
      </w:r>
      <w:r w:rsidR="003A614D" w:rsidRPr="003A614D">
        <w:t xml:space="preserve">AP or PCP </w:t>
      </w:r>
      <w:proofErr w:type="spellStart"/>
      <w:r w:rsidR="003A614D" w:rsidRPr="003A614D">
        <w:t>reassociation</w:t>
      </w:r>
      <w:proofErr w:type="spellEnd"/>
      <w:r w:rsidR="003A614D" w:rsidRPr="003A614D">
        <w:t xml:space="preserve"> receipt procedures</w:t>
      </w:r>
      <w:r w:rsidR="003A614D">
        <w:t xml:space="preserve">). </w:t>
      </w:r>
      <w:r w:rsidR="002A35BD">
        <w:t xml:space="preserve">Otherwise, </w:t>
      </w:r>
      <w:r>
        <w:t xml:space="preserve">the </w:t>
      </w:r>
      <w:r w:rsidR="002A35BD">
        <w:t xml:space="preserve">AP MLD </w:t>
      </w:r>
      <w:r>
        <w:t xml:space="preserve">shall indicate rejection of the proposed mapping by setting to </w:t>
      </w:r>
      <w:r w:rsidR="009225A1" w:rsidRPr="00DF3A07">
        <w:rPr>
          <w:color w:val="FF0000"/>
        </w:rPr>
        <w:t xml:space="preserve">&lt;ANA&gt; </w:t>
      </w:r>
      <w:r w:rsidRPr="00DF3A07">
        <w:rPr>
          <w:color w:val="FF0000"/>
        </w:rPr>
        <w:t>(</w:t>
      </w:r>
      <w:r w:rsidR="009225A1" w:rsidRPr="00DF3A07">
        <w:rPr>
          <w:color w:val="FF0000"/>
        </w:rPr>
        <w:t>DENIED_TID-TO-LINK_MAPPING</w:t>
      </w:r>
      <w:r w:rsidRPr="00DF3A07">
        <w:rPr>
          <w:color w:val="FF0000"/>
        </w:rPr>
        <w:t>)</w:t>
      </w:r>
      <w:r>
        <w:t xml:space="preserve"> the Status Code in </w:t>
      </w:r>
      <w:r w:rsidR="002A35BD">
        <w:t>the (Re</w:t>
      </w:r>
      <w:proofErr w:type="gramStart"/>
      <w:r w:rsidR="002A35BD">
        <w:t>)Association</w:t>
      </w:r>
      <w:proofErr w:type="gramEnd"/>
      <w:r w:rsidR="002A35BD">
        <w:t xml:space="preserve"> Response frame. The AP </w:t>
      </w:r>
      <w:r>
        <w:t xml:space="preserve">MLD may include the TID-to-Link Mapping element in the </w:t>
      </w:r>
      <w:r w:rsidR="002A35BD">
        <w:t>(Re</w:t>
      </w:r>
      <w:proofErr w:type="gramStart"/>
      <w:r w:rsidR="002A35BD">
        <w:t>)Association</w:t>
      </w:r>
      <w:proofErr w:type="gramEnd"/>
      <w:r w:rsidR="002A35BD">
        <w:t xml:space="preserve"> Response frame </w:t>
      </w:r>
      <w:r>
        <w:t xml:space="preserve">to suggest a preferred mapping when the Status Code in the </w:t>
      </w:r>
      <w:r w:rsidR="002A35BD">
        <w:t xml:space="preserve">(Re)Association Response frame </w:t>
      </w:r>
      <w:r>
        <w:t xml:space="preserve">is set to </w:t>
      </w:r>
      <w:r w:rsidR="009225A1" w:rsidRPr="00DF3A07">
        <w:rPr>
          <w:color w:val="FF0000"/>
        </w:rPr>
        <w:t>&lt;ANA&gt;</w:t>
      </w:r>
      <w:r w:rsidRPr="00DF3A07">
        <w:rPr>
          <w:color w:val="FF0000"/>
        </w:rPr>
        <w:t xml:space="preserve"> (</w:t>
      </w:r>
      <w:r w:rsidR="009225A1" w:rsidRPr="00DF3A07">
        <w:rPr>
          <w:color w:val="FF0000"/>
        </w:rPr>
        <w:t>DENIED_TID-TO-LINK_MAPPING</w:t>
      </w:r>
      <w:r w:rsidRPr="00DF3A07">
        <w:rPr>
          <w:color w:val="FF0000"/>
        </w:rPr>
        <w:t>)</w:t>
      </w:r>
      <w:r>
        <w:t xml:space="preserve">.  </w:t>
      </w:r>
    </w:p>
    <w:p w14:paraId="3F5CE2A8" w14:textId="3AFE469A" w:rsidR="006F5371" w:rsidRDefault="000E6F91" w:rsidP="006F5371">
      <w:pPr>
        <w:pStyle w:val="T"/>
        <w:rPr>
          <w:w w:val="1"/>
        </w:rPr>
      </w:pPr>
      <w:r w:rsidRPr="000E6F91">
        <w:t xml:space="preserve">After performed the multi-link </w:t>
      </w:r>
      <w:r w:rsidR="007D1769">
        <w:t>(re)</w:t>
      </w:r>
      <w:r w:rsidRPr="000E6F91">
        <w:t>setup,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change </w:t>
      </w:r>
      <w:r w:rsidR="006F5371">
        <w:t xml:space="preserve">a 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69700A3D" w14:textId="0CF1DAAA" w:rsidR="006F5371" w:rsidRDefault="000E6F91" w:rsidP="00213E9E">
      <w:pPr>
        <w:pStyle w:val="T"/>
      </w:pPr>
      <w:r>
        <w:t xml:space="preserve">After receiving the individually addressed TID-to-Link Mapping Request </w:t>
      </w:r>
      <w:proofErr w:type="spellStart"/>
      <w:r>
        <w:t>fram</w:t>
      </w:r>
      <w:proofErr w:type="spellEnd"/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6F5371">
        <w:t xml:space="preserve">. If </w:t>
      </w:r>
      <w:r w:rsidR="00083E0C">
        <w:t>the responding MLD accept</w:t>
      </w:r>
      <w:r w:rsidR="00F523D2">
        <w:t>s</w:t>
      </w:r>
      <w:r w:rsidR="00083E0C">
        <w:t xml:space="preserve"> </w:t>
      </w:r>
      <w:r w:rsidR="006F5371">
        <w:t xml:space="preserve">the </w:t>
      </w:r>
      <w:r w:rsidR="00D95F7A">
        <w:t xml:space="preserve">requested </w:t>
      </w:r>
      <w:r w:rsidR="00083E0C">
        <w:t>link mapping in the TID-to-Link Mapping element in the received TID-to-Link Mapping Request f</w:t>
      </w:r>
      <w:r w:rsidR="00F523D2">
        <w:t>r</w:t>
      </w:r>
      <w:r w:rsidR="00083E0C">
        <w:t>ame</w:t>
      </w:r>
      <w:r w:rsidR="006F5371">
        <w:t xml:space="preserve">, </w:t>
      </w:r>
      <w:r w:rsidR="00F523D2">
        <w:t xml:space="preserve">it shall set to 0 </w:t>
      </w:r>
      <w:r w:rsidR="00560E5A">
        <w:t>(</w:t>
      </w:r>
      <w:r w:rsidR="00560E5A" w:rsidRPr="00560E5A">
        <w:t>SUCCESS</w:t>
      </w:r>
      <w:r w:rsidR="00560E5A">
        <w:t xml:space="preserve">) </w:t>
      </w:r>
      <w:r w:rsidR="00F523D2">
        <w:t xml:space="preserve">the </w:t>
      </w:r>
      <w:proofErr w:type="spellStart"/>
      <w:r w:rsidR="00F523D2">
        <w:t>Staus</w:t>
      </w:r>
      <w:proofErr w:type="spellEnd"/>
      <w:r w:rsidR="00F523D2">
        <w:t xml:space="preserve"> Code in the TID-to-Link Mapping Response frame. </w:t>
      </w:r>
      <w:r w:rsidR="006F5371">
        <w:t>Otherwise, the re</w:t>
      </w:r>
      <w:r w:rsidR="002A35BD">
        <w:t xml:space="preserve">sponding </w:t>
      </w:r>
      <w:r w:rsidR="006F5371">
        <w:t>MLD shall indicate rejection of the proposed mapping</w:t>
      </w:r>
      <w:r w:rsidR="00F523D2">
        <w:t xml:space="preserve"> by setting to </w:t>
      </w:r>
      <w:r w:rsidR="009225A1" w:rsidRPr="00DF3A07">
        <w:rPr>
          <w:color w:val="FF0000"/>
        </w:rPr>
        <w:t>&lt;ANA&gt; (DENIED_TID-TO-LINK_MAPPING)</w:t>
      </w:r>
      <w:r w:rsidR="009225A1">
        <w:t xml:space="preserve"> </w:t>
      </w:r>
      <w:r w:rsidR="00F523D2">
        <w:t xml:space="preserve">the Status Code in the TID-to-Link Mapping Response frame. </w:t>
      </w:r>
      <w:r w:rsidR="00BF6E6F">
        <w:t>A</w:t>
      </w:r>
      <w:r w:rsidR="00F523D2">
        <w:t xml:space="preserve"> responding MLD may include the TID-to-Link Mapping </w:t>
      </w:r>
      <w:r w:rsidR="00D95F7A">
        <w:t>element in the TID-to-Link Mapping Response frame to suggest a preferred mapping</w:t>
      </w:r>
      <w:r w:rsidR="00BF6E6F">
        <w:t xml:space="preserve"> when the Status Code in the TID-to-Link Mapping Response frame is set to </w:t>
      </w:r>
      <w:r w:rsidR="009225A1" w:rsidRPr="00DF3A07">
        <w:rPr>
          <w:color w:val="FF0000"/>
        </w:rPr>
        <w:t>&lt;ANA&gt; (DENIED_TID-TO-LINK_MAPPING)</w:t>
      </w:r>
      <w:r w:rsidR="00D95F7A">
        <w:t xml:space="preserve">. </w:t>
      </w:r>
      <w:r w:rsidR="00F523D2">
        <w:t xml:space="preserve"> </w:t>
      </w:r>
    </w:p>
    <w:p w14:paraId="0A45C3BE" w14:textId="041740BD" w:rsidR="006F5371" w:rsidRDefault="006F5371" w:rsidP="006F5371">
      <w:pPr>
        <w:pStyle w:val="T"/>
      </w:pPr>
      <w:r>
        <w:t>A MLD may transmit an unsolicited TID-</w:t>
      </w:r>
      <w:r w:rsidR="00B115AC">
        <w:t xml:space="preserve">to-Link </w:t>
      </w:r>
      <w:r>
        <w:t>Mapping Response frame to suggest a preferred mapping.</w:t>
      </w:r>
      <w:r w:rsidR="00D95F7A">
        <w:t xml:space="preserve"> In which case, the </w:t>
      </w:r>
      <w:r w:rsidR="00213E9E">
        <w:t xml:space="preserve">MLD shall include the preferred mapping to the TID-to-Link Mapping element in the </w:t>
      </w:r>
      <w:proofErr w:type="spellStart"/>
      <w:r w:rsidR="00213E9E">
        <w:t>the</w:t>
      </w:r>
      <w:proofErr w:type="spellEnd"/>
      <w:r w:rsidR="00213E9E">
        <w:t xml:space="preserve"> TID-to-Link Mapping Response frame</w:t>
      </w:r>
      <w:r w:rsidR="00736C95">
        <w:t xml:space="preserve"> </w:t>
      </w:r>
      <w:r w:rsidR="00181CD8">
        <w:t xml:space="preserve">and shall set to </w:t>
      </w:r>
      <w:r w:rsidR="00181CD8" w:rsidRPr="00DF3A07">
        <w:rPr>
          <w:color w:val="FF0000"/>
        </w:rPr>
        <w:t>&lt;ANA&gt; (</w:t>
      </w:r>
      <w:r w:rsidR="00181CD8" w:rsidRPr="00DF3A07">
        <w:rPr>
          <w:color w:val="FF0000"/>
          <w:w w:val="100"/>
        </w:rPr>
        <w:t>PREFERRED_TID-TO-LINK_MAPPING_SUGGESTED</w:t>
      </w:r>
      <w:r w:rsidR="00181CD8" w:rsidRPr="00DF3A07">
        <w:rPr>
          <w:color w:val="FF0000"/>
        </w:rPr>
        <w:t>)</w:t>
      </w:r>
      <w:r w:rsidR="00181CD8">
        <w:t xml:space="preserve"> the Status Code in the unsolicited TID-to-Link Mapping Response frame.</w:t>
      </w:r>
    </w:p>
    <w:p w14:paraId="26D27AB9" w14:textId="3667B0BD" w:rsidR="006F5371" w:rsidRDefault="00736C95" w:rsidP="00213E9E">
      <w:pPr>
        <w:pStyle w:val="T"/>
      </w:pPr>
      <w:r>
        <w:t>If indicated by a peer MLD, a</w:t>
      </w:r>
      <w:r w:rsidR="006F5371">
        <w:t xml:space="preserve"> MLD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27DBBF61" w14:textId="38367782" w:rsidR="006F5371" w:rsidRDefault="006F5371" w:rsidP="006F5371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</w:p>
    <w:p w14:paraId="466892C9" w14:textId="0C5C8136" w:rsidR="004A7D25" w:rsidRDefault="004A7D25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2A59F202" w14:textId="77777777" w:rsidR="009D07D7" w:rsidRDefault="009D07D7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7" w:name="C.3_MIB_Detail"/>
      <w:bookmarkEnd w:id="1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lastRenderedPageBreak/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119E8431" w14:textId="21894DDF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AD6F" w14:textId="77777777" w:rsidR="00FE28CC" w:rsidRDefault="00FE28CC">
      <w:r>
        <w:separator/>
      </w:r>
    </w:p>
  </w:endnote>
  <w:endnote w:type="continuationSeparator" w:id="0">
    <w:p w14:paraId="0DC91E2D" w14:textId="77777777" w:rsidR="00FE28CC" w:rsidRDefault="00F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2302DB" w:rsidRDefault="00FE28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302DB">
      <w:t>Submission</w:t>
    </w:r>
    <w:r>
      <w:fldChar w:fldCharType="end"/>
    </w:r>
    <w:r w:rsidR="002302DB">
      <w:tab/>
      <w:t xml:space="preserve">page </w:t>
    </w:r>
    <w:r w:rsidR="002302DB">
      <w:fldChar w:fldCharType="begin"/>
    </w:r>
    <w:r w:rsidR="002302DB">
      <w:instrText xml:space="preserve">page </w:instrText>
    </w:r>
    <w:r w:rsidR="002302DB">
      <w:fldChar w:fldCharType="separate"/>
    </w:r>
    <w:r w:rsidR="00367F92">
      <w:rPr>
        <w:noProof/>
      </w:rPr>
      <w:t>2</w:t>
    </w:r>
    <w:r w:rsidR="002302DB">
      <w:rPr>
        <w:noProof/>
      </w:rPr>
      <w:fldChar w:fldCharType="end"/>
    </w:r>
    <w:r w:rsidR="002302DB">
      <w:tab/>
      <w:t xml:space="preserve">Yongho Seok, </w:t>
    </w:r>
    <w:proofErr w:type="spellStart"/>
    <w:r w:rsidR="002302DB">
      <w:t>Mediatek</w:t>
    </w:r>
    <w:proofErr w:type="spellEnd"/>
    <w:r w:rsidR="002302DB">
      <w:t xml:space="preserve"> Inc.</w:t>
    </w:r>
  </w:p>
  <w:p w14:paraId="78B10FFF" w14:textId="77777777" w:rsidR="002302DB" w:rsidRDefault="00230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2E19D" w14:textId="77777777" w:rsidR="00FE28CC" w:rsidRDefault="00FE28CC">
      <w:r>
        <w:separator/>
      </w:r>
    </w:p>
  </w:footnote>
  <w:footnote w:type="continuationSeparator" w:id="0">
    <w:p w14:paraId="71A759F0" w14:textId="77777777" w:rsidR="00FE28CC" w:rsidRDefault="00FE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AB79B85" w:rsidR="002302DB" w:rsidRDefault="002302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FE28CC">
      <w:fldChar w:fldCharType="begin"/>
    </w:r>
    <w:r w:rsidR="00FE28CC">
      <w:instrText xml:space="preserve"> TITLE  \* MERGEFORMAT </w:instrText>
    </w:r>
    <w:r w:rsidR="00FE28CC">
      <w:fldChar w:fldCharType="separate"/>
    </w:r>
    <w:r>
      <w:t>doc.: IEEE 802.11-21/0019</w:t>
    </w:r>
    <w:r>
      <w:rPr>
        <w:lang w:eastAsia="ko-KR"/>
      </w:rPr>
      <w:t>r</w:t>
    </w:r>
    <w:r w:rsidR="00FE28CC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11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283E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6F91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0FF8"/>
    <w:rsid w:val="001812B0"/>
    <w:rsid w:val="00181423"/>
    <w:rsid w:val="00181CD8"/>
    <w:rsid w:val="0018277A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38B"/>
    <w:rsid w:val="001A2CDE"/>
    <w:rsid w:val="001A5DBC"/>
    <w:rsid w:val="001A77FD"/>
    <w:rsid w:val="001A7C55"/>
    <w:rsid w:val="001A7EC5"/>
    <w:rsid w:val="001B0001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02DB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5B1"/>
    <w:rsid w:val="002A7011"/>
    <w:rsid w:val="002B013C"/>
    <w:rsid w:val="002B019A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8A4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4B1F"/>
    <w:rsid w:val="0042701C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B0E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0E5A"/>
    <w:rsid w:val="00561ADD"/>
    <w:rsid w:val="00562627"/>
    <w:rsid w:val="0056327A"/>
    <w:rsid w:val="00563B85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71C4"/>
    <w:rsid w:val="00760099"/>
    <w:rsid w:val="0076096A"/>
    <w:rsid w:val="00760E8D"/>
    <w:rsid w:val="0076196C"/>
    <w:rsid w:val="00766B1A"/>
    <w:rsid w:val="00766DFE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A7FC8"/>
    <w:rsid w:val="007B058E"/>
    <w:rsid w:val="007B0864"/>
    <w:rsid w:val="007B0E05"/>
    <w:rsid w:val="007B2BDF"/>
    <w:rsid w:val="007B5965"/>
    <w:rsid w:val="007B5DB4"/>
    <w:rsid w:val="007B68BE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9F5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37FB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EE5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22B0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ACE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6867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1A3A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23D2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C94FBE2B-77EF-4850-A6E4-984CE31F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2021-02-17T00:36:00Z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