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DB" w:rsidRDefault="0018463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5C1B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 w:rsidP="006B64C6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Comment Resolutions for 11</w:t>
            </w:r>
            <w:proofErr w:type="spellStart"/>
            <w:r>
              <w:rPr>
                <w:rFonts w:eastAsia="宋体" w:hint="eastAsia"/>
                <w:lang w:val="en-US" w:eastAsia="zh-CN"/>
              </w:rPr>
              <w:t>bd</w:t>
            </w:r>
            <w:proofErr w:type="spellEnd"/>
            <w:r>
              <w:rPr>
                <w:lang w:eastAsia="ko-KR"/>
              </w:rPr>
              <w:t xml:space="preserve"> D</w:t>
            </w:r>
            <w:r w:rsidR="007E2D73">
              <w:rPr>
                <w:lang w:eastAsia="ko-KR"/>
              </w:rPr>
              <w:t>1.0</w:t>
            </w:r>
            <w:r>
              <w:rPr>
                <w:lang w:eastAsia="ko-KR"/>
              </w:rPr>
              <w:t xml:space="preserve"> </w:t>
            </w:r>
            <w:r w:rsidR="007E2D73">
              <w:rPr>
                <w:lang w:eastAsia="ko-KR"/>
              </w:rPr>
              <w:t xml:space="preserve">Clause </w:t>
            </w:r>
            <w:r w:rsidR="006B64C6">
              <w:rPr>
                <w:lang w:eastAsia="ko-KR"/>
              </w:rPr>
              <w:t>17.2 and 17.3</w:t>
            </w:r>
          </w:p>
        </w:tc>
      </w:tr>
      <w:tr w:rsidR="005C1B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 w:rsidP="005D412D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  <w:r w:rsidR="005D412D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5D412D">
              <w:rPr>
                <w:rFonts w:eastAsia="宋体"/>
                <w:b w:val="0"/>
                <w:sz w:val="20"/>
                <w:lang w:val="en-US" w:eastAsia="zh-CN"/>
              </w:rPr>
              <w:t>1</w:t>
            </w:r>
            <w:r>
              <w:rPr>
                <w:b w:val="0"/>
                <w:sz w:val="20"/>
                <w:lang w:eastAsia="ko-KR"/>
              </w:rPr>
              <w:t>-</w:t>
            </w:r>
            <w:r w:rsidR="005D412D">
              <w:rPr>
                <w:b w:val="0"/>
                <w:sz w:val="20"/>
                <w:lang w:eastAsia="ko-KR"/>
              </w:rPr>
              <w:t>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1</w:t>
            </w:r>
          </w:p>
        </w:tc>
      </w:tr>
      <w:tr w:rsidR="005C1B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C1BDB">
        <w:trPr>
          <w:jc w:val="center"/>
        </w:trPr>
        <w:tc>
          <w:tcPr>
            <w:tcW w:w="1548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1BDB">
        <w:trPr>
          <w:trHeight w:val="359"/>
          <w:jc w:val="center"/>
        </w:trPr>
        <w:tc>
          <w:tcPr>
            <w:tcW w:w="1548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5C1BDB" w:rsidRDefault="00184631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5C1BDB">
        <w:trPr>
          <w:trHeight w:val="359"/>
          <w:jc w:val="center"/>
        </w:trPr>
        <w:tc>
          <w:tcPr>
            <w:tcW w:w="1548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5C1BDB" w:rsidRDefault="005C1B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C1BDB" w:rsidRDefault="005C1BDB">
      <w:pPr>
        <w:pStyle w:val="T1"/>
        <w:spacing w:after="120"/>
        <w:rPr>
          <w:sz w:val="22"/>
        </w:rPr>
      </w:pPr>
    </w:p>
    <w:p w:rsidR="005C1BDB" w:rsidRDefault="005C1BDB">
      <w:pPr>
        <w:pStyle w:val="T1"/>
        <w:spacing w:after="120"/>
        <w:rPr>
          <w:sz w:val="22"/>
        </w:rPr>
      </w:pPr>
    </w:p>
    <w:p w:rsidR="005C1BDB" w:rsidRDefault="00184631">
      <w:pPr>
        <w:pStyle w:val="T1"/>
        <w:spacing w:after="120"/>
      </w:pPr>
      <w:r>
        <w:t>Abstract</w:t>
      </w:r>
    </w:p>
    <w:p w:rsidR="005C1BDB" w:rsidRDefault="00184631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 w:rsidR="006B64C6">
        <w:rPr>
          <w:rFonts w:eastAsia="宋体"/>
          <w:sz w:val="20"/>
          <w:lang w:val="en-US" w:eastAsia="zh-CN"/>
        </w:rPr>
        <w:t>13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related to </w:t>
      </w:r>
      <w:r w:rsidR="0028189B">
        <w:rPr>
          <w:rFonts w:eastAsia="宋体"/>
          <w:sz w:val="20"/>
          <w:lang w:val="en-US" w:eastAsia="zh-CN"/>
        </w:rPr>
        <w:t>sub-</w:t>
      </w:r>
      <w:r w:rsidR="007E2D73">
        <w:rPr>
          <w:rFonts w:eastAsia="宋体"/>
          <w:sz w:val="20"/>
          <w:lang w:val="en-US" w:eastAsia="zh-CN"/>
        </w:rPr>
        <w:t xml:space="preserve">clause </w:t>
      </w:r>
      <w:r w:rsidR="006B64C6">
        <w:rPr>
          <w:rFonts w:eastAsia="宋体"/>
          <w:sz w:val="20"/>
          <w:lang w:val="en-US" w:eastAsia="zh-CN"/>
        </w:rPr>
        <w:t xml:space="preserve">17.2 and </w:t>
      </w:r>
      <w:r w:rsidR="0028189B">
        <w:rPr>
          <w:rFonts w:eastAsia="宋体"/>
          <w:sz w:val="20"/>
          <w:lang w:val="en-US" w:eastAsia="zh-CN"/>
        </w:rPr>
        <w:t xml:space="preserve">sub-clause </w:t>
      </w:r>
      <w:r w:rsidR="006B64C6">
        <w:rPr>
          <w:rFonts w:eastAsia="宋体"/>
          <w:sz w:val="20"/>
          <w:lang w:val="en-US" w:eastAsia="zh-CN"/>
        </w:rPr>
        <w:t>17.3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sz w:val="20"/>
          <w:lang w:eastAsia="ko-KR"/>
        </w:rPr>
        <w:t>of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sz w:val="20"/>
          <w:lang w:eastAsia="ko-KR"/>
        </w:rPr>
        <w:t xml:space="preserve"> D</w:t>
      </w:r>
      <w:r w:rsidR="007E2D73">
        <w:rPr>
          <w:sz w:val="20"/>
          <w:lang w:eastAsia="ko-KR"/>
        </w:rPr>
        <w:t>1.0 in WG LB 251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D</w:t>
      </w:r>
      <w:r w:rsidR="007E2D73">
        <w:rPr>
          <w:rFonts w:eastAsia="宋体"/>
          <w:sz w:val="20"/>
          <w:lang w:eastAsia="zh-CN"/>
        </w:rPr>
        <w:t>1.0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5C1BDB" w:rsidRPr="006B64C6" w:rsidRDefault="005C1BDB">
      <w:pPr>
        <w:jc w:val="both"/>
        <w:rPr>
          <w:rFonts w:eastAsia="宋体"/>
          <w:sz w:val="20"/>
          <w:lang w:eastAsia="zh-CN"/>
        </w:rPr>
      </w:pPr>
    </w:p>
    <w:p w:rsidR="005C1BDB" w:rsidRDefault="00184631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 w:rsidR="00D745BF">
        <w:rPr>
          <w:rFonts w:eastAsia="宋体"/>
          <w:sz w:val="20"/>
          <w:lang w:eastAsia="zh-CN"/>
        </w:rPr>
        <w:t xml:space="preserve">1150, 1151, </w:t>
      </w:r>
      <w:r w:rsidR="00585945">
        <w:rPr>
          <w:rFonts w:eastAsia="宋体"/>
          <w:sz w:val="20"/>
          <w:lang w:eastAsia="zh-CN"/>
        </w:rPr>
        <w:t>1</w:t>
      </w:r>
      <w:r w:rsidR="00D745BF">
        <w:rPr>
          <w:rFonts w:eastAsia="宋体"/>
          <w:sz w:val="20"/>
          <w:lang w:eastAsia="zh-CN"/>
        </w:rPr>
        <w:t>218</w:t>
      </w:r>
      <w:r w:rsidR="00585945">
        <w:rPr>
          <w:rFonts w:eastAsia="宋体"/>
          <w:sz w:val="20"/>
          <w:lang w:eastAsia="zh-CN"/>
        </w:rPr>
        <w:t>, 1</w:t>
      </w:r>
      <w:r w:rsidR="00D745BF">
        <w:rPr>
          <w:rFonts w:eastAsia="宋体"/>
          <w:sz w:val="20"/>
          <w:lang w:eastAsia="zh-CN"/>
        </w:rPr>
        <w:t xml:space="preserve">412, 1559, 1560, 1561, 1562, 1563, 1564, 1619, 1620, and 1763 </w:t>
      </w:r>
    </w:p>
    <w:p w:rsidR="005C1BDB" w:rsidRDefault="005C1BDB">
      <w:pPr>
        <w:jc w:val="both"/>
        <w:rPr>
          <w:rFonts w:eastAsia="宋体"/>
          <w:sz w:val="20"/>
          <w:lang w:val="en-US" w:eastAsia="zh-CN"/>
        </w:rPr>
      </w:pPr>
    </w:p>
    <w:p w:rsidR="005C1BDB" w:rsidRDefault="005C1BDB">
      <w:pPr>
        <w:jc w:val="both"/>
        <w:rPr>
          <w:sz w:val="20"/>
        </w:rPr>
      </w:pPr>
    </w:p>
    <w:p w:rsidR="005C1BDB" w:rsidRDefault="005C1BDB">
      <w:pPr>
        <w:jc w:val="both"/>
        <w:rPr>
          <w:sz w:val="20"/>
        </w:rPr>
      </w:pPr>
    </w:p>
    <w:p w:rsidR="005C1BDB" w:rsidRDefault="00184631">
      <w:pPr>
        <w:jc w:val="both"/>
        <w:rPr>
          <w:sz w:val="20"/>
        </w:rPr>
      </w:pPr>
      <w:r>
        <w:rPr>
          <w:sz w:val="20"/>
        </w:rPr>
        <w:t>Revisions:</w:t>
      </w:r>
    </w:p>
    <w:p w:rsidR="005C1BDB" w:rsidRPr="00E60432" w:rsidRDefault="00184631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 w:rsidR="00E60432" w:rsidRDefault="00E60432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 xml:space="preserve">R1, add referred URL of the </w:t>
      </w:r>
      <w:proofErr w:type="spellStart"/>
      <w:r>
        <w:rPr>
          <w:szCs w:val="18"/>
        </w:rPr>
        <w:t>cr</w:t>
      </w:r>
      <w:proofErr w:type="spellEnd"/>
      <w:r>
        <w:rPr>
          <w:szCs w:val="18"/>
        </w:rPr>
        <w:t xml:space="preserve"> document and update resolution to CID 1218</w:t>
      </w:r>
    </w:p>
    <w:p w:rsidR="005C1BDB" w:rsidRDefault="005C1BDB"/>
    <w:p w:rsidR="005C1BDB" w:rsidRDefault="005C1BDB"/>
    <w:p w:rsidR="005C1BDB" w:rsidRDefault="00184631">
      <w:pPr>
        <w:tabs>
          <w:tab w:val="left" w:pos="8387"/>
        </w:tabs>
      </w:pPr>
      <w:r>
        <w:tab/>
      </w:r>
    </w:p>
    <w:p w:rsidR="005C1BDB" w:rsidRDefault="00184631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5C1BDB" w:rsidRDefault="00184631">
      <w:r>
        <w:t>Interpretation of a Motion to Adopt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5C1BDB" w:rsidRDefault="005C1BDB">
      <w:pPr>
        <w:rPr>
          <w:lang w:eastAsia="ko-KR"/>
        </w:rPr>
      </w:pPr>
    </w:p>
    <w:p w:rsidR="005C1BDB" w:rsidRDefault="00184631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875206" w:rsidRDefault="00875206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875206" w:rsidRPr="006B64C6" w:rsidTr="00875206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textAlignment w:val="top"/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tabs>
                <w:tab w:val="left" w:pos="720"/>
              </w:tabs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center"/>
              <w:textAlignment w:val="top"/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875206" w:rsidRPr="006B64C6" w:rsidTr="00875206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1218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31.49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17.2.2.9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There is an ambiguity in the Note of 17.2.2.9 regarding CH_BANDWIDTH_IN_NON_NGV. The note says, in part, this parameter is not present when the frame is transmitted by an NGV STA to a non-NGV STA. It is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amgibuous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whether this means it is not present for a unicast transmission from NGV to non-NGV STA, or whether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thi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statement also covers a group addressed (e.g. broadcast) transmission from an NGV STA. In the latter case there could be a mix of NGV and non-NGV STAs receiving the frame, and the transmitting STA will not generally know who is receiving it.  I believe this statement is intended to apply to a unicast transmission from an NGV STA to a non-NGV STA.  This same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amgibuity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exists in clause 7.2.2.10 with respect to the DYN_BANDWIDTH_IN_NON_NGV parameter, and the same solution can be used.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In Clause 7.2.2.9 Change "when the frame is transmitted by an NGV STA to a non-NGV STA" to "when a unicast frame is transmitted by an NGV STA to a non-NGV STA".</w:t>
            </w:r>
            <w:r w:rsidRPr="006B64C6">
              <w:rPr>
                <w:rFonts w:asciiTheme="minorHAnsi" w:hAnsiTheme="minorHAnsi" w:cstheme="minorHAnsi"/>
                <w:sz w:val="16"/>
                <w:szCs w:val="16"/>
              </w:rPr>
              <w:br/>
              <w:t>In Clause 7.2.2.10 similarly insert "unicast" before "frame is transmitted by an NGV STA"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06" w:rsidRPr="006B64C6" w:rsidRDefault="00875206" w:rsidP="0087520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875206" w:rsidRPr="006B64C6" w:rsidRDefault="00875206" w:rsidP="0087520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875206" w:rsidRPr="006B64C6" w:rsidRDefault="00875206" w:rsidP="00875206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The original text could be improved, e.g. “the CH_BANDWIDTH_IN_NON_NGV parameter is not present when the frame is transmitted by an NGV STA and a non-NGV STA is an intended recipient.” The intention of the context includes the case of broadcast. </w:t>
            </w:r>
          </w:p>
          <w:p w:rsidR="00875206" w:rsidRPr="006B64C6" w:rsidRDefault="00875206" w:rsidP="00F5052B">
            <w:pPr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875206" w:rsidRDefault="00875206" w:rsidP="00F5052B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1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218</w:t>
            </w: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as in </w:t>
            </w:r>
            <w:hyperlink r:id="rId12" w:history="1">
              <w:r w:rsidR="00F5052B" w:rsidRPr="008A6073">
                <w:rPr>
                  <w:rStyle w:val="ac"/>
                  <w:rFonts w:asciiTheme="minorHAnsi" w:eastAsia="宋体" w:hAnsiTheme="minorHAnsi" w:cstheme="minorHAnsi"/>
                  <w:sz w:val="16"/>
                  <w:szCs w:val="16"/>
                  <w:lang w:val="en-US" w:eastAsia="zh-CN"/>
                </w:rPr>
                <w:t>https://mentor.ieee.org/802.11/dcn/21/11-21-0006-01-00bd-cr-d1-0-clause-17-2-17-3.docx</w:t>
              </w:r>
            </w:hyperlink>
          </w:p>
          <w:p w:rsidR="00F5052B" w:rsidRPr="006B64C6" w:rsidRDefault="00F5052B" w:rsidP="0087520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</w:tbl>
    <w:p w:rsidR="00875206" w:rsidRPr="00875206" w:rsidRDefault="00875206">
      <w:pPr>
        <w:rPr>
          <w:b/>
          <w:bCs/>
          <w:i/>
          <w:iCs/>
          <w:lang w:val="en-US"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875206" w:rsidRDefault="00875206" w:rsidP="00875206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1218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</w:t>
      </w:r>
    </w:p>
    <w:p w:rsidR="00875206" w:rsidRDefault="00875206" w:rsidP="0087520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 w:rsidR="00232FD7">
        <w:rPr>
          <w:rFonts w:eastAsia="宋体"/>
          <w:b/>
          <w:bCs/>
          <w:i/>
          <w:iCs/>
          <w:highlight w:val="yellow"/>
          <w:lang w:eastAsia="zh-CN"/>
        </w:rPr>
        <w:t xml:space="preserve">implement the following modification in sub-clause 17.2.2.9 and 17.2.2.10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 w:rsidR="00232FD7">
        <w:rPr>
          <w:rFonts w:eastAsia="宋体"/>
          <w:b/>
          <w:bCs/>
          <w:i/>
          <w:iCs/>
          <w:highlight w:val="yellow"/>
          <w:lang w:eastAsia="zh-CN"/>
        </w:rPr>
        <w:t>218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875206" w:rsidRPr="002573E3" w:rsidRDefault="00875206" w:rsidP="00875206">
      <w:pPr>
        <w:spacing w:line="256" w:lineRule="auto"/>
        <w:rPr>
          <w:rFonts w:eastAsia="宋体"/>
          <w:b/>
          <w:sz w:val="20"/>
          <w:lang w:eastAsia="zh-CN"/>
        </w:rPr>
      </w:pPr>
      <w:r w:rsidRPr="002573E3">
        <w:rPr>
          <w:rFonts w:eastAsia="宋体"/>
          <w:b/>
          <w:sz w:val="20"/>
          <w:lang w:eastAsia="zh-CN"/>
        </w:rPr>
        <w:t>17.2.2.9 TXVECTOR CH_BANDWIDTH_IN_NON_NGV</w:t>
      </w:r>
    </w:p>
    <w:p w:rsidR="00875206" w:rsidRDefault="00875206" w:rsidP="00875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  <w:r w:rsidRPr="00875206">
        <w:rPr>
          <w:rFonts w:eastAsia="TimesNewRoman"/>
          <w:sz w:val="20"/>
          <w:lang w:val="en-US" w:eastAsia="zh-CN"/>
        </w:rPr>
        <w:t>If present, the allowed values for CH_BANDWIDTH_IN_NON_NGV are CBW10, CBW20. If present, this</w:t>
      </w:r>
      <w:r>
        <w:rPr>
          <w:rFonts w:eastAsia="TimesNewRoman"/>
          <w:sz w:val="20"/>
          <w:lang w:val="en-US" w:eastAsia="zh-CN"/>
        </w:rPr>
        <w:t xml:space="preserve"> </w:t>
      </w:r>
      <w:r w:rsidRPr="00875206">
        <w:rPr>
          <w:rFonts w:eastAsia="TimesNewRoman"/>
          <w:sz w:val="20"/>
          <w:lang w:val="en-US" w:eastAsia="zh-CN"/>
        </w:rPr>
        <w:t>parameter is used to modify the first 7 bits of the scrambling sequence to indicate the bandwidth of the non-NGV duplicate PPDU.</w:t>
      </w:r>
    </w:p>
    <w:p w:rsidR="00875206" w:rsidRPr="00875206" w:rsidRDefault="00875206" w:rsidP="008752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875206" w:rsidRPr="00875206" w:rsidRDefault="00875206" w:rsidP="00875206">
      <w:pPr>
        <w:widowControl w:val="0"/>
        <w:autoSpaceDE w:val="0"/>
        <w:autoSpaceDN w:val="0"/>
        <w:adjustRightInd w:val="0"/>
        <w:spacing w:after="0" w:line="240" w:lineRule="auto"/>
        <w:rPr>
          <w:rFonts w:eastAsia="宋体"/>
          <w:sz w:val="20"/>
          <w:lang w:eastAsia="zh-CN"/>
        </w:rPr>
      </w:pPr>
      <w:r w:rsidRPr="00875206">
        <w:rPr>
          <w:rFonts w:eastAsia="TimesNewRoman"/>
          <w:sz w:val="20"/>
          <w:lang w:val="en-US" w:eastAsia="zh-CN"/>
        </w:rPr>
        <w:t xml:space="preserve">NOTE—The CH_BANDWIDTH_IN_NON_NGV parameter is not present when the frame is transmitted by a non-NGV </w:t>
      </w:r>
      <w:r w:rsidRPr="00875206">
        <w:rPr>
          <w:rFonts w:eastAsia="TimesNewRoman"/>
          <w:sz w:val="20"/>
          <w:lang w:val="en-US" w:eastAsia="zh-CN"/>
        </w:rPr>
        <w:lastRenderedPageBreak/>
        <w:t>STA. The CH_BANDWIDTH_IN_NON_NGV parameter is not present when the frame is transmitted by an NGV</w:t>
      </w:r>
      <w:r>
        <w:rPr>
          <w:rFonts w:eastAsia="TimesNewRoman"/>
          <w:sz w:val="20"/>
          <w:lang w:val="en-US" w:eastAsia="zh-CN"/>
        </w:rPr>
        <w:t xml:space="preserve"> </w:t>
      </w:r>
      <w:r w:rsidRPr="00875206">
        <w:rPr>
          <w:rFonts w:eastAsia="TimesNewRoman"/>
          <w:sz w:val="20"/>
          <w:lang w:val="en-US" w:eastAsia="zh-CN"/>
        </w:rPr>
        <w:t xml:space="preserve">STA </w:t>
      </w:r>
      <w:r w:rsidRPr="002573E3">
        <w:rPr>
          <w:rFonts w:eastAsia="TimesNewRoman"/>
          <w:color w:val="0070C0"/>
          <w:sz w:val="20"/>
          <w:u w:val="single"/>
          <w:lang w:val="en-US" w:eastAsia="zh-CN"/>
        </w:rPr>
        <w:t>and a non-NGV STA is one of the intended recipients</w:t>
      </w:r>
      <w:r w:rsidR="00532CEF">
        <w:rPr>
          <w:rFonts w:eastAsia="TimesNewRoman"/>
          <w:color w:val="0070C0"/>
          <w:sz w:val="20"/>
          <w:u w:val="single"/>
          <w:lang w:val="en-US" w:eastAsia="zh-CN"/>
        </w:rPr>
        <w:t xml:space="preserve"> (including group-addressed transmissions</w:t>
      </w:r>
      <w:proofErr w:type="gramStart"/>
      <w:r w:rsidR="00532CEF">
        <w:rPr>
          <w:rFonts w:eastAsia="TimesNewRoman"/>
          <w:color w:val="0070C0"/>
          <w:sz w:val="20"/>
          <w:u w:val="single"/>
          <w:lang w:val="en-US" w:eastAsia="zh-CN"/>
        </w:rPr>
        <w:t>)</w:t>
      </w:r>
      <w:r w:rsidRPr="00875206">
        <w:rPr>
          <w:rFonts w:eastAsia="TimesNewRoman"/>
          <w:strike/>
          <w:color w:val="FF0000"/>
          <w:sz w:val="20"/>
          <w:lang w:val="en-US" w:eastAsia="zh-CN"/>
        </w:rPr>
        <w:t>to</w:t>
      </w:r>
      <w:proofErr w:type="gramEnd"/>
      <w:r w:rsidRPr="00875206">
        <w:rPr>
          <w:rFonts w:eastAsia="TimesNewRoman"/>
          <w:strike/>
          <w:color w:val="FF0000"/>
          <w:sz w:val="20"/>
          <w:lang w:val="en-US" w:eastAsia="zh-CN"/>
        </w:rPr>
        <w:t xml:space="preserve"> a non-NGV STA</w:t>
      </w:r>
      <w:r w:rsidRPr="00875206">
        <w:rPr>
          <w:rFonts w:eastAsia="TimesNewRoman"/>
          <w:sz w:val="20"/>
          <w:lang w:val="en-US" w:eastAsia="zh-CN"/>
        </w:rPr>
        <w:t xml:space="preserve">. </w:t>
      </w:r>
      <w:r w:rsidRPr="00232FD7">
        <w:rPr>
          <w:rFonts w:eastAsia="TimesNewRoman"/>
          <w:strike/>
          <w:color w:val="FF0000"/>
          <w:sz w:val="20"/>
          <w:lang w:val="en-US" w:eastAsia="zh-CN"/>
        </w:rPr>
        <w:t>See 10.6.12 (Channel Width in non-HT and non-HT duplicate PPDUs).</w:t>
      </w:r>
      <w:r w:rsidR="00232FD7">
        <w:rPr>
          <w:rFonts w:eastAsia="TimesNewRoman"/>
          <w:strike/>
          <w:color w:val="FF0000"/>
          <w:sz w:val="20"/>
          <w:lang w:val="en-US" w:eastAsia="zh-CN"/>
        </w:rPr>
        <w:t xml:space="preserve"> </w:t>
      </w:r>
      <w:r w:rsidR="00232FD7" w:rsidRPr="00232FD7">
        <w:rPr>
          <w:rFonts w:eastAsia="TimesNewRoman"/>
          <w:i/>
          <w:sz w:val="20"/>
          <w:highlight w:val="yellow"/>
          <w:lang w:val="en-US" w:eastAsia="zh-CN"/>
        </w:rPr>
        <w:t>[CID 1218]</w:t>
      </w:r>
    </w:p>
    <w:p w:rsidR="00875206" w:rsidRDefault="00875206" w:rsidP="00875206">
      <w:pPr>
        <w:spacing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2573E3" w:rsidRPr="002573E3" w:rsidRDefault="002573E3" w:rsidP="002573E3">
      <w:pPr>
        <w:spacing w:line="256" w:lineRule="auto"/>
        <w:rPr>
          <w:rFonts w:eastAsia="宋体"/>
          <w:b/>
          <w:sz w:val="20"/>
          <w:lang w:eastAsia="zh-CN"/>
        </w:rPr>
      </w:pPr>
      <w:r w:rsidRPr="002573E3">
        <w:rPr>
          <w:rFonts w:eastAsia="宋体"/>
          <w:b/>
          <w:sz w:val="20"/>
          <w:lang w:eastAsia="zh-CN"/>
        </w:rPr>
        <w:t>17.2.2.</w:t>
      </w:r>
      <w:r>
        <w:rPr>
          <w:rFonts w:eastAsia="宋体"/>
          <w:b/>
          <w:sz w:val="20"/>
          <w:lang w:eastAsia="zh-CN"/>
        </w:rPr>
        <w:t>10</w:t>
      </w:r>
      <w:r w:rsidRPr="002573E3">
        <w:rPr>
          <w:rFonts w:eastAsia="宋体"/>
          <w:b/>
          <w:sz w:val="20"/>
          <w:lang w:eastAsia="zh-CN"/>
        </w:rPr>
        <w:t xml:space="preserve"> TXVECTOR </w:t>
      </w:r>
      <w:r>
        <w:rPr>
          <w:rFonts w:eastAsia="宋体"/>
          <w:b/>
          <w:sz w:val="20"/>
          <w:lang w:eastAsia="zh-CN"/>
        </w:rPr>
        <w:t>DYN</w:t>
      </w:r>
      <w:r w:rsidRPr="002573E3">
        <w:rPr>
          <w:rFonts w:eastAsia="宋体"/>
          <w:b/>
          <w:sz w:val="20"/>
          <w:lang w:eastAsia="zh-CN"/>
        </w:rPr>
        <w:t>_BANDWIDTH_IN_NON_NGV</w:t>
      </w:r>
    </w:p>
    <w:p w:rsidR="002573E3" w:rsidRDefault="002573E3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  <w:r w:rsidRPr="002573E3">
        <w:rPr>
          <w:rFonts w:eastAsia="TimesNewRoman"/>
          <w:sz w:val="20"/>
          <w:lang w:val="en-US" w:eastAsia="zh-CN"/>
        </w:rPr>
        <w:t>If present, the allowed values for DYN_BANDWIDTH_IN_NON_NGV are Static and Dynamic. If present,</w:t>
      </w:r>
      <w:r>
        <w:rPr>
          <w:rFonts w:eastAsia="TimesNewRoman"/>
          <w:sz w:val="20"/>
          <w:lang w:val="en-US" w:eastAsia="zh-CN"/>
        </w:rPr>
        <w:t xml:space="preserve"> </w:t>
      </w:r>
      <w:r w:rsidRPr="002573E3">
        <w:rPr>
          <w:rFonts w:eastAsia="TimesNewRoman"/>
          <w:sz w:val="20"/>
          <w:lang w:val="en-US" w:eastAsia="zh-CN"/>
        </w:rPr>
        <w:t>this parameter is used to modify the first 7 bits of the scrambling sequence to indicate if the transmitter is</w:t>
      </w:r>
      <w:r>
        <w:rPr>
          <w:rFonts w:eastAsia="TimesNewRoman"/>
          <w:sz w:val="20"/>
          <w:lang w:val="en-US" w:eastAsia="zh-CN"/>
        </w:rPr>
        <w:t xml:space="preserve"> </w:t>
      </w:r>
      <w:r w:rsidRPr="002573E3">
        <w:rPr>
          <w:rFonts w:eastAsia="TimesNewRoman"/>
          <w:sz w:val="20"/>
          <w:lang w:val="en-US" w:eastAsia="zh-CN"/>
        </w:rPr>
        <w:t>capable of Static or Dynamic bandwidth operation. If DYN_BANDWIDTH_IN_NON_NGV is present,</w:t>
      </w:r>
      <w:r>
        <w:rPr>
          <w:rFonts w:eastAsia="TimesNewRoman"/>
          <w:sz w:val="20"/>
          <w:lang w:val="en-US" w:eastAsia="zh-CN"/>
        </w:rPr>
        <w:t xml:space="preserve"> </w:t>
      </w:r>
      <w:r w:rsidRPr="002573E3">
        <w:rPr>
          <w:rFonts w:eastAsia="TimesNewRoman"/>
          <w:sz w:val="20"/>
          <w:lang w:val="en-US" w:eastAsia="zh-CN"/>
        </w:rPr>
        <w:t>then CH_BANDWIDTH_IN_NON_NGV is also present.</w:t>
      </w:r>
    </w:p>
    <w:p w:rsidR="002573E3" w:rsidRPr="002573E3" w:rsidRDefault="002573E3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875206" w:rsidRDefault="002573E3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i/>
          <w:sz w:val="20"/>
          <w:lang w:val="en-US" w:eastAsia="zh-CN"/>
        </w:rPr>
      </w:pPr>
      <w:r w:rsidRPr="002573E3">
        <w:rPr>
          <w:rFonts w:eastAsia="TimesNewRoman"/>
          <w:sz w:val="20"/>
          <w:lang w:val="en-US" w:eastAsia="zh-CN"/>
        </w:rPr>
        <w:t>NOTE</w:t>
      </w:r>
      <w:r w:rsidRPr="002573E3">
        <w:rPr>
          <w:rFonts w:eastAsia="TimesNewRoman" w:hint="eastAsia"/>
          <w:sz w:val="20"/>
          <w:lang w:val="en-US" w:eastAsia="zh-CN"/>
        </w:rPr>
        <w:t>—</w:t>
      </w:r>
      <w:r w:rsidRPr="002573E3">
        <w:rPr>
          <w:rFonts w:eastAsia="TimesNewRoman"/>
          <w:sz w:val="20"/>
          <w:lang w:val="en-US" w:eastAsia="zh-CN"/>
        </w:rPr>
        <w:t>The DYN_BANDWIDTH_IN_NON_NGV parameter is not present when the frame is transmitted by a non-NGV STA. The DYN_BANDWIDTH_IN_NON_NGV parameter is not present when the frame is transmitted by an</w:t>
      </w:r>
      <w:r>
        <w:rPr>
          <w:rFonts w:eastAsia="TimesNewRoman"/>
          <w:sz w:val="20"/>
          <w:lang w:val="en-US" w:eastAsia="zh-CN"/>
        </w:rPr>
        <w:t xml:space="preserve"> </w:t>
      </w:r>
      <w:r w:rsidRPr="002573E3">
        <w:rPr>
          <w:rFonts w:eastAsia="TimesNewRoman"/>
          <w:sz w:val="20"/>
          <w:lang w:val="en-US" w:eastAsia="zh-CN"/>
        </w:rPr>
        <w:t xml:space="preserve">NGV </w:t>
      </w:r>
      <w:r w:rsidRPr="002573E3">
        <w:rPr>
          <w:rFonts w:eastAsia="TimesNewRoman"/>
          <w:color w:val="0070C0"/>
          <w:sz w:val="20"/>
          <w:u w:val="single"/>
          <w:lang w:val="en-US" w:eastAsia="zh-CN"/>
        </w:rPr>
        <w:t>and a non-NGV STA is one of the intended recipients</w:t>
      </w:r>
      <w:r w:rsidR="00532CEF">
        <w:rPr>
          <w:rFonts w:eastAsia="TimesNewRoman"/>
          <w:color w:val="0070C0"/>
          <w:sz w:val="20"/>
          <w:u w:val="single"/>
          <w:lang w:val="en-US" w:eastAsia="zh-CN"/>
        </w:rPr>
        <w:t xml:space="preserve"> </w:t>
      </w:r>
      <w:r w:rsidR="00532CEF">
        <w:rPr>
          <w:rFonts w:eastAsia="TimesNewRoman"/>
          <w:color w:val="0070C0"/>
          <w:sz w:val="20"/>
          <w:u w:val="single"/>
          <w:lang w:val="en-US" w:eastAsia="zh-CN"/>
        </w:rPr>
        <w:t>(including group-addressed transmissions</w:t>
      </w:r>
      <w:proofErr w:type="gramStart"/>
      <w:r w:rsidR="00532CEF">
        <w:rPr>
          <w:rFonts w:eastAsia="TimesNewRoman"/>
          <w:color w:val="0070C0"/>
          <w:sz w:val="20"/>
          <w:u w:val="single"/>
          <w:lang w:val="en-US" w:eastAsia="zh-CN"/>
        </w:rPr>
        <w:t>)</w:t>
      </w:r>
      <w:r w:rsidRPr="00875206">
        <w:rPr>
          <w:rFonts w:eastAsia="TimesNewRoman"/>
          <w:strike/>
          <w:color w:val="FF0000"/>
          <w:sz w:val="20"/>
          <w:lang w:val="en-US" w:eastAsia="zh-CN"/>
        </w:rPr>
        <w:t>to</w:t>
      </w:r>
      <w:proofErr w:type="gramEnd"/>
      <w:r w:rsidRPr="00875206">
        <w:rPr>
          <w:rFonts w:eastAsia="TimesNewRoman"/>
          <w:strike/>
          <w:color w:val="FF0000"/>
          <w:sz w:val="20"/>
          <w:lang w:val="en-US" w:eastAsia="zh-CN"/>
        </w:rPr>
        <w:t xml:space="preserve"> a non-NGV STA</w:t>
      </w:r>
      <w:r w:rsidRPr="002573E3">
        <w:rPr>
          <w:rFonts w:eastAsia="TimesNewRoman"/>
          <w:sz w:val="20"/>
          <w:lang w:val="en-US" w:eastAsia="zh-CN"/>
        </w:rPr>
        <w:t xml:space="preserve">. </w:t>
      </w:r>
      <w:r w:rsidRPr="00232FD7">
        <w:rPr>
          <w:rFonts w:eastAsia="TimesNewRoman"/>
          <w:strike/>
          <w:color w:val="FF0000"/>
          <w:sz w:val="20"/>
          <w:lang w:val="en-US" w:eastAsia="zh-CN"/>
        </w:rPr>
        <w:t>See 10.6.12 (Channel Width in non-HT and non-HT duplicate PPDUs).</w:t>
      </w:r>
      <w:r w:rsidR="00232FD7" w:rsidRPr="00232FD7">
        <w:rPr>
          <w:rFonts w:eastAsia="TimesNewRoman"/>
          <w:i/>
          <w:sz w:val="20"/>
          <w:highlight w:val="yellow"/>
          <w:lang w:val="en-US" w:eastAsia="zh-CN"/>
        </w:rPr>
        <w:t xml:space="preserve"> [CID 1218]</w:t>
      </w:r>
    </w:p>
    <w:p w:rsid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Default="00232FD7" w:rsidP="00232FD7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1218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---------------------------</w:t>
      </w:r>
    </w:p>
    <w:p w:rsidR="00232FD7" w:rsidRP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232FD7" w:rsidRPr="006B64C6" w:rsidTr="004E3846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textAlignment w:val="top"/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tabs>
                <w:tab w:val="left" w:pos="720"/>
              </w:tabs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center"/>
              <w:textAlignment w:val="top"/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32FD7" w:rsidRPr="006B64C6" w:rsidTr="004E3846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The annotation "First 7 bits of Scrambling Sequence as defined in Table 17-7" is missing on the top line of the switch.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7" w:rsidRPr="006B64C6" w:rsidRDefault="00232FD7" w:rsidP="004E384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32FD7" w:rsidRPr="006B64C6" w:rsidRDefault="00232FD7" w:rsidP="00F5052B">
            <w:pPr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32FD7" w:rsidRPr="006B64C6" w:rsidRDefault="00232FD7" w:rsidP="00F5052B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The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Figure 17-7 is updated to recover the missing text</w:t>
            </w: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.  </w:t>
            </w:r>
          </w:p>
          <w:p w:rsidR="00232FD7" w:rsidRPr="006B64C6" w:rsidRDefault="00232FD7" w:rsidP="00F5052B">
            <w:pPr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32FD7" w:rsidRDefault="00232FD7" w:rsidP="00F5052B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1469 as in </w:t>
            </w:r>
            <w:hyperlink r:id="rId13" w:history="1">
              <w:r w:rsidR="00F5052B" w:rsidRPr="008A6073">
                <w:rPr>
                  <w:rStyle w:val="ac"/>
                  <w:rFonts w:asciiTheme="minorHAnsi" w:eastAsia="宋体" w:hAnsiTheme="minorHAnsi" w:cstheme="minorHAnsi"/>
                  <w:sz w:val="16"/>
                  <w:szCs w:val="16"/>
                  <w:lang w:val="en-US" w:eastAsia="zh-CN"/>
                </w:rPr>
                <w:t>https://mentor.ieee.org/802.11/dcn/21/11-21-0006-01-00bd-cr-d1-0-clause-17-2-17-3.docx</w:t>
              </w:r>
            </w:hyperlink>
          </w:p>
          <w:p w:rsidR="00F5052B" w:rsidRPr="006B64C6" w:rsidRDefault="00F5052B" w:rsidP="00F5052B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</w:tbl>
    <w:p w:rsidR="00232FD7" w:rsidRP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Pr="00232FD7" w:rsidRDefault="00232FD7" w:rsidP="002573E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Default="00232FD7" w:rsidP="00232FD7"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1560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</w:t>
      </w:r>
    </w:p>
    <w:p w:rsidR="00232FD7" w:rsidRDefault="00232FD7" w:rsidP="00232FD7">
      <w:pPr>
        <w:rPr>
          <w:b/>
          <w:bCs/>
          <w:i/>
          <w:iCs/>
          <w:highlight w:val="yellow"/>
          <w:lang w:eastAsia="ko-KR"/>
        </w:rPr>
      </w:pPr>
    </w:p>
    <w:p w:rsidR="00503A2E" w:rsidRDefault="00232FD7" w:rsidP="00232FD7">
      <w:pPr>
        <w:spacing w:line="256" w:lineRule="auto"/>
        <w:rPr>
          <w:rFonts w:eastAsia="宋体"/>
          <w:b/>
          <w:sz w:val="20"/>
          <w:lang w:eastAsia="zh-CN"/>
        </w:rPr>
      </w:pPr>
      <w:r w:rsidRPr="002573E3">
        <w:rPr>
          <w:rFonts w:eastAsia="宋体"/>
          <w:b/>
          <w:sz w:val="20"/>
          <w:lang w:eastAsia="zh-CN"/>
        </w:rPr>
        <w:t>1</w:t>
      </w:r>
      <w:r w:rsidR="00503A2E">
        <w:rPr>
          <w:rFonts w:eastAsia="宋体"/>
          <w:b/>
          <w:sz w:val="20"/>
          <w:lang w:eastAsia="zh-CN"/>
        </w:rPr>
        <w:t>7.3.5.5 PHY DATA scrambler and descrambler</w:t>
      </w:r>
    </w:p>
    <w:p w:rsidR="00232FD7" w:rsidRPr="002573E3" w:rsidRDefault="00503A2E" w:rsidP="00232FD7">
      <w:pPr>
        <w:spacing w:line="256" w:lineRule="auto"/>
        <w:rPr>
          <w:rFonts w:eastAsia="宋体"/>
          <w:b/>
          <w:sz w:val="20"/>
          <w:lang w:eastAsia="zh-CN"/>
        </w:rPr>
      </w:pPr>
      <w:r>
        <w:rPr>
          <w:rFonts w:eastAsia="宋体"/>
          <w:b/>
          <w:sz w:val="20"/>
          <w:lang w:eastAsia="zh-CN"/>
        </w:rPr>
        <w:t xml:space="preserve">17.3.5.5 </w:t>
      </w:r>
      <w:r w:rsidR="00232FD7" w:rsidRPr="002573E3">
        <w:rPr>
          <w:rFonts w:eastAsia="宋体"/>
          <w:b/>
          <w:sz w:val="20"/>
          <w:lang w:eastAsia="zh-CN"/>
        </w:rPr>
        <w:t>.2.9 TXVECTOR CH_BANDWIDTH_IN_NON_NGV</w:t>
      </w:r>
    </w:p>
    <w:p w:rsidR="00503A2E" w:rsidRPr="00593068" w:rsidRDefault="00503A2E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i/>
          <w:sz w:val="20"/>
          <w:lang w:val="en-US" w:eastAsia="zh-CN"/>
        </w:rPr>
      </w:pPr>
      <w:r w:rsidRPr="00593068">
        <w:rPr>
          <w:rFonts w:eastAsia="TimesNewRoman"/>
          <w:i/>
          <w:sz w:val="20"/>
          <w:lang w:val="en-US" w:eastAsia="zh-CN"/>
        </w:rPr>
        <w:t>Make the following changes in Figure 17-7 (Data scrambler) and the following paragraphs:</w:t>
      </w:r>
    </w:p>
    <w:p w:rsidR="00593068" w:rsidRDefault="00593068" w:rsidP="00232F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  <w:highlight w:val="yellow"/>
          <w:lang w:eastAsia="ko-KR"/>
        </w:rPr>
      </w:pPr>
    </w:p>
    <w:p w:rsidR="00503A2E" w:rsidRDefault="00593068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lang w:val="en-US" w:eastAsia="zh-CN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replace Figure 17-7 with following figure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/>
          <w:b/>
          <w:bCs/>
          <w:i/>
          <w:iCs/>
          <w:highlight w:val="yellow"/>
          <w:lang w:eastAsia="zh-CN"/>
        </w:rPr>
        <w:t>1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.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>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1560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593068" w:rsidRPr="00593068" w:rsidRDefault="00593068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lang w:val="en-US" w:eastAsia="zh-CN"/>
        </w:rPr>
      </w:pPr>
    </w:p>
    <w:p w:rsidR="00593068" w:rsidRPr="00593068" w:rsidRDefault="00593068" w:rsidP="00593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NewRoman"/>
          <w:i/>
          <w:sz w:val="20"/>
          <w:lang w:val="en-US" w:eastAsia="zh-CN"/>
        </w:rPr>
      </w:pPr>
      <w:r w:rsidRPr="00593068">
        <w:rPr>
          <w:rFonts w:eastAsia="TimesNewRoman"/>
          <w:i/>
          <w:noProof/>
          <w:sz w:val="20"/>
          <w:lang w:val="en-US" w:eastAsia="zh-CN"/>
        </w:rPr>
        <w:lastRenderedPageBreak/>
        <w:drawing>
          <wp:inline distT="0" distB="0" distL="0" distR="0">
            <wp:extent cx="4483983" cy="221883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28" cy="222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68" w:rsidRDefault="00593068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i/>
          <w:sz w:val="20"/>
          <w:highlight w:val="yellow"/>
          <w:lang w:val="en-US" w:eastAsia="zh-CN"/>
        </w:rPr>
      </w:pPr>
    </w:p>
    <w:p w:rsidR="00232FD7" w:rsidRDefault="00232FD7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i/>
          <w:sz w:val="20"/>
          <w:lang w:val="en-US" w:eastAsia="zh-CN"/>
        </w:rPr>
      </w:pPr>
    </w:p>
    <w:p w:rsidR="00232FD7" w:rsidRDefault="00232FD7" w:rsidP="00232F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"/>
          <w:sz w:val="20"/>
          <w:lang w:val="en-US" w:eastAsia="zh-CN"/>
        </w:rPr>
      </w:pPr>
    </w:p>
    <w:p w:rsidR="00232FD7" w:rsidRDefault="00232FD7" w:rsidP="00232FD7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1</w:t>
      </w:r>
      <w:r w:rsidR="00593068">
        <w:rPr>
          <w:rFonts w:eastAsia="宋体"/>
          <w:b/>
          <w:i/>
          <w:sz w:val="24"/>
          <w:highlight w:val="yellow"/>
          <w:lang w:val="en-US" w:eastAsia="zh-CN"/>
        </w:rPr>
        <w:t>560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---------------------------</w:t>
      </w:r>
    </w:p>
    <w:p w:rsidR="00875206" w:rsidRPr="00875206" w:rsidRDefault="00875206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0A4B15" w:rsidRPr="006B64C6" w:rsidTr="00E1130B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textAlignment w:val="top"/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 w:rsidRPr="006B64C6">
              <w:rPr>
                <w:rFonts w:asciiTheme="minorHAnsi" w:eastAsiaTheme="minorEastAsia" w:hAnsiTheme="minorHAnsi" w:cs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tabs>
                <w:tab w:val="left" w:pos="720"/>
              </w:tabs>
              <w:jc w:val="center"/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Theme="minorEastAsia" w:hAnsiTheme="minorHAnsi" w:cs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15" w:rsidRPr="006B64C6" w:rsidRDefault="000A4B15" w:rsidP="00E1130B">
            <w:pPr>
              <w:jc w:val="center"/>
              <w:textAlignment w:val="top"/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"DYN_BANDWIDTH_IN_NON_NGV" associated with Table 17-10 should be "DYN_BANDWIDTH_IN_NON_HT."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6B64C6" w:rsidRPr="006B64C6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6B64C6" w:rsidRDefault="006B64C6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</w:t>
            </w:r>
            <w:r w:rsidR="0055563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The baseline description should be kept unchanged.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1151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33.52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Table 17-10 is "DYN_BANDWIDTH_IN_NON_HT values" in baseline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Modify "DYN_BANDWIDTH_IN_NON_NGV values" to "DYN_BANDWIDTH_IN_NON_HT"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The baseline description should be kept unchanged.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spacing w:after="0" w:line="240" w:lineRule="auto"/>
              <w:jc w:val="right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1150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33.53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spacing w:after="0" w:line="240" w:lineRule="auto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spacing w:after="0" w:line="240" w:lineRule="auto"/>
              <w:rPr>
                <w:rFonts w:asciiTheme="minorHAnsi" w:eastAsia="宋体" w:hAnsiTheme="minorHAnsi" w:cstheme="minorHAnsi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Table number is mismatched with P35L58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Align the Table number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555633" w:rsidRPr="006B64C6" w:rsidRDefault="00555633" w:rsidP="00555633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on the comment. The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referred table (Table 17-10a) is numbered as Table 17-10b. The referred table number should be aligned.</w:t>
            </w: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555633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6B64C6" w:rsidRPr="006B64C6" w:rsidRDefault="00555633" w:rsidP="0055563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Please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change the Table number “Table 17-10b” to “Table 17-10a” at pg35/ln58 in IEEE P802.11bd D1.0.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33.64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"If the TXVECTOR parameter SCRAMBLER_RESET is set to RESET_SCRAMBLER and ...</w:t>
            </w:r>
            <w:proofErr w:type="gram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  But</w:t>
            </w:r>
            <w:proofErr w:type="gram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, SCRAMBLER_RESET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can not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be found in Table 32-1 (TXVECTOR and RXVECTOR parameters).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Please clarify.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</w:t>
            </w:r>
            <w:r w:rsidR="0000695B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jected</w:t>
            </w:r>
          </w:p>
          <w:p w:rsidR="006B64C6" w:rsidRPr="006B64C6" w:rsidRDefault="0000695B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 w:rsidR="006B64C6" w:rsidRPr="006B64C6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6B64C6" w:rsidRPr="006B64C6" w:rsidRDefault="0000695B" w:rsidP="0000695B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The TXVECTOR parameter SCRAMBLER_RESET is available when the value of FORMAT is OFDM</w:t>
            </w:r>
            <w:r w:rsidR="006B64C6"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It’s defined for devices compliant with sub-clause 17. While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lastRenderedPageBreak/>
              <w:t>Table 32-1 is used to define parameters for NGV.</w:t>
            </w:r>
            <w:r w:rsidR="006B64C6" w:rsidRPr="006B64C6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 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0538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34.38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5383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5383">
              <w:rPr>
                <w:rFonts w:asciiTheme="minorHAnsi" w:hAnsiTheme="minorHAnsi" w:cstheme="minorHAnsi"/>
                <w:sz w:val="16"/>
                <w:szCs w:val="16"/>
              </w:rPr>
              <w:t>The inserted text reads "or CH_BANDWIDTH_IN_NON_NGV is present and DYN_BANDWIDTH_IN_NOT_NGV is not present in TXVECTOR". However the DYN_BANDWIDTH_IN_NON_NGV should be present in this row. Otherwise the parameters  would be the same as in the previous row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F05383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5383">
              <w:rPr>
                <w:rFonts w:asciiTheme="minorHAnsi" w:hAnsiTheme="minorHAnsi" w:cstheme="minorHAnsi"/>
                <w:sz w:val="16"/>
                <w:szCs w:val="16"/>
              </w:rPr>
              <w:t>Remove "not" before present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5B" w:rsidRPr="00F05383" w:rsidRDefault="0000695B" w:rsidP="0000695B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00695B" w:rsidRPr="00F05383" w:rsidRDefault="0000695B" w:rsidP="0000695B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F05383" w:rsidRDefault="0000695B" w:rsidP="007C54FA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Agree on the comment. The intention of the second TXVECTOR row is to define the case when DYN_BANDWIDTH_IN_NON_NGV is present.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And the parameter “</w:t>
            </w:r>
            <w:r w:rsidR="007C54FA" w:rsidRPr="00F05383">
              <w:rPr>
                <w:rFonts w:asciiTheme="minorHAnsi" w:hAnsiTheme="minorHAnsi" w:cstheme="minorHAnsi"/>
                <w:sz w:val="16"/>
                <w:szCs w:val="16"/>
              </w:rPr>
              <w:t xml:space="preserve"> DYN_BANDWIDTH_IN_NOT_NGV” is a typo which should be “ DYN_BANDWIDTH_IN_NON_NGV”</w:t>
            </w:r>
          </w:p>
          <w:p w:rsidR="0000695B" w:rsidRPr="00F05383" w:rsidRDefault="0000695B" w:rsidP="0000695B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00695B" w:rsidRPr="00F05383" w:rsidRDefault="0000695B" w:rsidP="0000695B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F05383" w:rsidRDefault="0000695B" w:rsidP="007C54FA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In Table 17-7 in page 34 in IEEE P802.11bd D1.0, please replace “ DYN_BANDWIDTH_IN_NOT_NGV” with “ DYN_BANDWIDTH_IN_NON_NGV” in the condition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cell of the first TXVECTOR row;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  <w:p w:rsidR="0000695B" w:rsidRPr="00F05383" w:rsidRDefault="0000695B" w:rsidP="007C54FA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and</w:t>
            </w:r>
            <w:proofErr w:type="gramEnd"/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replace “ DYN_BANDWIDTH_IN_NOT_NGV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is not present in TXVECTOR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” with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“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DYN_BANDWIDTH_IN_NON_NGV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is present in TXVECTOR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 w:rsidR="007C54FA"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in the condition cell of the second TXVECTOR row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6B64C6" w:rsidRPr="006B64C6" w:rsidTr="00A84ACC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84ACC">
              <w:rPr>
                <w:rFonts w:asciiTheme="minorHAnsi" w:hAnsiTheme="minorHAnsi" w:cstheme="minorHAnsi"/>
                <w:sz w:val="16"/>
                <w:szCs w:val="16"/>
              </w:rPr>
              <w:t>1412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34.49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4ACC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4ACC">
              <w:rPr>
                <w:rFonts w:asciiTheme="minorHAnsi" w:hAnsiTheme="minorHAnsi" w:cstheme="minorHAnsi"/>
                <w:sz w:val="16"/>
                <w:szCs w:val="16"/>
              </w:rPr>
              <w:t>I think none of those 4 parameters can be present, for the last row of the table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A84ACC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84ACC">
              <w:rPr>
                <w:rFonts w:asciiTheme="minorHAnsi" w:hAnsiTheme="minorHAnsi" w:cstheme="minorHAnsi"/>
                <w:sz w:val="16"/>
                <w:szCs w:val="16"/>
              </w:rPr>
              <w:t>Change "or" to "and" in the second cell from left at the referenced location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4C6" w:rsidRPr="00F5052B" w:rsidRDefault="00A84ACC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F5052B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 w:rsidR="006B64C6" w:rsidRPr="00F5052B" w:rsidRDefault="00F5052B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F5052B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 w:rsidR="006B64C6" w:rsidRPr="00F5052B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6B64C6" w:rsidRPr="00F5052B" w:rsidRDefault="00A84ACC" w:rsidP="00F5052B">
            <w:pPr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For RXVECTOR, the “Condition” cell is more like the interpretation of the “First 7 bits of scrambling sequence” field in a received PPDU. </w:t>
            </w:r>
            <w:r w:rsidR="006B64C6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Agree </w:t>
            </w:r>
            <w:r w:rsidR="0076034C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that the </w:t>
            </w:r>
            <w:r w:rsidR="001A4850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2 Non-HT parameters cannot be present together with the 2 Non-NGV parameters</w:t>
            </w:r>
            <w:r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in RXVECTOR</w:t>
            </w:r>
            <w:r w:rsidR="001A4850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  <w:r w:rsidR="00F5052B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But d</w:t>
            </w:r>
            <w:r w:rsid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e</w:t>
            </w:r>
            <w:r w:rsidR="001A4850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pending on the parameter FORMAT, </w:t>
            </w:r>
            <w:r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only one set of parameters will be present.</w:t>
            </w:r>
            <w:r w:rsidR="00F5052B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So “add” here is not c</w:t>
            </w:r>
            <w:bookmarkStart w:id="0" w:name="_GoBack"/>
            <w:bookmarkEnd w:id="0"/>
            <w:r w:rsidR="00F5052B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orrect.</w:t>
            </w:r>
            <w:r w:rsidR="001A3EA0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="006B64C6" w:rsidRPr="00F5052B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 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1620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34.51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Reference to Table 17-9 reads: (see Table 17-9 (RXVECTOR parameter CH_BANDWIDTH_IN_NON_NGV values)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Replace Reference to Table 17-9 with following text: (see Table 17-9 (RXVECTOR parameter CH_BANDWIDTH_IN_NON_HT values)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6" w:rsidRPr="00A84ACC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884D96" w:rsidRPr="00A84ACC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6B64C6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Typo in the title of the referred Table 17-9</w:t>
            </w: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.   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35.18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ITS spectrum is shrinking.  So the </w:t>
            </w:r>
            <w:proofErr w:type="spellStart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utlility</w:t>
            </w:r>
            <w:proofErr w:type="spellEnd"/>
            <w:r w:rsidRPr="006B64C6">
              <w:rPr>
                <w:rFonts w:asciiTheme="minorHAnsi" w:hAnsiTheme="minorHAnsi" w:cstheme="minorHAnsi"/>
                <w:sz w:val="16"/>
                <w:szCs w:val="16"/>
              </w:rPr>
              <w:t xml:space="preserve"> of 20MHz NGV is very sketchy.  Furthermore, the 20MHz NGV mode isn't even coexistent or backward compatible with 11a (like every other modern PHY).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Remove the 20MHz CBW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96" w:rsidRPr="00A84ACC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 w:rsidR="00884D96" w:rsidRPr="00A84ACC" w:rsidRDefault="00F05383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 w:rsidR="00884D96"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6B64C6" w:rsidRPr="006B64C6" w:rsidRDefault="00884D96" w:rsidP="00884D9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20 MHz CBW is one of the primary factors to enable the requested NGV performance as defined in PAR</w:t>
            </w: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35.27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"DYN_BANDWIDTH_IN_NON_NGV shall be ..." appears twice in the same paragraph.  The first appearance should be CH_BANDWIDTH_IN_NON_NGV based on the context (Table 17-9a).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Pr="00F05383" w:rsidRDefault="00F05383" w:rsidP="00F05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According to the context, the first “DYN_BANDWIDTH_IN_NON_NGV” should be “CH_BANDWIDTH_IN_NON_NGV” since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lastRenderedPageBreak/>
              <w:t>it’s determined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from selected bits in the scrambling sequence as shown in Table 17-7 (Contents of the</w:t>
            </w: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first 7 bits of the scrambling sequence) and Table 17-9a (RXVECTOR parameter CH_BANDWIDTH_IN_NON_NGV values)</w:t>
            </w: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1563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35.33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Add "and Table 17-10a (DYN_BANDWIDTH_IN_NON_NG values)" at the end of "Table 17-7 (Contents of the first 7 bits of the scrambling sequence)."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6B64C6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Agree that adding reference to Table 17-10a will be clearer. The original comment has some typo in proposed changes. An improved modification is proposed as below.</w:t>
            </w:r>
          </w:p>
          <w:p w:rsidR="00F05383" w:rsidRPr="00F05383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 w:rsidRPr="00F05383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F05383" w:rsidRPr="006B64C6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 w:rsidRPr="00F05383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Please add “and Table 17-10a (DYN_BANDWIDTH_IN_NON_NGV values)” at the end of “Table 17-7 (Contents of the first 7 bits of the scrambling sequence)” at ln33/pg35 in sub-clause 17.3.5.5 in IEEE P802.11bd D1.0.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1564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5C3484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</w:pPr>
            <w:r w:rsidRPr="005C3484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 w:bidi="ar"/>
              </w:rPr>
              <w:t>35.58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17.3.5.5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"Table 17-10b" should be "Table 17-10a."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B64C6">
              <w:rPr>
                <w:rFonts w:asciiTheme="minorHAnsi" w:hAnsiTheme="minorHAnsi" w:cstheme="minorHAnsi"/>
                <w:sz w:val="16"/>
                <w:szCs w:val="16"/>
              </w:rPr>
              <w:t>As in the comment.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 w:rsidR="00F05383" w:rsidRPr="00A84ACC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</w:t>
            </w:r>
            <w:r w:rsidRPr="00A84ACC">
              <w:rPr>
                <w:rFonts w:asciiTheme="minorHAnsi" w:eastAsia="宋体" w:hAnsiTheme="minorHAnsi" w:cs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 w:rsidR="006B64C6" w:rsidRPr="006B64C6" w:rsidRDefault="00F05383" w:rsidP="00F05383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  <w:r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The same issue was addressed by CID 1550 and same change was proposed to change “Table 17-10b” to “Table 17-10a”</w:t>
            </w:r>
            <w:r w:rsidRPr="00A84ACC"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6B64C6" w:rsidRPr="006B64C6" w:rsidTr="000048F8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right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6" w:rsidRPr="006B64C6" w:rsidRDefault="006B64C6" w:rsidP="006B64C6">
            <w:pPr>
              <w:jc w:val="both"/>
              <w:textAlignment w:val="top"/>
              <w:rPr>
                <w:rFonts w:asciiTheme="minorHAnsi" w:eastAsia="宋体" w:hAnsiTheme="minorHAnsi" w:cstheme="minorHAnsi"/>
                <w:color w:val="000000"/>
                <w:sz w:val="16"/>
                <w:szCs w:val="16"/>
                <w:highlight w:val="green"/>
                <w:lang w:val="en-US" w:eastAsia="zh-CN"/>
              </w:rPr>
            </w:pPr>
          </w:p>
        </w:tc>
      </w:tr>
    </w:tbl>
    <w:p w:rsidR="000A4B15" w:rsidRDefault="000A4B15">
      <w:pPr>
        <w:rPr>
          <w:rFonts w:eastAsiaTheme="minorEastAsia"/>
          <w:b/>
          <w:bCs/>
          <w:i/>
          <w:iCs/>
          <w:lang w:eastAsia="zh-CN"/>
        </w:rPr>
      </w:pPr>
    </w:p>
    <w:p w:rsidR="00232FD7" w:rsidRDefault="00232FD7">
      <w:pPr>
        <w:rPr>
          <w:rFonts w:eastAsiaTheme="minorEastAsia"/>
          <w:b/>
          <w:bCs/>
          <w:i/>
          <w:iCs/>
          <w:lang w:eastAsia="zh-CN"/>
        </w:rPr>
      </w:pPr>
    </w:p>
    <w:p w:rsidR="00875206" w:rsidRDefault="00875206">
      <w:pPr>
        <w:rPr>
          <w:rFonts w:eastAsiaTheme="minorEastAsia"/>
          <w:b/>
          <w:bCs/>
          <w:i/>
          <w:iCs/>
          <w:lang w:eastAsia="zh-CN"/>
        </w:rPr>
      </w:pPr>
    </w:p>
    <w:p w:rsidR="00875206" w:rsidRPr="006B64C6" w:rsidRDefault="00875206">
      <w:pPr>
        <w:rPr>
          <w:rFonts w:eastAsiaTheme="minorEastAsia"/>
          <w:b/>
          <w:bCs/>
          <w:i/>
          <w:iCs/>
          <w:lang w:eastAsia="zh-CN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0A4B15" w:rsidRDefault="000A4B15">
      <w:pPr>
        <w:rPr>
          <w:b/>
          <w:bCs/>
          <w:i/>
          <w:iCs/>
          <w:lang w:eastAsia="ko-KR"/>
        </w:rPr>
      </w:pPr>
    </w:p>
    <w:p w:rsidR="005C1BDB" w:rsidRDefault="005C1BDB">
      <w:pPr>
        <w:rPr>
          <w:b/>
          <w:bCs/>
          <w:i/>
          <w:iCs/>
          <w:lang w:eastAsia="ko-KR"/>
        </w:rPr>
      </w:pPr>
    </w:p>
    <w:p w:rsidR="005C1BDB" w:rsidRPr="00A40680" w:rsidRDefault="005C1BDB">
      <w:pPr>
        <w:rPr>
          <w:b/>
          <w:color w:val="000000"/>
          <w:sz w:val="28"/>
          <w:lang w:val="en-US" w:eastAsia="ko-KR"/>
        </w:rPr>
      </w:pPr>
    </w:p>
    <w:p w:rsidR="005C1BDB" w:rsidRDefault="00184631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5C1BDB" w:rsidRDefault="00184631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5C1BDB" w:rsidRDefault="00184631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 w:rsidR="00024D9D">
        <w:rPr>
          <w:b/>
          <w:color w:val="000000"/>
          <w:sz w:val="28"/>
          <w:lang w:val="en-US" w:eastAsia="ko-KR"/>
        </w:rPr>
        <w:t>1</w:t>
      </w:r>
      <w:r>
        <w:rPr>
          <w:rFonts w:eastAsia="宋体" w:hint="eastAsia"/>
          <w:b/>
          <w:color w:val="000000"/>
          <w:sz w:val="28"/>
          <w:lang w:val="en-US" w:eastAsia="zh-CN"/>
        </w:rPr>
        <w:t>.</w:t>
      </w:r>
      <w:r w:rsidR="00024D9D">
        <w:rPr>
          <w:rFonts w:eastAsia="宋体"/>
          <w:b/>
          <w:color w:val="000000"/>
          <w:sz w:val="28"/>
          <w:lang w:val="en-US" w:eastAsia="zh-CN"/>
        </w:rPr>
        <w:t>0</w:t>
      </w:r>
      <w:r>
        <w:rPr>
          <w:b/>
          <w:color w:val="000000"/>
          <w:sz w:val="28"/>
          <w:lang w:val="en-US" w:eastAsia="ko-KR"/>
        </w:rPr>
        <w:t xml:space="preserve">, </w:t>
      </w:r>
      <w:r w:rsidR="00024D9D">
        <w:rPr>
          <w:b/>
          <w:color w:val="000000"/>
          <w:sz w:val="28"/>
          <w:lang w:val="en-US" w:eastAsia="ko-KR"/>
        </w:rPr>
        <w:t>Oct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 w:rsidR="005C1BDB">
      <w:headerReference w:type="default" r:id="rId15"/>
      <w:footerReference w:type="default" r:id="rId16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A2" w:rsidRDefault="00A53CA2">
      <w:pPr>
        <w:spacing w:after="0" w:line="240" w:lineRule="auto"/>
      </w:pPr>
      <w:r>
        <w:separator/>
      </w:r>
    </w:p>
  </w:endnote>
  <w:endnote w:type="continuationSeparator" w:id="0">
    <w:p w:rsidR="00A53CA2" w:rsidRDefault="00A5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06" w:rsidRDefault="00623E2B">
    <w:pPr>
      <w:pStyle w:val="a6"/>
      <w:tabs>
        <w:tab w:val="clear" w:pos="6480"/>
        <w:tab w:val="center" w:pos="4680"/>
        <w:tab w:val="right" w:pos="9360"/>
      </w:tabs>
    </w:pPr>
    <w:fldSimple w:instr=" SUBJECT  \* MERGEFORMAT ">
      <w:r w:rsidR="00875206">
        <w:t>Submission</w:t>
      </w:r>
    </w:fldSimple>
    <w:r w:rsidR="00875206">
      <w:tab/>
      <w:t xml:space="preserve">page </w:t>
    </w:r>
    <w:r w:rsidR="00875206">
      <w:fldChar w:fldCharType="begin"/>
    </w:r>
    <w:r w:rsidR="00875206">
      <w:instrText xml:space="preserve">page </w:instrText>
    </w:r>
    <w:r w:rsidR="00875206">
      <w:fldChar w:fldCharType="separate"/>
    </w:r>
    <w:r w:rsidR="00F5052B">
      <w:rPr>
        <w:noProof/>
      </w:rPr>
      <w:t>7</w:t>
    </w:r>
    <w:r w:rsidR="00875206">
      <w:fldChar w:fldCharType="end"/>
    </w:r>
    <w:r w:rsidR="00875206">
      <w:tab/>
    </w:r>
    <w:r w:rsidR="00875206">
      <w:rPr>
        <w:rFonts w:eastAsia="宋体" w:hint="eastAsia"/>
        <w:lang w:eastAsia="zh-CN"/>
      </w:rPr>
      <w:t>Bo Sun</w:t>
    </w:r>
    <w:r w:rsidR="00875206">
      <w:rPr>
        <w:lang w:eastAsia="ko-KR"/>
      </w:rPr>
      <w:t xml:space="preserve"> (</w:t>
    </w:r>
    <w:r w:rsidR="00875206">
      <w:rPr>
        <w:rFonts w:eastAsia="宋体" w:hint="eastAsia"/>
        <w:lang w:eastAsia="zh-CN"/>
      </w:rPr>
      <w:t>ZTE</w:t>
    </w:r>
    <w:r w:rsidR="00875206">
      <w:rPr>
        <w:lang w:eastAsia="ko-KR"/>
      </w:rPr>
      <w:t>)</w:t>
    </w:r>
  </w:p>
  <w:p w:rsidR="00875206" w:rsidRDefault="008752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A2" w:rsidRDefault="00A53CA2">
      <w:pPr>
        <w:spacing w:after="0" w:line="240" w:lineRule="auto"/>
      </w:pPr>
      <w:r>
        <w:separator/>
      </w:r>
    </w:p>
  </w:footnote>
  <w:footnote w:type="continuationSeparator" w:id="0">
    <w:p w:rsidR="00A53CA2" w:rsidRDefault="00A5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06" w:rsidRDefault="00875206">
    <w:pPr>
      <w:pStyle w:val="a7"/>
      <w:tabs>
        <w:tab w:val="clear" w:pos="6480"/>
        <w:tab w:val="center" w:pos="4680"/>
        <w:tab w:val="right" w:pos="9360"/>
      </w:tabs>
    </w:pPr>
    <w:r>
      <w:rPr>
        <w:rFonts w:eastAsia="宋体"/>
        <w:lang w:val="en-US" w:eastAsia="zh-CN"/>
      </w:rPr>
      <w:t>Jan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</w:t>
      </w:r>
      <w:r>
        <w:rPr>
          <w:rFonts w:eastAsia="宋体" w:hint="eastAsia"/>
          <w:lang w:val="en-US" w:eastAsia="zh-CN"/>
        </w:rPr>
        <w:t>2</w:t>
      </w:r>
      <w:r>
        <w:rPr>
          <w:rFonts w:eastAsia="宋体"/>
          <w:lang w:val="en-US" w:eastAsia="zh-CN"/>
        </w:rPr>
        <w:t>1</w:t>
      </w:r>
      <w:r>
        <w:t>/</w:t>
      </w:r>
      <w:r>
        <w:rPr>
          <w:rFonts w:eastAsia="宋体" w:hint="eastAsia"/>
          <w:lang w:val="en-US" w:eastAsia="zh-CN"/>
        </w:rPr>
        <w:t>0</w:t>
      </w:r>
      <w:r>
        <w:rPr>
          <w:rFonts w:eastAsia="宋体"/>
          <w:lang w:val="en-US" w:eastAsia="zh-CN"/>
        </w:rPr>
        <w:t>006</w:t>
      </w:r>
      <w:r>
        <w:rPr>
          <w:lang w:eastAsia="ko-KR"/>
        </w:rPr>
        <w:t>r</w:t>
      </w:r>
    </w:fldSimple>
    <w:r w:rsidR="00E6043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8F8"/>
    <w:rsid w:val="00004971"/>
    <w:rsid w:val="0000567E"/>
    <w:rsid w:val="00006454"/>
    <w:rsid w:val="000067AA"/>
    <w:rsid w:val="0000695B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0442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273E"/>
    <w:rsid w:val="00053317"/>
    <w:rsid w:val="00053519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36B3"/>
    <w:rsid w:val="000A4B15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3F66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C1F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5BF1"/>
    <w:rsid w:val="00156C4B"/>
    <w:rsid w:val="00156DE8"/>
    <w:rsid w:val="00160AD1"/>
    <w:rsid w:val="00160FA3"/>
    <w:rsid w:val="0016275E"/>
    <w:rsid w:val="0016283A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3EA0"/>
    <w:rsid w:val="001A4660"/>
    <w:rsid w:val="001A4850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2C6D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0F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2FD7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00F"/>
    <w:rsid w:val="0025375C"/>
    <w:rsid w:val="002539AB"/>
    <w:rsid w:val="002547A3"/>
    <w:rsid w:val="00255A8B"/>
    <w:rsid w:val="002569EA"/>
    <w:rsid w:val="002573E3"/>
    <w:rsid w:val="00261496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89B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5303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5D3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68F6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620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8DB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2E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2CEF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633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6797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945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3068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9FC"/>
    <w:rsid w:val="005A5B1F"/>
    <w:rsid w:val="005A624A"/>
    <w:rsid w:val="005A65B6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BDB"/>
    <w:rsid w:val="005C1D3E"/>
    <w:rsid w:val="005C1F2F"/>
    <w:rsid w:val="005C3484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5D1A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3E2B"/>
    <w:rsid w:val="0062440B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1F31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B64C6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4A6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017C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2DDD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34C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4FA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2D73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0DC8"/>
    <w:rsid w:val="007F147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680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206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4D96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1902"/>
    <w:rsid w:val="0091261A"/>
    <w:rsid w:val="009130B5"/>
    <w:rsid w:val="00913A3A"/>
    <w:rsid w:val="00914B92"/>
    <w:rsid w:val="00914F39"/>
    <w:rsid w:val="0091500C"/>
    <w:rsid w:val="009153E8"/>
    <w:rsid w:val="00915758"/>
    <w:rsid w:val="0091630C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15BC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680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337D"/>
    <w:rsid w:val="00A53CA2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ACC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2B1C"/>
    <w:rsid w:val="00AB31BE"/>
    <w:rsid w:val="00AB4292"/>
    <w:rsid w:val="00AB4A70"/>
    <w:rsid w:val="00AB4E0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C00"/>
    <w:rsid w:val="00B2361F"/>
    <w:rsid w:val="00B23ED4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67EC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8774F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00A"/>
    <w:rsid w:val="00BB0CDB"/>
    <w:rsid w:val="00BB20F2"/>
    <w:rsid w:val="00BB2BC9"/>
    <w:rsid w:val="00BB4D87"/>
    <w:rsid w:val="00BB5178"/>
    <w:rsid w:val="00BB67AE"/>
    <w:rsid w:val="00BB728B"/>
    <w:rsid w:val="00BB7702"/>
    <w:rsid w:val="00BB7718"/>
    <w:rsid w:val="00BC049F"/>
    <w:rsid w:val="00BC1311"/>
    <w:rsid w:val="00BC2697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47E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432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23D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6484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2906"/>
    <w:rsid w:val="00D72BC8"/>
    <w:rsid w:val="00D72BCE"/>
    <w:rsid w:val="00D73E07"/>
    <w:rsid w:val="00D745BF"/>
    <w:rsid w:val="00D74654"/>
    <w:rsid w:val="00D74A52"/>
    <w:rsid w:val="00D74DE9"/>
    <w:rsid w:val="00D76B9C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6CEB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304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0432"/>
    <w:rsid w:val="00E610D6"/>
    <w:rsid w:val="00E62A4F"/>
    <w:rsid w:val="00E62D53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0E2"/>
    <w:rsid w:val="00EE7CAE"/>
    <w:rsid w:val="00EE7DA9"/>
    <w:rsid w:val="00EF003C"/>
    <w:rsid w:val="00EF16B1"/>
    <w:rsid w:val="00EF1E6B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5383"/>
    <w:rsid w:val="00F0616F"/>
    <w:rsid w:val="00F061A9"/>
    <w:rsid w:val="00F100D0"/>
    <w:rsid w:val="00F109FC"/>
    <w:rsid w:val="00F13159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052B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54950F8"/>
    <w:rsid w:val="054B756F"/>
    <w:rsid w:val="054F2645"/>
    <w:rsid w:val="057C0CE8"/>
    <w:rsid w:val="05A32C1A"/>
    <w:rsid w:val="06642D58"/>
    <w:rsid w:val="06AA41E6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EF7A71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420B5D"/>
    <w:rsid w:val="115C65B4"/>
    <w:rsid w:val="11FC6A27"/>
    <w:rsid w:val="12C54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B7C1894"/>
    <w:rsid w:val="1C2911C9"/>
    <w:rsid w:val="1C54016E"/>
    <w:rsid w:val="1C956193"/>
    <w:rsid w:val="1CEB2BB4"/>
    <w:rsid w:val="1D42065A"/>
    <w:rsid w:val="1E5B5EC7"/>
    <w:rsid w:val="1E86774A"/>
    <w:rsid w:val="1ED9269A"/>
    <w:rsid w:val="1F83199D"/>
    <w:rsid w:val="1F8B7688"/>
    <w:rsid w:val="202D7F8E"/>
    <w:rsid w:val="20391AAD"/>
    <w:rsid w:val="20A6591C"/>
    <w:rsid w:val="21023199"/>
    <w:rsid w:val="210353C2"/>
    <w:rsid w:val="210E4C06"/>
    <w:rsid w:val="211704E4"/>
    <w:rsid w:val="22D639BC"/>
    <w:rsid w:val="22F84D04"/>
    <w:rsid w:val="23875C75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DF5DBF"/>
    <w:rsid w:val="28E46A45"/>
    <w:rsid w:val="28E551BA"/>
    <w:rsid w:val="29385966"/>
    <w:rsid w:val="29DD2713"/>
    <w:rsid w:val="29DD5E86"/>
    <w:rsid w:val="2A0F1D23"/>
    <w:rsid w:val="2A120ECF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1166F6"/>
    <w:rsid w:val="2E230872"/>
    <w:rsid w:val="2E435EF8"/>
    <w:rsid w:val="2ECF5747"/>
    <w:rsid w:val="2F2C5129"/>
    <w:rsid w:val="2F3D75CE"/>
    <w:rsid w:val="2F68173A"/>
    <w:rsid w:val="315318A8"/>
    <w:rsid w:val="32026D3A"/>
    <w:rsid w:val="320423E4"/>
    <w:rsid w:val="32C87632"/>
    <w:rsid w:val="34705317"/>
    <w:rsid w:val="347F7CF7"/>
    <w:rsid w:val="34C9587F"/>
    <w:rsid w:val="35724E58"/>
    <w:rsid w:val="357F367C"/>
    <w:rsid w:val="36380D3C"/>
    <w:rsid w:val="367D6861"/>
    <w:rsid w:val="36FB6958"/>
    <w:rsid w:val="37255AC3"/>
    <w:rsid w:val="37BA657C"/>
    <w:rsid w:val="37D44B9F"/>
    <w:rsid w:val="37EA7372"/>
    <w:rsid w:val="381964F7"/>
    <w:rsid w:val="38495983"/>
    <w:rsid w:val="385015A0"/>
    <w:rsid w:val="38973D20"/>
    <w:rsid w:val="39E61E72"/>
    <w:rsid w:val="3A730EC7"/>
    <w:rsid w:val="3AE34418"/>
    <w:rsid w:val="3BCD2CC4"/>
    <w:rsid w:val="3BDC6EBD"/>
    <w:rsid w:val="3C1465BE"/>
    <w:rsid w:val="3C8F31E7"/>
    <w:rsid w:val="3DDE27ED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409A077F"/>
    <w:rsid w:val="409B0F67"/>
    <w:rsid w:val="40A66AF8"/>
    <w:rsid w:val="41EA282C"/>
    <w:rsid w:val="41F37324"/>
    <w:rsid w:val="42377A2A"/>
    <w:rsid w:val="42DC07B8"/>
    <w:rsid w:val="42E7145B"/>
    <w:rsid w:val="43F96AEC"/>
    <w:rsid w:val="449E18B5"/>
    <w:rsid w:val="44F26AFA"/>
    <w:rsid w:val="452A514F"/>
    <w:rsid w:val="454631F5"/>
    <w:rsid w:val="4549473E"/>
    <w:rsid w:val="454C66FB"/>
    <w:rsid w:val="45945252"/>
    <w:rsid w:val="47431825"/>
    <w:rsid w:val="47670C42"/>
    <w:rsid w:val="489111CF"/>
    <w:rsid w:val="489F752B"/>
    <w:rsid w:val="48E21C2E"/>
    <w:rsid w:val="4AA2162A"/>
    <w:rsid w:val="4B7A28B4"/>
    <w:rsid w:val="4C142F61"/>
    <w:rsid w:val="4D001B6A"/>
    <w:rsid w:val="4D0F515E"/>
    <w:rsid w:val="4D335CEB"/>
    <w:rsid w:val="4D7748BB"/>
    <w:rsid w:val="4E3F7CAD"/>
    <w:rsid w:val="4F4C27A5"/>
    <w:rsid w:val="4FC5464D"/>
    <w:rsid w:val="506F51DD"/>
    <w:rsid w:val="50AB5CA9"/>
    <w:rsid w:val="510E151A"/>
    <w:rsid w:val="51477848"/>
    <w:rsid w:val="51603505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807B44"/>
    <w:rsid w:val="54A92793"/>
    <w:rsid w:val="558521EC"/>
    <w:rsid w:val="55BF7650"/>
    <w:rsid w:val="565060DE"/>
    <w:rsid w:val="56B179C6"/>
    <w:rsid w:val="56D318DA"/>
    <w:rsid w:val="570E723C"/>
    <w:rsid w:val="57D07D4C"/>
    <w:rsid w:val="584930A0"/>
    <w:rsid w:val="58BC50D5"/>
    <w:rsid w:val="58D55DCD"/>
    <w:rsid w:val="591068CC"/>
    <w:rsid w:val="592C1673"/>
    <w:rsid w:val="595C23AE"/>
    <w:rsid w:val="59A761E4"/>
    <w:rsid w:val="5A0D34A7"/>
    <w:rsid w:val="5A912175"/>
    <w:rsid w:val="5B22769E"/>
    <w:rsid w:val="5B5076BC"/>
    <w:rsid w:val="5BA62D1A"/>
    <w:rsid w:val="5C5A4DEE"/>
    <w:rsid w:val="5CAE4041"/>
    <w:rsid w:val="5CBA71E1"/>
    <w:rsid w:val="5CDA24E4"/>
    <w:rsid w:val="5CF11829"/>
    <w:rsid w:val="5D684D0C"/>
    <w:rsid w:val="5E9C6CB5"/>
    <w:rsid w:val="5EEA4C36"/>
    <w:rsid w:val="5EEF7EF4"/>
    <w:rsid w:val="60370D10"/>
    <w:rsid w:val="61993042"/>
    <w:rsid w:val="61CD7DCD"/>
    <w:rsid w:val="62302D4D"/>
    <w:rsid w:val="63427CB4"/>
    <w:rsid w:val="63A2403C"/>
    <w:rsid w:val="646303D2"/>
    <w:rsid w:val="64A06F63"/>
    <w:rsid w:val="65290234"/>
    <w:rsid w:val="65963BA6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B963D88"/>
    <w:rsid w:val="6BE25AF2"/>
    <w:rsid w:val="6BEC0EB1"/>
    <w:rsid w:val="6C5E6FB5"/>
    <w:rsid w:val="6C6C089A"/>
    <w:rsid w:val="6E832BB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3DC2C08"/>
    <w:rsid w:val="740B002B"/>
    <w:rsid w:val="747C0D37"/>
    <w:rsid w:val="749B0486"/>
    <w:rsid w:val="74BA561B"/>
    <w:rsid w:val="75CD389B"/>
    <w:rsid w:val="75FA7B1D"/>
    <w:rsid w:val="762D6E77"/>
    <w:rsid w:val="764E284B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63093E"/>
    <w:rsid w:val="7F952465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6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7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annotation subject"/>
    <w:basedOn w:val="a3"/>
    <w:next w:val="a3"/>
    <w:link w:val="Char1"/>
    <w:qFormat/>
    <w:pPr>
      <w:spacing w:after="0"/>
    </w:pPr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Char0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har">
    <w:name w:val="批注文字 Char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宋体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rFonts w:eastAsia="宋体"/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宋体"/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eastAsia="宋体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eastAsia="宋体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ntor.ieee.org/802.11/dcn/21/11-21-0006-01-00bd-cr-d1-0-clause-17-2-17-3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ntor.ieee.org/802.11/dcn/21/11-21-0006-01-00bd-cr-d1-0-clause-17-2-17-3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4FD7-D948-4E45-9A4E-2FC94796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C0C4E-C48E-4B45-91E9-8D964EF9D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8952F-D38C-40AF-88DB-82763E103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D55897CF-6950-411E-B70B-B0F83398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9512</Characters>
  <Application>Microsoft Office Word</Application>
  <DocSecurity>0</DocSecurity>
  <Lines>79</Lines>
  <Paragraphs>22</Paragraphs>
  <ScaleCrop>false</ScaleCrop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2021-01-11T18:26:00Z</dcterms:created>
  <dcterms:modified xsi:type="dcterms:W3CDTF">2021-01-11T18:29:00Z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ContentTypeId">
    <vt:lpwstr>0x010100EE57791DD3870746BA638AFE7AE047AB</vt:lpwstr>
  </property>
</Properties>
</file>