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0F4934D0"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4F0966">
              <w:rPr>
                <w:rFonts w:ascii="Arial" w:hAnsi="Arial" w:cs="Arial"/>
              </w:rPr>
              <w:t>November</w:t>
            </w:r>
            <w:r w:rsidR="00B7413E">
              <w:rPr>
                <w:rFonts w:ascii="Arial" w:hAnsi="Arial" w:cs="Arial"/>
              </w:rPr>
              <w:t xml:space="preserve"> </w:t>
            </w:r>
            <w:r w:rsidR="002F5174">
              <w:rPr>
                <w:rFonts w:ascii="Arial" w:hAnsi="Arial" w:cs="Arial"/>
              </w:rPr>
              <w:t>2020</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E7BADB1"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w:t>
            </w:r>
            <w:r w:rsidR="002F5174">
              <w:rPr>
                <w:rFonts w:ascii="Arial" w:hAnsi="Arial" w:cs="Arial"/>
                <w:b w:val="0"/>
                <w:sz w:val="20"/>
              </w:rPr>
              <w:t>20</w:t>
            </w:r>
            <w:r w:rsidR="004F0966">
              <w:rPr>
                <w:rFonts w:ascii="Arial" w:hAnsi="Arial" w:cs="Arial"/>
                <w:b w:val="0"/>
                <w:sz w:val="20"/>
              </w:rPr>
              <w:t>1124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B69E0DB"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4F0966">
                              <w:rPr>
                                <w:rFonts w:ascii="Arial" w:hAnsi="Arial" w:cs="Arial"/>
                              </w:rPr>
                              <w:t>November</w:t>
                            </w:r>
                            <w:r w:rsidR="0077493B">
                              <w:rPr>
                                <w:rFonts w:ascii="Arial" w:hAnsi="Arial" w:cs="Arial"/>
                              </w:rPr>
                              <w:t xml:space="preserve"> 20</w:t>
                            </w:r>
                            <w:r w:rsidR="002F5174">
                              <w:rPr>
                                <w:rFonts w:ascii="Arial" w:hAnsi="Arial" w:cs="Aria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9AgIAAPADAAAOAAAAZHJzL2Uyb0RvYy54bWysU9uO0zAQfUfiHyy/06QlbEvUdLV0VYS0&#10;XKRdPsBxnMQi8Zix26R8PWOn243gDeEHy3M7M2dmvL0d+46dFDoNpuDLRcqZMhIqbZqCf386vNlw&#10;5rwwlejAqIKfleO3u9evtoPN1Qpa6CqFjECMywdb8NZ7myeJk63qhVuAVYaMNWAvPInYJBWKgdD7&#10;Llml6U0yAFYWQSrnSHs/Gfku4te1kv5rXTvlWVdwqs3HG+NdhjvZbUXeoLCtlpcyxD9U0QttKOkV&#10;6l54wY6o/4LqtURwUPuFhD6ButZSRQ7EZpn+weaxFVZFLtQcZ69tcv8PVn45fUOmK5odZ0b0NKIn&#10;NXr2AUb2NnRnsC4np0dLbn4kdfAMTJ19APnDMQP7VphG3SHC0CpRUXXLEJnMQiccF0DK4TNUlEYc&#10;PUSgscY+AFIzGKHTlM7XyYRSJClvsvU6TckkybbaZNmGhJBD5M/hFp3/qKBn4VFwpNFHeHF6cH5y&#10;fXaJ5UOnq4PuuihgU+47ZCdBa3KI54Lu5m6dCc4GQtiEGDSRZ6A2kfRjOZIxkC+hOhNjhGnt6JvQ&#10;owX8xdlAK1dw9/MoUHHWfTLUtffLLAs7GoXs3XpFAs4t5dwijCSognvOpufeT3t9tKibljJNczJw&#10;R52udezBS1WXummtYhcvXyDs7VyOXi8fdfcbAAD//wMAUEsDBBQABgAIAAAAIQAucXz23wAAAAsB&#10;AAAPAAAAZHJzL2Rvd25yZXYueG1sTI/LTsMwEEX3SPyDNZXYoNZO6TNkUgESiG1LP2ASu0nUeBzF&#10;bpP+Pe4KljNzdOfcbDfaVlxN7xvHCMlMgTBcOt1whXD8+ZxuQPhArKl1bBBuxsMuf3zIKNVu4L25&#10;HkIlYgj7lBDqELpUSl/WxpKfuc5wvJ1cbynEsa+k7mmI4baVc6VW0lLD8UNNnfmoTXk+XCzC6Xt4&#10;Xm6H4isc1/vF6p2adeFuiE+T8e0VRDBj+IPhrh/VIY9Ohbuw9qJFmCZqGVGEl3kC4g4otY2bAmGx&#10;UQnIPJP/O+S/AAAA//8DAFBLAQItABQABgAIAAAAIQC2gziS/gAAAOEBAAATAAAAAAAAAAAAAAAA&#10;AAAAAABbQ29udGVudF9UeXBlc10ueG1sUEsBAi0AFAAGAAgAAAAhADj9If/WAAAAlAEAAAsAAAAA&#10;AAAAAAAAAAAALwEAAF9yZWxzLy5yZWxzUEsBAi0AFAAGAAgAAAAhAD5wZP0CAgAA8AMAAA4AAAAA&#10;AAAAAAAAAAAALgIAAGRycy9lMm9Eb2MueG1sUEsBAi0AFAAGAAgAAAAhAC5xfPbfAAAACwEAAA8A&#10;AAAAAAAAAAAAAAAAXAQAAGRycy9kb3ducmV2LnhtbFBLBQYAAAAABAAEAPMAAABoBQ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B69E0DB"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4F0966">
                        <w:rPr>
                          <w:rFonts w:ascii="Arial" w:hAnsi="Arial" w:cs="Arial"/>
                        </w:rPr>
                        <w:t>November</w:t>
                      </w:r>
                      <w:r w:rsidR="0077493B">
                        <w:rPr>
                          <w:rFonts w:ascii="Arial" w:hAnsi="Arial" w:cs="Arial"/>
                        </w:rPr>
                        <w:t xml:space="preserve"> 20</w:t>
                      </w:r>
                      <w:r w:rsidR="002F5174">
                        <w:rPr>
                          <w:rFonts w:ascii="Arial" w:hAnsi="Arial" w:cs="Arial"/>
                        </w:rPr>
                        <w:t>20</w:t>
                      </w:r>
                    </w:p>
                  </w:txbxContent>
                </v:textbox>
              </v:shape>
            </w:pict>
          </mc:Fallback>
        </mc:AlternateContent>
      </w:r>
    </w:p>
    <w:p w14:paraId="4C68127F" w14:textId="2F89A380"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385A3D" w:rsidRPr="00980210">
        <w:rPr>
          <w:rFonts w:cs="Arial"/>
        </w:rPr>
        <w:t xml:space="preserve"> 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6732EC">
        <w:rPr>
          <w:rFonts w:cs="Arial"/>
        </w:rPr>
        <w:t>3</w:t>
      </w:r>
      <w:r w:rsidR="0020187A">
        <w:rPr>
          <w:rFonts w:cs="Arial"/>
        </w:rPr>
        <w:t xml:space="preserve"> </w:t>
      </w:r>
      <w:r w:rsidR="006732EC">
        <w:rPr>
          <w:rFonts w:cs="Arial"/>
        </w:rPr>
        <w:t>November</w:t>
      </w:r>
      <w:r w:rsidR="00F85043">
        <w:rPr>
          <w:rFonts w:cs="Arial"/>
        </w:rPr>
        <w:t xml:space="preserve"> 2020</w:t>
      </w:r>
    </w:p>
    <w:p w14:paraId="4F9A6D79" w14:textId="77777777" w:rsidR="002706A9" w:rsidRPr="00980210" w:rsidRDefault="002706A9" w:rsidP="002706A9">
      <w:pPr>
        <w:rPr>
          <w:rFonts w:ascii="Arial" w:hAnsi="Arial" w:cs="Arial"/>
        </w:rPr>
      </w:pPr>
    </w:p>
    <w:p w14:paraId="7266A4E7" w14:textId="77777777" w:rsidR="0090601A" w:rsidRDefault="0090601A" w:rsidP="006732EC">
      <w:pPr>
        <w:pStyle w:val="Heading3"/>
        <w:rPr>
          <w:lang w:val="en-US"/>
        </w:rPr>
      </w:pPr>
      <w:r w:rsidRPr="006732EC">
        <w:t>Order</w:t>
      </w:r>
    </w:p>
    <w:p w14:paraId="3B558174" w14:textId="77777777" w:rsidR="006732EC" w:rsidRP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The SC Chair, Andrew Myles (Cisco Systems), called the meeting to order at 4:03 p.m. EST.</w:t>
      </w:r>
    </w:p>
    <w:p w14:paraId="5A5403A0" w14:textId="7843412D" w:rsidR="006732EC" w:rsidRPr="006732EC" w:rsidRDefault="006732EC" w:rsidP="006732EC">
      <w:pPr>
        <w:pStyle w:val="Heading3"/>
        <w:rPr>
          <w:lang w:val="en-US"/>
        </w:rPr>
      </w:pPr>
      <w:r>
        <w:rPr>
          <w:lang w:val="en-US"/>
        </w:rPr>
        <w:t>Agenda</w:t>
      </w:r>
    </w:p>
    <w:p w14:paraId="0A2549EC"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The SC agenda is found in 11-20/1619r09 (updated to 11-20/1619r10 during the meeting). </w:t>
      </w:r>
    </w:p>
    <w:p w14:paraId="16026759"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The agenda was accepted without modification. </w:t>
      </w:r>
    </w:p>
    <w:p w14:paraId="6C9EC9A7" w14:textId="77777777" w:rsidR="006732EC" w:rsidRDefault="006732EC" w:rsidP="006732EC">
      <w:pPr>
        <w:pStyle w:val="Heading3"/>
        <w:rPr>
          <w:lang w:val="en-US"/>
        </w:rPr>
      </w:pPr>
      <w:r>
        <w:rPr>
          <w:lang w:val="en-US"/>
        </w:rPr>
        <w:t>Minutes</w:t>
      </w:r>
    </w:p>
    <w:p w14:paraId="641BEBB6" w14:textId="4E5227D0"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The minutes (11-20/1527r00) from the preceding virtual meeting in September were approved by unanimous consent.</w:t>
      </w:r>
    </w:p>
    <w:p w14:paraId="40CE26E3" w14:textId="14D5C24E" w:rsidR="006732EC" w:rsidRPr="006732EC" w:rsidRDefault="006732EC" w:rsidP="006732EC">
      <w:pPr>
        <w:pStyle w:val="Heading3"/>
        <w:rPr>
          <w:lang w:val="en-US"/>
        </w:rPr>
      </w:pPr>
      <w:r>
        <w:rPr>
          <w:lang w:val="en-US"/>
        </w:rPr>
        <w:t>IEEE 802.1</w:t>
      </w:r>
    </w:p>
    <w:p w14:paraId="7E80E6EF" w14:textId="2EAB2C63"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IEEE 802.1Qcc, IEEE 802.1Qcp, IEEE 802.1Qcy, IEEE 802.1AS-Rev, and IEEE 802.1A</w:t>
      </w:r>
      <w:r>
        <w:rPr>
          <w:rFonts w:ascii="Helvetica" w:hAnsi="Helvetica" w:cs="Arial"/>
          <w:szCs w:val="22"/>
          <w:lang w:val="en-US"/>
        </w:rPr>
        <w:t>X</w:t>
      </w:r>
      <w:r w:rsidRPr="006732EC">
        <w:rPr>
          <w:rFonts w:ascii="Helvetica" w:hAnsi="Helvetica" w:cs="Arial"/>
          <w:szCs w:val="22"/>
          <w:lang w:val="en-US"/>
        </w:rPr>
        <w:t xml:space="preserve">-Rev are all awaiting the start of their FDIS ballots. </w:t>
      </w:r>
    </w:p>
    <w:p w14:paraId="51C6E1CE"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802.1AE/Cor 1 is </w:t>
      </w:r>
      <w:proofErr w:type="gramStart"/>
      <w:r w:rsidRPr="006732EC">
        <w:rPr>
          <w:rFonts w:ascii="Helvetica" w:hAnsi="Helvetica" w:cs="Arial"/>
          <w:szCs w:val="22"/>
          <w:lang w:val="en-US"/>
        </w:rPr>
        <w:t>in the midst of</w:t>
      </w:r>
      <w:proofErr w:type="gramEnd"/>
      <w:r w:rsidRPr="006732EC">
        <w:rPr>
          <w:rFonts w:ascii="Helvetica" w:hAnsi="Helvetica" w:cs="Arial"/>
          <w:szCs w:val="22"/>
          <w:lang w:val="en-US"/>
        </w:rPr>
        <w:t xml:space="preserve"> its 90-day FDIS ballot that will close in December. </w:t>
      </w:r>
    </w:p>
    <w:p w14:paraId="630EB7D1"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802.1X-2020 is in a 60-day pre-ballot that closes mid-December. </w:t>
      </w:r>
    </w:p>
    <w:p w14:paraId="55A7858F"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IEEE 802.1Q-REV is undergoing ballot resolution during this meeting. IEEE 802.1 will request conditional approval to go to SA ballot, which will probably happen prior January.</w:t>
      </w:r>
    </w:p>
    <w:p w14:paraId="354EDE3B" w14:textId="5DE92E71" w:rsidR="006732EC" w:rsidRDefault="006732EC" w:rsidP="006732E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At the same time, the specification will be liaised to SC 6. </w:t>
      </w:r>
    </w:p>
    <w:p w14:paraId="4C10BEC7"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802.1Qcx is included in IEEE 802.1Q-REV (Karen Randall [Randall Consulting] to confirm), so there’s no need to separately send it for adoption by SC 6. </w:t>
      </w:r>
    </w:p>
    <w:p w14:paraId="28A1FBB6"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802.1Qcr might also be included in IEEE 802.1Q-REV (Karen Randall to confirm). </w:t>
      </w:r>
    </w:p>
    <w:p w14:paraId="7C4186B6" w14:textId="3973C038" w:rsidR="006732EC" w:rsidRP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IEEE 802.1 will make a motion to submit IEEE 802.1Qcz and IEEE 802.1CS for adoption upon their publication.</w:t>
      </w:r>
    </w:p>
    <w:p w14:paraId="78D9EC73" w14:textId="078B8A7F" w:rsidR="006732EC" w:rsidRPr="006732EC" w:rsidRDefault="006732EC" w:rsidP="006732EC">
      <w:pPr>
        <w:pStyle w:val="Heading3"/>
        <w:rPr>
          <w:lang w:val="en-US"/>
        </w:rPr>
      </w:pPr>
      <w:r>
        <w:rPr>
          <w:lang w:val="en-US"/>
        </w:rPr>
        <w:t>IEEE 802.3</w:t>
      </w:r>
    </w:p>
    <w:p w14:paraId="13FE14C7"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802.3-REV received more involved comments from the China National Body this time during its FDIS ballot. </w:t>
      </w:r>
    </w:p>
    <w:p w14:paraId="7E068BF1" w14:textId="77777777" w:rsidR="006732EC" w:rsidRDefault="006732EC" w:rsidP="006732E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They noted that the MIB mentions security despite IEEE 802.3 being security agnostic. </w:t>
      </w:r>
    </w:p>
    <w:p w14:paraId="3FEC8E12" w14:textId="77777777" w:rsidR="006732EC" w:rsidRDefault="006732EC" w:rsidP="006732E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The requested resolution is to add references or indexes to provide guidance. </w:t>
      </w:r>
    </w:p>
    <w:p w14:paraId="0787C47D" w14:textId="77777777" w:rsidR="006732EC" w:rsidRDefault="006732EC" w:rsidP="006732E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The IEEE 802.3 maintenance meeting next week will consider a response to the comments. </w:t>
      </w:r>
    </w:p>
    <w:p w14:paraId="033A591F"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802.3cb-2018’s FDIS ballot still has not started, nor have those for IEEE 802.3bt or IEEE 802.3cd. </w:t>
      </w:r>
    </w:p>
    <w:p w14:paraId="4A4052AC"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IEEE 802.3cn, IEEE 802.3cg, IEEE 802.3cq, IEEE 802.3cm, IEEE 802.ch, IEEE 802.3ca, and IEEE 802.3</w:t>
      </w:r>
      <w:r>
        <w:rPr>
          <w:rFonts w:ascii="Helvetica" w:hAnsi="Helvetica" w:cs="Arial"/>
          <w:szCs w:val="22"/>
          <w:lang w:val="en-US"/>
        </w:rPr>
        <w:t>.2</w:t>
      </w:r>
      <w:r w:rsidRPr="006732EC">
        <w:rPr>
          <w:rFonts w:ascii="Helvetica" w:hAnsi="Helvetica" w:cs="Arial"/>
          <w:szCs w:val="22"/>
          <w:lang w:val="en-US"/>
        </w:rPr>
        <w:t xml:space="preserve"> are all in the 60-day pre-ballots closing mid-December. </w:t>
      </w:r>
    </w:p>
    <w:p w14:paraId="5B50ED30" w14:textId="451BB902"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IEEE 802.3cr and IEEE 802.3cu </w:t>
      </w:r>
      <w:r>
        <w:rPr>
          <w:rFonts w:ascii="Helvetica" w:hAnsi="Helvetica" w:cs="Arial"/>
          <w:szCs w:val="22"/>
          <w:lang w:val="en-US"/>
        </w:rPr>
        <w:t>drafts have been liaised</w:t>
      </w:r>
    </w:p>
    <w:p w14:paraId="53956634" w14:textId="3625A732" w:rsidR="006732EC" w:rsidRPr="006732EC" w:rsidRDefault="006732EC" w:rsidP="006732EC">
      <w:pPr>
        <w:pStyle w:val="Heading3"/>
        <w:rPr>
          <w:lang w:val="en-US"/>
        </w:rPr>
      </w:pPr>
      <w:r>
        <w:rPr>
          <w:lang w:val="en-US"/>
        </w:rPr>
        <w:t>IEEE 802.11</w:t>
      </w:r>
    </w:p>
    <w:p w14:paraId="607E61F9" w14:textId="77777777" w:rsid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Myles will arrange for IEEE 802.11ax, IEEE 802.11ay, and IEEE 802.11ba to conditionally go into the PSDO process during the March plenary since they should be approved for publication in March 2021. </w:t>
      </w:r>
    </w:p>
    <w:p w14:paraId="3327DF90" w14:textId="5D8C0A92" w:rsidR="006732EC" w:rsidRPr="006732E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IEEE 802.11-2020 should be approved shortly, so its submission will be handled during the January 2021 virtual interim meeting.</w:t>
      </w:r>
    </w:p>
    <w:p w14:paraId="1BB87833" w14:textId="631DD3F9" w:rsidR="006732EC" w:rsidRPr="006732EC" w:rsidRDefault="0027714C" w:rsidP="0027714C">
      <w:pPr>
        <w:pStyle w:val="Heading3"/>
        <w:rPr>
          <w:lang w:val="en-US"/>
        </w:rPr>
      </w:pPr>
      <w:r>
        <w:rPr>
          <w:lang w:val="en-US"/>
        </w:rPr>
        <w:t>IEEE 802.22</w:t>
      </w:r>
    </w:p>
    <w:p w14:paraId="2277CE88" w14:textId="77777777" w:rsidR="0027714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Apurva Mody (</w:t>
      </w:r>
      <w:proofErr w:type="spellStart"/>
      <w:r w:rsidRPr="006732EC">
        <w:rPr>
          <w:rFonts w:ascii="Helvetica" w:hAnsi="Helvetica" w:cs="Arial"/>
          <w:szCs w:val="22"/>
          <w:lang w:val="en-US"/>
        </w:rPr>
        <w:t>AiRANACULUS</w:t>
      </w:r>
      <w:proofErr w:type="spellEnd"/>
      <w:r w:rsidRPr="006732EC">
        <w:rPr>
          <w:rFonts w:ascii="Helvetica" w:hAnsi="Helvetica" w:cs="Arial"/>
          <w:szCs w:val="22"/>
          <w:lang w:val="en-US"/>
        </w:rPr>
        <w:t xml:space="preserve">) has generated a response to the China National Body’s FDIS ‘no’ vote and comment on IEEE 802.22. </w:t>
      </w:r>
    </w:p>
    <w:p w14:paraId="14771018" w14:textId="77777777" w:rsidR="0027714C" w:rsidRDefault="006732EC" w:rsidP="0027714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The comment deals with specification of mandatory cryptographic algorithms. </w:t>
      </w:r>
    </w:p>
    <w:p w14:paraId="46FA74A6" w14:textId="77777777" w:rsidR="0027714C" w:rsidRDefault="006732EC" w:rsidP="0027714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Mody notes that a mandatory-to-implement suite of algorithms is required for interoperability, but that does not prevent IEEE 802.22’s use with other cipher suites. </w:t>
      </w:r>
    </w:p>
    <w:p w14:paraId="0EE7EAB0" w14:textId="36B132E6" w:rsidR="006732EC" w:rsidRPr="006732EC" w:rsidRDefault="006732EC" w:rsidP="0027714C">
      <w:pPr>
        <w:pStyle w:val="ListParagraph"/>
        <w:numPr>
          <w:ilvl w:val="1"/>
          <w:numId w:val="25"/>
        </w:numPr>
        <w:rPr>
          <w:rFonts w:ascii="Helvetica" w:hAnsi="Helvetica" w:cs="Arial"/>
          <w:szCs w:val="22"/>
          <w:lang w:val="en-US"/>
        </w:rPr>
      </w:pPr>
      <w:r w:rsidRPr="006732EC">
        <w:rPr>
          <w:rFonts w:ascii="Helvetica" w:hAnsi="Helvetica" w:cs="Arial"/>
          <w:szCs w:val="22"/>
          <w:lang w:val="en-US"/>
        </w:rPr>
        <w:t xml:space="preserve">Mody will generate a formal response and then members of the EC will work to get it approved. </w:t>
      </w:r>
    </w:p>
    <w:p w14:paraId="72231137" w14:textId="0A57AB91" w:rsidR="006732EC" w:rsidRPr="006732EC" w:rsidRDefault="0027714C" w:rsidP="0027714C">
      <w:pPr>
        <w:pStyle w:val="Heading3"/>
        <w:rPr>
          <w:lang w:val="en-US"/>
        </w:rPr>
      </w:pPr>
      <w:r>
        <w:rPr>
          <w:lang w:val="en-US"/>
        </w:rPr>
        <w:t>SC6 meeting</w:t>
      </w:r>
    </w:p>
    <w:p w14:paraId="7DDABB69" w14:textId="77777777" w:rsidR="0027714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A virtual meeting of SC 6 took place in October. </w:t>
      </w:r>
    </w:p>
    <w:p w14:paraId="06C8EEEA" w14:textId="77777777" w:rsidR="0027714C" w:rsidRDefault="006732EC" w:rsidP="006732EC">
      <w:pPr>
        <w:pStyle w:val="ListParagraph"/>
        <w:numPr>
          <w:ilvl w:val="0"/>
          <w:numId w:val="25"/>
        </w:numPr>
        <w:rPr>
          <w:rFonts w:ascii="Helvetica" w:hAnsi="Helvetica" w:cs="Arial"/>
          <w:szCs w:val="22"/>
          <w:lang w:val="en-US"/>
        </w:rPr>
      </w:pPr>
      <w:r w:rsidRPr="006732EC">
        <w:rPr>
          <w:rFonts w:ascii="Helvetica" w:hAnsi="Helvetica" w:cs="Arial"/>
          <w:szCs w:val="22"/>
          <w:lang w:val="en-US"/>
        </w:rPr>
        <w:t xml:space="preserve">One of the requests arising from that meeting was whether IEEE 802 could use shorter names (fewer segments, to be clear) for its specifications. </w:t>
      </w:r>
    </w:p>
    <w:p w14:paraId="427B668C" w14:textId="77777777" w:rsidR="0027714C" w:rsidRDefault="006732EC" w:rsidP="0027714C">
      <w:pPr>
        <w:pStyle w:val="ListParagraph"/>
        <w:numPr>
          <w:ilvl w:val="1"/>
          <w:numId w:val="25"/>
        </w:numPr>
        <w:rPr>
          <w:rFonts w:ascii="Helvetica" w:hAnsi="Helvetica" w:cs="Arial"/>
          <w:szCs w:val="22"/>
          <w:lang w:val="en-US"/>
        </w:rPr>
      </w:pPr>
      <w:r w:rsidRPr="006732EC">
        <w:rPr>
          <w:rFonts w:ascii="Helvetica" w:hAnsi="Helvetica" w:cs="Arial"/>
          <w:szCs w:val="22"/>
          <w:lang w:val="en-US"/>
        </w:rPr>
        <w:t>This would align better with ISO/IEC naming conventions.</w:t>
      </w:r>
    </w:p>
    <w:p w14:paraId="46585C6C" w14:textId="611F3653" w:rsidR="006732EC" w:rsidRPr="0027714C" w:rsidRDefault="006732EC" w:rsidP="00356A87">
      <w:pPr>
        <w:pStyle w:val="ListParagraph"/>
        <w:numPr>
          <w:ilvl w:val="1"/>
          <w:numId w:val="25"/>
        </w:numPr>
        <w:rPr>
          <w:rFonts w:ascii="Helvetica" w:hAnsi="Helvetica" w:cs="Arial"/>
          <w:szCs w:val="22"/>
          <w:lang w:val="en-US"/>
        </w:rPr>
      </w:pPr>
      <w:r w:rsidRPr="0027714C">
        <w:rPr>
          <w:rFonts w:ascii="Helvetica" w:hAnsi="Helvetica" w:cs="Arial"/>
          <w:szCs w:val="22"/>
          <w:lang w:val="en-US"/>
        </w:rPr>
        <w:t>At this point, IEEE 802 will</w:t>
      </w:r>
      <w:r w:rsidR="0027714C">
        <w:rPr>
          <w:rFonts w:ascii="Helvetica" w:hAnsi="Helvetica" w:cs="Arial"/>
          <w:szCs w:val="22"/>
          <w:lang w:val="en-US"/>
        </w:rPr>
        <w:t xml:space="preserve"> </w:t>
      </w:r>
      <w:r w:rsidRPr="0027714C">
        <w:rPr>
          <w:rFonts w:ascii="Helvetica" w:hAnsi="Helvetica" w:cs="Arial"/>
          <w:szCs w:val="22"/>
          <w:lang w:val="en-US"/>
        </w:rPr>
        <w:t>probably not change its standards naming since that would be somewhat disruptive.</w:t>
      </w:r>
    </w:p>
    <w:p w14:paraId="31E84BEE" w14:textId="77777777" w:rsidR="0027714C" w:rsidRPr="005A0F5E" w:rsidRDefault="0027714C" w:rsidP="0027714C">
      <w:pPr>
        <w:pStyle w:val="Heading3"/>
        <w:rPr>
          <w:lang w:val="en-US"/>
        </w:rPr>
      </w:pPr>
      <w:proofErr w:type="spellStart"/>
      <w:r>
        <w:rPr>
          <w:lang w:val="en-US"/>
        </w:rPr>
        <w:t>Adjounment</w:t>
      </w:r>
      <w:proofErr w:type="spellEnd"/>
    </w:p>
    <w:p w14:paraId="32725F3D" w14:textId="46CAF905" w:rsidR="005A0F5E" w:rsidRPr="0027714C" w:rsidRDefault="006732EC" w:rsidP="0027714C">
      <w:pPr>
        <w:pStyle w:val="ListParagraph"/>
        <w:numPr>
          <w:ilvl w:val="0"/>
          <w:numId w:val="25"/>
        </w:numPr>
        <w:rPr>
          <w:rFonts w:ascii="Helvetica" w:hAnsi="Helvetica" w:cs="Arial"/>
          <w:szCs w:val="22"/>
          <w:lang w:val="en-US"/>
        </w:rPr>
      </w:pPr>
      <w:r w:rsidRPr="006732EC">
        <w:rPr>
          <w:rFonts w:ascii="Helvetica" w:hAnsi="Helvetica" w:cs="Arial"/>
          <w:szCs w:val="22"/>
          <w:lang w:val="en-US"/>
        </w:rPr>
        <w:t>The meeting was adjourned at 5:25 p.m. EST.</w:t>
      </w:r>
    </w:p>
    <w:p w14:paraId="61CFD41A" w14:textId="00A1F3BA" w:rsidR="003177A2" w:rsidRDefault="003177A2" w:rsidP="003177A2">
      <w:pPr>
        <w:pStyle w:val="Heading3"/>
        <w:rPr>
          <w:lang w:val="en-US"/>
        </w:rPr>
      </w:pPr>
      <w:r>
        <w:rPr>
          <w:lang w:val="en-US"/>
        </w:rPr>
        <w:t>Attendance</w:t>
      </w:r>
    </w:p>
    <w:tbl>
      <w:tblPr>
        <w:tblStyle w:val="TableGrid"/>
        <w:tblW w:w="9050" w:type="dxa"/>
        <w:tblLook w:val="04A0" w:firstRow="1" w:lastRow="0" w:firstColumn="1" w:lastColumn="0" w:noHBand="0" w:noVBand="1"/>
      </w:tblPr>
      <w:tblGrid>
        <w:gridCol w:w="2700"/>
        <w:gridCol w:w="6350"/>
      </w:tblGrid>
      <w:tr w:rsidR="0027714C" w14:paraId="086E60A8" w14:textId="77777777" w:rsidTr="0027714C">
        <w:trPr>
          <w:trHeight w:val="300"/>
        </w:trPr>
        <w:tc>
          <w:tcPr>
            <w:tcW w:w="0" w:type="auto"/>
            <w:noWrap/>
          </w:tcPr>
          <w:p w14:paraId="26505A76" w14:textId="23BD29B8" w:rsidR="0027714C" w:rsidRPr="0027714C" w:rsidRDefault="0027714C">
            <w:pPr>
              <w:rPr>
                <w:rFonts w:ascii="Arial" w:hAnsi="Arial" w:cs="Arial"/>
                <w:b/>
                <w:bCs/>
                <w:color w:val="000000"/>
              </w:rPr>
            </w:pPr>
            <w:r w:rsidRPr="0027714C">
              <w:rPr>
                <w:rFonts w:ascii="Arial" w:hAnsi="Arial" w:cs="Arial"/>
                <w:b/>
                <w:bCs/>
                <w:color w:val="000000"/>
              </w:rPr>
              <w:t>Name</w:t>
            </w:r>
          </w:p>
        </w:tc>
        <w:tc>
          <w:tcPr>
            <w:tcW w:w="0" w:type="auto"/>
            <w:noWrap/>
          </w:tcPr>
          <w:p w14:paraId="73AB29C5" w14:textId="092C2C66" w:rsidR="0027714C" w:rsidRPr="0027714C" w:rsidRDefault="0027714C">
            <w:pPr>
              <w:rPr>
                <w:rFonts w:ascii="Arial" w:hAnsi="Arial" w:cs="Arial"/>
                <w:b/>
                <w:bCs/>
                <w:color w:val="000000"/>
              </w:rPr>
            </w:pPr>
            <w:r w:rsidRPr="0027714C">
              <w:rPr>
                <w:rFonts w:ascii="Arial" w:hAnsi="Arial" w:cs="Arial"/>
                <w:b/>
                <w:bCs/>
                <w:color w:val="000000"/>
              </w:rPr>
              <w:t>Affiliation</w:t>
            </w:r>
          </w:p>
        </w:tc>
      </w:tr>
      <w:tr w:rsidR="0027714C" w14:paraId="4DD57AFF" w14:textId="77777777" w:rsidTr="0027714C">
        <w:trPr>
          <w:trHeight w:val="300"/>
        </w:trPr>
        <w:tc>
          <w:tcPr>
            <w:tcW w:w="0" w:type="auto"/>
            <w:noWrap/>
            <w:hideMark/>
          </w:tcPr>
          <w:p w14:paraId="39EF8F99" w14:textId="77777777" w:rsidR="0027714C" w:rsidRPr="0027714C" w:rsidRDefault="0027714C">
            <w:pPr>
              <w:rPr>
                <w:rFonts w:ascii="Arial" w:hAnsi="Arial" w:cs="Arial"/>
                <w:color w:val="000000"/>
              </w:rPr>
            </w:pPr>
            <w:r w:rsidRPr="0027714C">
              <w:rPr>
                <w:rFonts w:ascii="Arial" w:hAnsi="Arial" w:cs="Arial"/>
                <w:color w:val="000000"/>
              </w:rPr>
              <w:t>Andersdotter, Amelia</w:t>
            </w:r>
          </w:p>
        </w:tc>
        <w:tc>
          <w:tcPr>
            <w:tcW w:w="0" w:type="auto"/>
            <w:noWrap/>
            <w:hideMark/>
          </w:tcPr>
          <w:p w14:paraId="3664A332" w14:textId="77777777" w:rsidR="0027714C" w:rsidRPr="0027714C" w:rsidRDefault="0027714C">
            <w:pPr>
              <w:rPr>
                <w:rFonts w:ascii="Arial" w:hAnsi="Arial" w:cs="Arial"/>
                <w:color w:val="000000"/>
              </w:rPr>
            </w:pPr>
            <w:r w:rsidRPr="0027714C">
              <w:rPr>
                <w:rFonts w:ascii="Arial" w:hAnsi="Arial" w:cs="Arial"/>
                <w:color w:val="000000"/>
              </w:rPr>
              <w:t>None - Self-funded</w:t>
            </w:r>
          </w:p>
        </w:tc>
      </w:tr>
      <w:tr w:rsidR="0027714C" w14:paraId="321C4CE9" w14:textId="77777777" w:rsidTr="0027714C">
        <w:trPr>
          <w:trHeight w:val="300"/>
        </w:trPr>
        <w:tc>
          <w:tcPr>
            <w:tcW w:w="0" w:type="auto"/>
            <w:noWrap/>
            <w:hideMark/>
          </w:tcPr>
          <w:p w14:paraId="2C4D287C" w14:textId="77777777" w:rsidR="0027714C" w:rsidRPr="0027714C" w:rsidRDefault="0027714C">
            <w:pPr>
              <w:rPr>
                <w:rFonts w:ascii="Arial" w:hAnsi="Arial" w:cs="Arial"/>
                <w:color w:val="000000"/>
              </w:rPr>
            </w:pPr>
            <w:r w:rsidRPr="0027714C">
              <w:rPr>
                <w:rFonts w:ascii="Arial" w:hAnsi="Arial" w:cs="Arial"/>
                <w:color w:val="000000"/>
              </w:rPr>
              <w:t>Auluck, Vijay</w:t>
            </w:r>
          </w:p>
        </w:tc>
        <w:tc>
          <w:tcPr>
            <w:tcW w:w="0" w:type="auto"/>
            <w:noWrap/>
            <w:hideMark/>
          </w:tcPr>
          <w:p w14:paraId="2716D5FF" w14:textId="77777777" w:rsidR="0027714C" w:rsidRPr="0027714C" w:rsidRDefault="0027714C">
            <w:pPr>
              <w:rPr>
                <w:rFonts w:ascii="Arial" w:hAnsi="Arial" w:cs="Arial"/>
                <w:color w:val="000000"/>
              </w:rPr>
            </w:pPr>
            <w:r w:rsidRPr="0027714C">
              <w:rPr>
                <w:rFonts w:ascii="Arial" w:hAnsi="Arial" w:cs="Arial"/>
                <w:color w:val="000000"/>
              </w:rPr>
              <w:t>Self</w:t>
            </w:r>
          </w:p>
        </w:tc>
      </w:tr>
      <w:tr w:rsidR="0027714C" w14:paraId="40752D0B" w14:textId="77777777" w:rsidTr="0027714C">
        <w:trPr>
          <w:trHeight w:val="300"/>
        </w:trPr>
        <w:tc>
          <w:tcPr>
            <w:tcW w:w="0" w:type="auto"/>
            <w:noWrap/>
            <w:hideMark/>
          </w:tcPr>
          <w:p w14:paraId="7F77E008" w14:textId="77777777" w:rsidR="0027714C" w:rsidRPr="0027714C" w:rsidRDefault="0027714C">
            <w:pPr>
              <w:rPr>
                <w:rFonts w:ascii="Arial" w:hAnsi="Arial" w:cs="Arial"/>
                <w:color w:val="000000"/>
              </w:rPr>
            </w:pPr>
            <w:proofErr w:type="spellStart"/>
            <w:r w:rsidRPr="0027714C">
              <w:rPr>
                <w:rFonts w:ascii="Arial" w:hAnsi="Arial" w:cs="Arial"/>
                <w:color w:val="000000"/>
              </w:rPr>
              <w:t>Avrillon</w:t>
            </w:r>
            <w:proofErr w:type="spellEnd"/>
            <w:r w:rsidRPr="0027714C">
              <w:rPr>
                <w:rFonts w:ascii="Arial" w:hAnsi="Arial" w:cs="Arial"/>
                <w:color w:val="000000"/>
              </w:rPr>
              <w:t>, Matthieu</w:t>
            </w:r>
          </w:p>
        </w:tc>
        <w:tc>
          <w:tcPr>
            <w:tcW w:w="0" w:type="auto"/>
            <w:noWrap/>
            <w:hideMark/>
          </w:tcPr>
          <w:p w14:paraId="34DA9439" w14:textId="77777777" w:rsidR="0027714C" w:rsidRPr="0027714C" w:rsidRDefault="0027714C">
            <w:pPr>
              <w:rPr>
                <w:rFonts w:ascii="Arial" w:hAnsi="Arial" w:cs="Arial"/>
                <w:color w:val="000000"/>
              </w:rPr>
            </w:pPr>
            <w:proofErr w:type="spellStart"/>
            <w:r w:rsidRPr="0027714C">
              <w:rPr>
                <w:rFonts w:ascii="Arial" w:hAnsi="Arial" w:cs="Arial"/>
                <w:color w:val="000000"/>
              </w:rPr>
              <w:t>Luceor</w:t>
            </w:r>
            <w:proofErr w:type="spellEnd"/>
          </w:p>
        </w:tc>
      </w:tr>
      <w:tr w:rsidR="0027714C" w14:paraId="26B8FD01" w14:textId="77777777" w:rsidTr="0027714C">
        <w:trPr>
          <w:trHeight w:val="300"/>
        </w:trPr>
        <w:tc>
          <w:tcPr>
            <w:tcW w:w="0" w:type="auto"/>
            <w:noWrap/>
            <w:hideMark/>
          </w:tcPr>
          <w:p w14:paraId="616B3280" w14:textId="77777777" w:rsidR="0027714C" w:rsidRPr="0027714C" w:rsidRDefault="0027714C">
            <w:pPr>
              <w:rPr>
                <w:rFonts w:ascii="Arial" w:hAnsi="Arial" w:cs="Arial"/>
                <w:color w:val="000000"/>
              </w:rPr>
            </w:pPr>
            <w:r w:rsidRPr="0027714C">
              <w:rPr>
                <w:rFonts w:ascii="Arial" w:hAnsi="Arial" w:cs="Arial"/>
                <w:color w:val="000000"/>
              </w:rPr>
              <w:t>Berkema, Alan</w:t>
            </w:r>
          </w:p>
        </w:tc>
        <w:tc>
          <w:tcPr>
            <w:tcW w:w="0" w:type="auto"/>
            <w:noWrap/>
            <w:hideMark/>
          </w:tcPr>
          <w:p w14:paraId="687D3722" w14:textId="77777777" w:rsidR="0027714C" w:rsidRPr="0027714C" w:rsidRDefault="0027714C">
            <w:pPr>
              <w:rPr>
                <w:rFonts w:ascii="Arial" w:hAnsi="Arial" w:cs="Arial"/>
                <w:color w:val="000000"/>
              </w:rPr>
            </w:pPr>
            <w:r w:rsidRPr="0027714C">
              <w:rPr>
                <w:rFonts w:ascii="Arial" w:hAnsi="Arial" w:cs="Arial"/>
                <w:color w:val="000000"/>
              </w:rPr>
              <w:t>HP Inc.</w:t>
            </w:r>
          </w:p>
        </w:tc>
      </w:tr>
      <w:tr w:rsidR="0027714C" w14:paraId="5956ACA0" w14:textId="77777777" w:rsidTr="0027714C">
        <w:trPr>
          <w:trHeight w:val="300"/>
        </w:trPr>
        <w:tc>
          <w:tcPr>
            <w:tcW w:w="0" w:type="auto"/>
            <w:noWrap/>
            <w:hideMark/>
          </w:tcPr>
          <w:p w14:paraId="14614058" w14:textId="77777777" w:rsidR="0027714C" w:rsidRPr="0027714C" w:rsidRDefault="0027714C">
            <w:pPr>
              <w:rPr>
                <w:rFonts w:ascii="Arial" w:hAnsi="Arial" w:cs="Arial"/>
                <w:color w:val="000000"/>
              </w:rPr>
            </w:pPr>
            <w:r w:rsidRPr="0027714C">
              <w:rPr>
                <w:rFonts w:ascii="Arial" w:hAnsi="Arial" w:cs="Arial"/>
                <w:color w:val="000000"/>
              </w:rPr>
              <w:t>Das, Subir</w:t>
            </w:r>
          </w:p>
        </w:tc>
        <w:tc>
          <w:tcPr>
            <w:tcW w:w="0" w:type="auto"/>
            <w:noWrap/>
            <w:hideMark/>
          </w:tcPr>
          <w:p w14:paraId="71EE2D8F" w14:textId="77777777" w:rsidR="0027714C" w:rsidRPr="0027714C" w:rsidRDefault="0027714C">
            <w:pPr>
              <w:rPr>
                <w:rFonts w:ascii="Arial" w:hAnsi="Arial" w:cs="Arial"/>
                <w:color w:val="000000"/>
              </w:rPr>
            </w:pPr>
            <w:proofErr w:type="spellStart"/>
            <w:r w:rsidRPr="0027714C">
              <w:rPr>
                <w:rFonts w:ascii="Arial" w:hAnsi="Arial" w:cs="Arial"/>
                <w:color w:val="000000"/>
              </w:rPr>
              <w:t>Perspecta</w:t>
            </w:r>
            <w:proofErr w:type="spellEnd"/>
            <w:r w:rsidRPr="0027714C">
              <w:rPr>
                <w:rFonts w:ascii="Arial" w:hAnsi="Arial" w:cs="Arial"/>
                <w:color w:val="000000"/>
              </w:rPr>
              <w:t xml:space="preserve"> Labs Inc</w:t>
            </w:r>
          </w:p>
        </w:tc>
      </w:tr>
      <w:tr w:rsidR="0027714C" w14:paraId="79AD4A99" w14:textId="77777777" w:rsidTr="0027714C">
        <w:trPr>
          <w:trHeight w:val="300"/>
        </w:trPr>
        <w:tc>
          <w:tcPr>
            <w:tcW w:w="0" w:type="auto"/>
            <w:noWrap/>
            <w:hideMark/>
          </w:tcPr>
          <w:p w14:paraId="385A1979" w14:textId="77777777" w:rsidR="0027714C" w:rsidRPr="0027714C" w:rsidRDefault="0027714C">
            <w:pPr>
              <w:rPr>
                <w:rFonts w:ascii="Arial" w:hAnsi="Arial" w:cs="Arial"/>
                <w:color w:val="000000"/>
              </w:rPr>
            </w:pPr>
            <w:proofErr w:type="spellStart"/>
            <w:r w:rsidRPr="0027714C">
              <w:rPr>
                <w:rFonts w:ascii="Arial" w:hAnsi="Arial" w:cs="Arial"/>
                <w:color w:val="000000"/>
              </w:rPr>
              <w:t>ElSherif</w:t>
            </w:r>
            <w:proofErr w:type="spellEnd"/>
            <w:r w:rsidRPr="0027714C">
              <w:rPr>
                <w:rFonts w:ascii="Arial" w:hAnsi="Arial" w:cs="Arial"/>
                <w:color w:val="000000"/>
              </w:rPr>
              <w:t>, Ahmed</w:t>
            </w:r>
          </w:p>
        </w:tc>
        <w:tc>
          <w:tcPr>
            <w:tcW w:w="0" w:type="auto"/>
            <w:noWrap/>
            <w:hideMark/>
          </w:tcPr>
          <w:p w14:paraId="7390161D" w14:textId="77777777" w:rsidR="0027714C" w:rsidRPr="0027714C" w:rsidRDefault="0027714C">
            <w:pPr>
              <w:rPr>
                <w:rFonts w:ascii="Arial" w:hAnsi="Arial" w:cs="Arial"/>
                <w:color w:val="000000"/>
              </w:rPr>
            </w:pPr>
            <w:r w:rsidRPr="0027714C">
              <w:rPr>
                <w:rFonts w:ascii="Arial" w:hAnsi="Arial" w:cs="Arial"/>
                <w:color w:val="000000"/>
              </w:rPr>
              <w:t>Qualcomm Incorporated</w:t>
            </w:r>
          </w:p>
        </w:tc>
      </w:tr>
      <w:tr w:rsidR="0027714C" w14:paraId="7934DEB4" w14:textId="77777777" w:rsidTr="0027714C">
        <w:trPr>
          <w:trHeight w:val="300"/>
        </w:trPr>
        <w:tc>
          <w:tcPr>
            <w:tcW w:w="0" w:type="auto"/>
            <w:noWrap/>
            <w:hideMark/>
          </w:tcPr>
          <w:p w14:paraId="54191E34" w14:textId="77777777" w:rsidR="0027714C" w:rsidRPr="0027714C" w:rsidRDefault="0027714C">
            <w:pPr>
              <w:rPr>
                <w:rFonts w:ascii="Arial" w:hAnsi="Arial" w:cs="Arial"/>
                <w:color w:val="000000"/>
              </w:rPr>
            </w:pPr>
            <w:r w:rsidRPr="0027714C">
              <w:rPr>
                <w:rFonts w:ascii="Arial" w:hAnsi="Arial" w:cs="Arial"/>
                <w:color w:val="000000"/>
              </w:rPr>
              <w:t>Hansen, Christopher</w:t>
            </w:r>
          </w:p>
        </w:tc>
        <w:tc>
          <w:tcPr>
            <w:tcW w:w="0" w:type="auto"/>
            <w:noWrap/>
            <w:hideMark/>
          </w:tcPr>
          <w:p w14:paraId="62A89A50" w14:textId="77777777" w:rsidR="0027714C" w:rsidRPr="0027714C" w:rsidRDefault="0027714C">
            <w:pPr>
              <w:rPr>
                <w:rFonts w:ascii="Arial" w:hAnsi="Arial" w:cs="Arial"/>
                <w:color w:val="000000"/>
              </w:rPr>
            </w:pPr>
            <w:r w:rsidRPr="0027714C">
              <w:rPr>
                <w:rFonts w:ascii="Arial" w:hAnsi="Arial" w:cs="Arial"/>
                <w:color w:val="000000"/>
              </w:rPr>
              <w:t>Covariant Corporation</w:t>
            </w:r>
          </w:p>
        </w:tc>
      </w:tr>
      <w:tr w:rsidR="0027714C" w14:paraId="48965EBA" w14:textId="77777777" w:rsidTr="0027714C">
        <w:trPr>
          <w:trHeight w:val="300"/>
        </w:trPr>
        <w:tc>
          <w:tcPr>
            <w:tcW w:w="0" w:type="auto"/>
            <w:noWrap/>
            <w:hideMark/>
          </w:tcPr>
          <w:p w14:paraId="1B50AB11" w14:textId="77777777" w:rsidR="0027714C" w:rsidRPr="0027714C" w:rsidRDefault="0027714C">
            <w:pPr>
              <w:rPr>
                <w:rFonts w:ascii="Arial" w:hAnsi="Arial" w:cs="Arial"/>
                <w:color w:val="000000"/>
              </w:rPr>
            </w:pPr>
            <w:r w:rsidRPr="0027714C">
              <w:rPr>
                <w:rFonts w:ascii="Arial" w:hAnsi="Arial" w:cs="Arial"/>
                <w:color w:val="000000"/>
              </w:rPr>
              <w:t>Kandala, Srinivas</w:t>
            </w:r>
          </w:p>
        </w:tc>
        <w:tc>
          <w:tcPr>
            <w:tcW w:w="0" w:type="auto"/>
            <w:noWrap/>
            <w:hideMark/>
          </w:tcPr>
          <w:p w14:paraId="00BF5E6E" w14:textId="77777777" w:rsidR="0027714C" w:rsidRPr="0027714C" w:rsidRDefault="0027714C">
            <w:pPr>
              <w:rPr>
                <w:rFonts w:ascii="Arial" w:hAnsi="Arial" w:cs="Arial"/>
                <w:color w:val="000000"/>
              </w:rPr>
            </w:pPr>
            <w:r w:rsidRPr="0027714C">
              <w:rPr>
                <w:rFonts w:ascii="Arial" w:hAnsi="Arial" w:cs="Arial"/>
                <w:color w:val="000000"/>
              </w:rPr>
              <w:t>SAMSUNG</w:t>
            </w:r>
          </w:p>
        </w:tc>
      </w:tr>
      <w:tr w:rsidR="0027714C" w14:paraId="038BA51E" w14:textId="77777777" w:rsidTr="0027714C">
        <w:trPr>
          <w:trHeight w:val="300"/>
        </w:trPr>
        <w:tc>
          <w:tcPr>
            <w:tcW w:w="0" w:type="auto"/>
            <w:noWrap/>
            <w:hideMark/>
          </w:tcPr>
          <w:p w14:paraId="79DB0C24" w14:textId="77777777" w:rsidR="0027714C" w:rsidRPr="0027714C" w:rsidRDefault="0027714C">
            <w:pPr>
              <w:rPr>
                <w:rFonts w:ascii="Arial" w:hAnsi="Arial" w:cs="Arial"/>
                <w:color w:val="000000"/>
              </w:rPr>
            </w:pPr>
            <w:r w:rsidRPr="0027714C">
              <w:rPr>
                <w:rFonts w:ascii="Arial" w:hAnsi="Arial" w:cs="Arial"/>
                <w:color w:val="000000"/>
              </w:rPr>
              <w:t>Lepp, James</w:t>
            </w:r>
          </w:p>
        </w:tc>
        <w:tc>
          <w:tcPr>
            <w:tcW w:w="0" w:type="auto"/>
            <w:noWrap/>
            <w:hideMark/>
          </w:tcPr>
          <w:p w14:paraId="636DBA29" w14:textId="77777777" w:rsidR="0027714C" w:rsidRPr="0027714C" w:rsidRDefault="0027714C">
            <w:pPr>
              <w:rPr>
                <w:rFonts w:ascii="Arial" w:hAnsi="Arial" w:cs="Arial"/>
                <w:color w:val="000000"/>
              </w:rPr>
            </w:pPr>
            <w:r w:rsidRPr="0027714C">
              <w:rPr>
                <w:rFonts w:ascii="Arial" w:hAnsi="Arial" w:cs="Arial"/>
                <w:color w:val="000000"/>
              </w:rPr>
              <w:t>BlackBerry</w:t>
            </w:r>
          </w:p>
        </w:tc>
      </w:tr>
      <w:tr w:rsidR="0027714C" w14:paraId="2C4A199B" w14:textId="77777777" w:rsidTr="0027714C">
        <w:trPr>
          <w:trHeight w:val="300"/>
        </w:trPr>
        <w:tc>
          <w:tcPr>
            <w:tcW w:w="0" w:type="auto"/>
            <w:noWrap/>
            <w:hideMark/>
          </w:tcPr>
          <w:p w14:paraId="0D03266E" w14:textId="77777777" w:rsidR="0027714C" w:rsidRPr="0027714C" w:rsidRDefault="0027714C">
            <w:pPr>
              <w:rPr>
                <w:rFonts w:ascii="Arial" w:hAnsi="Arial" w:cs="Arial"/>
                <w:color w:val="000000"/>
              </w:rPr>
            </w:pPr>
            <w:r w:rsidRPr="0027714C">
              <w:rPr>
                <w:rFonts w:ascii="Arial" w:hAnsi="Arial" w:cs="Arial"/>
                <w:color w:val="000000"/>
              </w:rPr>
              <w:t>Levy, Joseph</w:t>
            </w:r>
          </w:p>
        </w:tc>
        <w:tc>
          <w:tcPr>
            <w:tcW w:w="0" w:type="auto"/>
            <w:noWrap/>
            <w:hideMark/>
          </w:tcPr>
          <w:p w14:paraId="4CE5F08C" w14:textId="77777777" w:rsidR="0027714C" w:rsidRPr="0027714C" w:rsidRDefault="0027714C">
            <w:pPr>
              <w:rPr>
                <w:rFonts w:ascii="Arial" w:hAnsi="Arial" w:cs="Arial"/>
                <w:color w:val="000000"/>
              </w:rPr>
            </w:pPr>
            <w:proofErr w:type="spellStart"/>
            <w:r w:rsidRPr="0027714C">
              <w:rPr>
                <w:rFonts w:ascii="Arial" w:hAnsi="Arial" w:cs="Arial"/>
                <w:color w:val="000000"/>
              </w:rPr>
              <w:t>InterDigital</w:t>
            </w:r>
            <w:proofErr w:type="spellEnd"/>
            <w:r w:rsidRPr="0027714C">
              <w:rPr>
                <w:rFonts w:ascii="Arial" w:hAnsi="Arial" w:cs="Arial"/>
                <w:color w:val="000000"/>
              </w:rPr>
              <w:t>, Inc.</w:t>
            </w:r>
          </w:p>
        </w:tc>
      </w:tr>
      <w:tr w:rsidR="0027714C" w14:paraId="45758D7D" w14:textId="77777777" w:rsidTr="0027714C">
        <w:trPr>
          <w:trHeight w:val="300"/>
        </w:trPr>
        <w:tc>
          <w:tcPr>
            <w:tcW w:w="0" w:type="auto"/>
            <w:noWrap/>
            <w:hideMark/>
          </w:tcPr>
          <w:p w14:paraId="62FF93AB" w14:textId="77777777" w:rsidR="0027714C" w:rsidRPr="0027714C" w:rsidRDefault="0027714C">
            <w:pPr>
              <w:rPr>
                <w:rFonts w:ascii="Arial" w:hAnsi="Arial" w:cs="Arial"/>
                <w:color w:val="000000"/>
              </w:rPr>
            </w:pPr>
            <w:proofErr w:type="spellStart"/>
            <w:r w:rsidRPr="0027714C">
              <w:rPr>
                <w:rFonts w:ascii="Arial" w:hAnsi="Arial" w:cs="Arial"/>
                <w:color w:val="000000"/>
              </w:rPr>
              <w:t>Malinen</w:t>
            </w:r>
            <w:proofErr w:type="spellEnd"/>
            <w:r w:rsidRPr="0027714C">
              <w:rPr>
                <w:rFonts w:ascii="Arial" w:hAnsi="Arial" w:cs="Arial"/>
                <w:color w:val="000000"/>
              </w:rPr>
              <w:t xml:space="preserve">, </w:t>
            </w:r>
            <w:proofErr w:type="spellStart"/>
            <w:r w:rsidRPr="0027714C">
              <w:rPr>
                <w:rFonts w:ascii="Arial" w:hAnsi="Arial" w:cs="Arial"/>
                <w:color w:val="000000"/>
              </w:rPr>
              <w:t>Jouni</w:t>
            </w:r>
            <w:proofErr w:type="spellEnd"/>
          </w:p>
        </w:tc>
        <w:tc>
          <w:tcPr>
            <w:tcW w:w="0" w:type="auto"/>
            <w:noWrap/>
            <w:hideMark/>
          </w:tcPr>
          <w:p w14:paraId="01D0E1DD" w14:textId="77777777" w:rsidR="0027714C" w:rsidRPr="0027714C" w:rsidRDefault="0027714C">
            <w:pPr>
              <w:rPr>
                <w:rFonts w:ascii="Arial" w:hAnsi="Arial" w:cs="Arial"/>
                <w:color w:val="000000"/>
              </w:rPr>
            </w:pPr>
            <w:r w:rsidRPr="0027714C">
              <w:rPr>
                <w:rFonts w:ascii="Arial" w:hAnsi="Arial" w:cs="Arial"/>
                <w:color w:val="000000"/>
              </w:rPr>
              <w:t>Qualcomm Incorporated</w:t>
            </w:r>
          </w:p>
        </w:tc>
      </w:tr>
      <w:tr w:rsidR="0027714C" w14:paraId="314C105F" w14:textId="77777777" w:rsidTr="0027714C">
        <w:trPr>
          <w:trHeight w:val="300"/>
        </w:trPr>
        <w:tc>
          <w:tcPr>
            <w:tcW w:w="0" w:type="auto"/>
            <w:noWrap/>
            <w:hideMark/>
          </w:tcPr>
          <w:p w14:paraId="231B8243" w14:textId="77777777" w:rsidR="0027714C" w:rsidRPr="0027714C" w:rsidRDefault="0027714C">
            <w:pPr>
              <w:rPr>
                <w:rFonts w:ascii="Arial" w:hAnsi="Arial" w:cs="Arial"/>
                <w:color w:val="000000"/>
              </w:rPr>
            </w:pPr>
            <w:r w:rsidRPr="0027714C">
              <w:rPr>
                <w:rFonts w:ascii="Arial" w:hAnsi="Arial" w:cs="Arial"/>
                <w:color w:val="000000"/>
              </w:rPr>
              <w:t>Mody, Apurva</w:t>
            </w:r>
          </w:p>
        </w:tc>
        <w:tc>
          <w:tcPr>
            <w:tcW w:w="0" w:type="auto"/>
            <w:noWrap/>
            <w:hideMark/>
          </w:tcPr>
          <w:p w14:paraId="7161000E" w14:textId="77777777" w:rsidR="0027714C" w:rsidRPr="0027714C" w:rsidRDefault="0027714C">
            <w:pPr>
              <w:rPr>
                <w:rFonts w:ascii="Arial" w:hAnsi="Arial" w:cs="Arial"/>
                <w:color w:val="000000"/>
              </w:rPr>
            </w:pPr>
            <w:r w:rsidRPr="0027714C">
              <w:rPr>
                <w:rFonts w:ascii="Arial" w:hAnsi="Arial" w:cs="Arial"/>
                <w:color w:val="000000"/>
              </w:rPr>
              <w:t>BAE Systems</w:t>
            </w:r>
          </w:p>
        </w:tc>
      </w:tr>
      <w:tr w:rsidR="0027714C" w14:paraId="36249CA6" w14:textId="77777777" w:rsidTr="0027714C">
        <w:trPr>
          <w:trHeight w:val="300"/>
        </w:trPr>
        <w:tc>
          <w:tcPr>
            <w:tcW w:w="0" w:type="auto"/>
            <w:noWrap/>
            <w:hideMark/>
          </w:tcPr>
          <w:p w14:paraId="07F041EC" w14:textId="77777777" w:rsidR="0027714C" w:rsidRPr="0027714C" w:rsidRDefault="0027714C">
            <w:pPr>
              <w:rPr>
                <w:rFonts w:ascii="Arial" w:hAnsi="Arial" w:cs="Arial"/>
                <w:color w:val="000000"/>
              </w:rPr>
            </w:pPr>
            <w:r w:rsidRPr="0027714C">
              <w:rPr>
                <w:rFonts w:ascii="Arial" w:hAnsi="Arial" w:cs="Arial"/>
                <w:color w:val="000000"/>
              </w:rPr>
              <w:t>Myles, Andrew</w:t>
            </w:r>
          </w:p>
        </w:tc>
        <w:tc>
          <w:tcPr>
            <w:tcW w:w="0" w:type="auto"/>
            <w:noWrap/>
            <w:hideMark/>
          </w:tcPr>
          <w:p w14:paraId="271D9D34" w14:textId="77777777" w:rsidR="0027714C" w:rsidRPr="0027714C" w:rsidRDefault="0027714C">
            <w:pPr>
              <w:rPr>
                <w:rFonts w:ascii="Arial" w:hAnsi="Arial" w:cs="Arial"/>
                <w:color w:val="000000"/>
              </w:rPr>
            </w:pPr>
            <w:r w:rsidRPr="0027714C">
              <w:rPr>
                <w:rFonts w:ascii="Arial" w:hAnsi="Arial" w:cs="Arial"/>
                <w:color w:val="000000"/>
              </w:rPr>
              <w:t>Cisco Systems, Inc.</w:t>
            </w:r>
          </w:p>
        </w:tc>
      </w:tr>
      <w:tr w:rsidR="0027714C" w14:paraId="01EC8876" w14:textId="77777777" w:rsidTr="0027714C">
        <w:trPr>
          <w:trHeight w:val="300"/>
        </w:trPr>
        <w:tc>
          <w:tcPr>
            <w:tcW w:w="0" w:type="auto"/>
            <w:noWrap/>
            <w:hideMark/>
          </w:tcPr>
          <w:p w14:paraId="11C84A06" w14:textId="77777777" w:rsidR="0027714C" w:rsidRPr="0027714C" w:rsidRDefault="0027714C">
            <w:pPr>
              <w:rPr>
                <w:rFonts w:ascii="Arial" w:hAnsi="Arial" w:cs="Arial"/>
                <w:color w:val="000000"/>
              </w:rPr>
            </w:pPr>
            <w:r w:rsidRPr="0027714C">
              <w:rPr>
                <w:rFonts w:ascii="Arial" w:hAnsi="Arial" w:cs="Arial"/>
                <w:color w:val="000000"/>
              </w:rPr>
              <w:t>NAGATA, KENGO</w:t>
            </w:r>
          </w:p>
        </w:tc>
        <w:tc>
          <w:tcPr>
            <w:tcW w:w="0" w:type="auto"/>
            <w:noWrap/>
            <w:hideMark/>
          </w:tcPr>
          <w:p w14:paraId="4BCC913C" w14:textId="77777777" w:rsidR="0027714C" w:rsidRPr="0027714C" w:rsidRDefault="0027714C">
            <w:pPr>
              <w:rPr>
                <w:rFonts w:ascii="Arial" w:hAnsi="Arial" w:cs="Arial"/>
                <w:color w:val="000000"/>
              </w:rPr>
            </w:pPr>
            <w:r w:rsidRPr="0027714C">
              <w:rPr>
                <w:rFonts w:ascii="Arial" w:hAnsi="Arial" w:cs="Arial"/>
                <w:color w:val="000000"/>
              </w:rPr>
              <w:t>Nippon Telegraph and Telephone Corporation (NTT)</w:t>
            </w:r>
          </w:p>
        </w:tc>
      </w:tr>
      <w:tr w:rsidR="0027714C" w14:paraId="0B54C493" w14:textId="77777777" w:rsidTr="0027714C">
        <w:trPr>
          <w:trHeight w:val="300"/>
        </w:trPr>
        <w:tc>
          <w:tcPr>
            <w:tcW w:w="0" w:type="auto"/>
            <w:noWrap/>
            <w:hideMark/>
          </w:tcPr>
          <w:p w14:paraId="45F83C21" w14:textId="77777777" w:rsidR="0027714C" w:rsidRPr="0027714C" w:rsidRDefault="0027714C">
            <w:pPr>
              <w:rPr>
                <w:rFonts w:ascii="Arial" w:hAnsi="Arial" w:cs="Arial"/>
                <w:color w:val="000000"/>
              </w:rPr>
            </w:pPr>
            <w:r w:rsidRPr="0027714C">
              <w:rPr>
                <w:rFonts w:ascii="Arial" w:hAnsi="Arial" w:cs="Arial"/>
                <w:color w:val="000000"/>
              </w:rPr>
              <w:t>Perlmutter, Uri</w:t>
            </w:r>
          </w:p>
        </w:tc>
        <w:tc>
          <w:tcPr>
            <w:tcW w:w="0" w:type="auto"/>
            <w:noWrap/>
            <w:hideMark/>
          </w:tcPr>
          <w:p w14:paraId="5F278CE3" w14:textId="77777777" w:rsidR="0027714C" w:rsidRPr="0027714C" w:rsidRDefault="0027714C">
            <w:pPr>
              <w:rPr>
                <w:rFonts w:ascii="Arial" w:hAnsi="Arial" w:cs="Arial"/>
                <w:color w:val="000000"/>
              </w:rPr>
            </w:pPr>
            <w:r w:rsidRPr="0027714C">
              <w:rPr>
                <w:rFonts w:ascii="Arial" w:hAnsi="Arial" w:cs="Arial"/>
                <w:color w:val="000000"/>
              </w:rPr>
              <w:t>Intel Corporation</w:t>
            </w:r>
          </w:p>
        </w:tc>
      </w:tr>
      <w:tr w:rsidR="0027714C" w14:paraId="415B8566" w14:textId="77777777" w:rsidTr="0027714C">
        <w:trPr>
          <w:trHeight w:val="300"/>
        </w:trPr>
        <w:tc>
          <w:tcPr>
            <w:tcW w:w="0" w:type="auto"/>
            <w:noWrap/>
            <w:hideMark/>
          </w:tcPr>
          <w:p w14:paraId="3A82BAE7" w14:textId="77777777" w:rsidR="0027714C" w:rsidRPr="0027714C" w:rsidRDefault="0027714C">
            <w:pPr>
              <w:rPr>
                <w:rFonts w:ascii="Arial" w:hAnsi="Arial" w:cs="Arial"/>
                <w:color w:val="000000"/>
              </w:rPr>
            </w:pPr>
            <w:r w:rsidRPr="0027714C">
              <w:rPr>
                <w:rFonts w:ascii="Arial" w:hAnsi="Arial" w:cs="Arial"/>
                <w:color w:val="000000"/>
              </w:rPr>
              <w:t>Randall, Karen</w:t>
            </w:r>
          </w:p>
        </w:tc>
        <w:tc>
          <w:tcPr>
            <w:tcW w:w="0" w:type="auto"/>
            <w:noWrap/>
            <w:hideMark/>
          </w:tcPr>
          <w:p w14:paraId="44490BEE" w14:textId="77777777" w:rsidR="0027714C" w:rsidRPr="0027714C" w:rsidRDefault="0027714C">
            <w:pPr>
              <w:rPr>
                <w:rFonts w:ascii="Arial" w:hAnsi="Arial" w:cs="Arial"/>
                <w:color w:val="000000"/>
              </w:rPr>
            </w:pPr>
            <w:r w:rsidRPr="0027714C">
              <w:rPr>
                <w:rFonts w:ascii="Arial" w:hAnsi="Arial" w:cs="Arial"/>
                <w:color w:val="000000"/>
              </w:rPr>
              <w:t>Self</w:t>
            </w:r>
          </w:p>
        </w:tc>
      </w:tr>
      <w:tr w:rsidR="0027714C" w14:paraId="384CCA90" w14:textId="77777777" w:rsidTr="0027714C">
        <w:trPr>
          <w:trHeight w:val="300"/>
        </w:trPr>
        <w:tc>
          <w:tcPr>
            <w:tcW w:w="0" w:type="auto"/>
            <w:noWrap/>
            <w:hideMark/>
          </w:tcPr>
          <w:p w14:paraId="4C5AB9DB" w14:textId="77777777" w:rsidR="0027714C" w:rsidRPr="0027714C" w:rsidRDefault="0027714C">
            <w:pPr>
              <w:rPr>
                <w:rFonts w:ascii="Arial" w:hAnsi="Arial" w:cs="Arial"/>
                <w:color w:val="000000"/>
              </w:rPr>
            </w:pPr>
            <w:r w:rsidRPr="0027714C">
              <w:rPr>
                <w:rFonts w:ascii="Arial" w:hAnsi="Arial" w:cs="Arial"/>
                <w:color w:val="000000"/>
              </w:rPr>
              <w:t>Sherlock, Ian</w:t>
            </w:r>
          </w:p>
        </w:tc>
        <w:tc>
          <w:tcPr>
            <w:tcW w:w="0" w:type="auto"/>
            <w:noWrap/>
            <w:hideMark/>
          </w:tcPr>
          <w:p w14:paraId="4F98E9C3" w14:textId="77777777" w:rsidR="0027714C" w:rsidRPr="0027714C" w:rsidRDefault="0027714C">
            <w:pPr>
              <w:rPr>
                <w:rFonts w:ascii="Arial" w:hAnsi="Arial" w:cs="Arial"/>
                <w:color w:val="000000"/>
              </w:rPr>
            </w:pPr>
            <w:r w:rsidRPr="0027714C">
              <w:rPr>
                <w:rFonts w:ascii="Arial" w:hAnsi="Arial" w:cs="Arial"/>
                <w:color w:val="000000"/>
              </w:rPr>
              <w:t>Texas Instruments Incorporated</w:t>
            </w:r>
          </w:p>
        </w:tc>
      </w:tr>
      <w:tr w:rsidR="0027714C" w14:paraId="0C7A0F68" w14:textId="77777777" w:rsidTr="0027714C">
        <w:trPr>
          <w:trHeight w:val="300"/>
        </w:trPr>
        <w:tc>
          <w:tcPr>
            <w:tcW w:w="0" w:type="auto"/>
            <w:noWrap/>
            <w:hideMark/>
          </w:tcPr>
          <w:p w14:paraId="2AB5B52C" w14:textId="07E47223" w:rsidR="0027714C" w:rsidRPr="0027714C" w:rsidRDefault="0027714C">
            <w:pPr>
              <w:rPr>
                <w:rFonts w:ascii="Arial" w:hAnsi="Arial" w:cs="Arial"/>
                <w:color w:val="000000"/>
              </w:rPr>
            </w:pPr>
            <w:r>
              <w:rPr>
                <w:rFonts w:ascii="Arial" w:hAnsi="Arial" w:cs="Arial"/>
                <w:color w:val="000000"/>
              </w:rPr>
              <w:t>S</w:t>
            </w:r>
            <w:r w:rsidRPr="0027714C">
              <w:rPr>
                <w:rFonts w:ascii="Arial" w:hAnsi="Arial" w:cs="Arial"/>
                <w:color w:val="000000"/>
              </w:rPr>
              <w:t xml:space="preserve">ingla, </w:t>
            </w:r>
            <w:proofErr w:type="spellStart"/>
            <w:r w:rsidRPr="0027714C">
              <w:rPr>
                <w:rFonts w:ascii="Arial" w:hAnsi="Arial" w:cs="Arial"/>
                <w:color w:val="000000"/>
              </w:rPr>
              <w:t>Parul</w:t>
            </w:r>
            <w:proofErr w:type="spellEnd"/>
          </w:p>
        </w:tc>
        <w:tc>
          <w:tcPr>
            <w:tcW w:w="0" w:type="auto"/>
            <w:noWrap/>
            <w:hideMark/>
          </w:tcPr>
          <w:p w14:paraId="17F4269D" w14:textId="77777777" w:rsidR="0027714C" w:rsidRPr="0027714C" w:rsidRDefault="0027714C">
            <w:pPr>
              <w:rPr>
                <w:rFonts w:ascii="Arial" w:hAnsi="Arial" w:cs="Arial"/>
                <w:color w:val="000000"/>
              </w:rPr>
            </w:pPr>
            <w:proofErr w:type="spellStart"/>
            <w:r w:rsidRPr="0027714C">
              <w:rPr>
                <w:rFonts w:ascii="Arial" w:hAnsi="Arial" w:cs="Arial"/>
                <w:color w:val="000000"/>
              </w:rPr>
              <w:t>Maxlinear</w:t>
            </w:r>
            <w:proofErr w:type="spellEnd"/>
            <w:r w:rsidRPr="0027714C">
              <w:rPr>
                <w:rFonts w:ascii="Arial" w:hAnsi="Arial" w:cs="Arial"/>
                <w:color w:val="000000"/>
              </w:rPr>
              <w:t xml:space="preserve"> Inc</w:t>
            </w:r>
          </w:p>
        </w:tc>
      </w:tr>
      <w:tr w:rsidR="0027714C" w14:paraId="196015AD" w14:textId="77777777" w:rsidTr="0027714C">
        <w:trPr>
          <w:trHeight w:val="300"/>
        </w:trPr>
        <w:tc>
          <w:tcPr>
            <w:tcW w:w="0" w:type="auto"/>
            <w:noWrap/>
            <w:hideMark/>
          </w:tcPr>
          <w:p w14:paraId="429B90D0" w14:textId="77777777" w:rsidR="0027714C" w:rsidRPr="0027714C" w:rsidRDefault="0027714C">
            <w:pPr>
              <w:rPr>
                <w:rFonts w:ascii="Arial" w:hAnsi="Arial" w:cs="Arial"/>
                <w:color w:val="000000"/>
              </w:rPr>
            </w:pPr>
            <w:r w:rsidRPr="0027714C">
              <w:rPr>
                <w:rFonts w:ascii="Arial" w:hAnsi="Arial" w:cs="Arial"/>
                <w:color w:val="000000"/>
              </w:rPr>
              <w:t>Stanley, Dorothy</w:t>
            </w:r>
          </w:p>
        </w:tc>
        <w:tc>
          <w:tcPr>
            <w:tcW w:w="0" w:type="auto"/>
            <w:noWrap/>
            <w:hideMark/>
          </w:tcPr>
          <w:p w14:paraId="650F5C98" w14:textId="77777777" w:rsidR="0027714C" w:rsidRPr="0027714C" w:rsidRDefault="0027714C">
            <w:pPr>
              <w:rPr>
                <w:rFonts w:ascii="Arial" w:hAnsi="Arial" w:cs="Arial"/>
                <w:color w:val="000000"/>
              </w:rPr>
            </w:pPr>
            <w:r w:rsidRPr="0027714C">
              <w:rPr>
                <w:rFonts w:ascii="Arial" w:hAnsi="Arial" w:cs="Arial"/>
                <w:color w:val="000000"/>
              </w:rPr>
              <w:t>Hewlett Packard Enterprise</w:t>
            </w:r>
          </w:p>
        </w:tc>
      </w:tr>
      <w:tr w:rsidR="0027714C" w14:paraId="1A011E22" w14:textId="77777777" w:rsidTr="0027714C">
        <w:trPr>
          <w:trHeight w:val="300"/>
        </w:trPr>
        <w:tc>
          <w:tcPr>
            <w:tcW w:w="0" w:type="auto"/>
            <w:noWrap/>
            <w:hideMark/>
          </w:tcPr>
          <w:p w14:paraId="51E63C36" w14:textId="77777777" w:rsidR="0027714C" w:rsidRPr="0027714C" w:rsidRDefault="0027714C">
            <w:pPr>
              <w:rPr>
                <w:rFonts w:ascii="Arial" w:hAnsi="Arial" w:cs="Arial"/>
                <w:color w:val="000000"/>
              </w:rPr>
            </w:pPr>
            <w:r w:rsidRPr="0027714C">
              <w:rPr>
                <w:rFonts w:ascii="Arial" w:hAnsi="Arial" w:cs="Arial"/>
                <w:color w:val="000000"/>
              </w:rPr>
              <w:t xml:space="preserve">Sun, </w:t>
            </w:r>
            <w:proofErr w:type="spellStart"/>
            <w:r w:rsidRPr="0027714C">
              <w:rPr>
                <w:rFonts w:ascii="Arial" w:hAnsi="Arial" w:cs="Arial"/>
                <w:color w:val="000000"/>
              </w:rPr>
              <w:t>Yanjun</w:t>
            </w:r>
            <w:proofErr w:type="spellEnd"/>
          </w:p>
        </w:tc>
        <w:tc>
          <w:tcPr>
            <w:tcW w:w="0" w:type="auto"/>
            <w:noWrap/>
            <w:hideMark/>
          </w:tcPr>
          <w:p w14:paraId="08A0C062" w14:textId="77777777" w:rsidR="0027714C" w:rsidRPr="0027714C" w:rsidRDefault="0027714C">
            <w:pPr>
              <w:rPr>
                <w:rFonts w:ascii="Arial" w:hAnsi="Arial" w:cs="Arial"/>
                <w:color w:val="000000"/>
              </w:rPr>
            </w:pPr>
            <w:r w:rsidRPr="0027714C">
              <w:rPr>
                <w:rFonts w:ascii="Arial" w:hAnsi="Arial" w:cs="Arial"/>
                <w:color w:val="000000"/>
              </w:rPr>
              <w:t>Qualcomm Incorporated</w:t>
            </w:r>
          </w:p>
        </w:tc>
      </w:tr>
      <w:tr w:rsidR="0027714C" w14:paraId="0766DEB3" w14:textId="77777777" w:rsidTr="0027714C">
        <w:trPr>
          <w:trHeight w:val="300"/>
        </w:trPr>
        <w:tc>
          <w:tcPr>
            <w:tcW w:w="0" w:type="auto"/>
            <w:noWrap/>
            <w:hideMark/>
          </w:tcPr>
          <w:p w14:paraId="3B69DD9C" w14:textId="77777777" w:rsidR="0027714C" w:rsidRPr="0027714C" w:rsidRDefault="0027714C">
            <w:pPr>
              <w:rPr>
                <w:rFonts w:ascii="Arial" w:hAnsi="Arial" w:cs="Arial"/>
                <w:color w:val="000000"/>
              </w:rPr>
            </w:pPr>
            <w:r w:rsidRPr="0027714C">
              <w:rPr>
                <w:rFonts w:ascii="Arial" w:hAnsi="Arial" w:cs="Arial"/>
                <w:color w:val="000000"/>
              </w:rPr>
              <w:t>Wang, Lei</w:t>
            </w:r>
          </w:p>
        </w:tc>
        <w:tc>
          <w:tcPr>
            <w:tcW w:w="0" w:type="auto"/>
            <w:noWrap/>
            <w:hideMark/>
          </w:tcPr>
          <w:p w14:paraId="676777AC" w14:textId="77777777" w:rsidR="0027714C" w:rsidRPr="0027714C" w:rsidRDefault="0027714C">
            <w:pPr>
              <w:rPr>
                <w:rFonts w:ascii="Arial" w:hAnsi="Arial" w:cs="Arial"/>
                <w:color w:val="000000"/>
              </w:rPr>
            </w:pPr>
            <w:proofErr w:type="spellStart"/>
            <w:r w:rsidRPr="0027714C">
              <w:rPr>
                <w:rFonts w:ascii="Arial" w:hAnsi="Arial" w:cs="Arial"/>
                <w:color w:val="000000"/>
              </w:rPr>
              <w:t>Futurewei</w:t>
            </w:r>
            <w:proofErr w:type="spellEnd"/>
            <w:r w:rsidRPr="0027714C">
              <w:rPr>
                <w:rFonts w:ascii="Arial" w:hAnsi="Arial" w:cs="Arial"/>
                <w:color w:val="000000"/>
              </w:rPr>
              <w:t xml:space="preserve"> Technologies</w:t>
            </w:r>
          </w:p>
        </w:tc>
      </w:tr>
      <w:tr w:rsidR="0027714C" w14:paraId="2009B7A3" w14:textId="77777777" w:rsidTr="0027714C">
        <w:trPr>
          <w:trHeight w:val="300"/>
        </w:trPr>
        <w:tc>
          <w:tcPr>
            <w:tcW w:w="0" w:type="auto"/>
            <w:noWrap/>
            <w:hideMark/>
          </w:tcPr>
          <w:p w14:paraId="145B7559" w14:textId="77777777" w:rsidR="0027714C" w:rsidRPr="0027714C" w:rsidRDefault="0027714C">
            <w:pPr>
              <w:rPr>
                <w:rFonts w:ascii="Arial" w:hAnsi="Arial" w:cs="Arial"/>
                <w:color w:val="000000"/>
              </w:rPr>
            </w:pPr>
            <w:proofErr w:type="spellStart"/>
            <w:r w:rsidRPr="0027714C">
              <w:rPr>
                <w:rFonts w:ascii="Arial" w:hAnsi="Arial" w:cs="Arial"/>
                <w:color w:val="000000"/>
              </w:rPr>
              <w:t>Yarkoni</w:t>
            </w:r>
            <w:proofErr w:type="spellEnd"/>
            <w:r w:rsidRPr="0027714C">
              <w:rPr>
                <w:rFonts w:ascii="Arial" w:hAnsi="Arial" w:cs="Arial"/>
                <w:color w:val="000000"/>
              </w:rPr>
              <w:t>, Sol</w:t>
            </w:r>
          </w:p>
        </w:tc>
        <w:tc>
          <w:tcPr>
            <w:tcW w:w="0" w:type="auto"/>
            <w:noWrap/>
            <w:hideMark/>
          </w:tcPr>
          <w:p w14:paraId="13B19E11" w14:textId="77777777" w:rsidR="0027714C" w:rsidRPr="0027714C" w:rsidRDefault="0027714C">
            <w:pPr>
              <w:rPr>
                <w:rFonts w:ascii="Arial" w:hAnsi="Arial" w:cs="Arial"/>
                <w:color w:val="000000"/>
              </w:rPr>
            </w:pPr>
            <w:proofErr w:type="spellStart"/>
            <w:r w:rsidRPr="0027714C">
              <w:rPr>
                <w:rFonts w:ascii="Arial" w:hAnsi="Arial" w:cs="Arial"/>
                <w:color w:val="000000"/>
              </w:rPr>
              <w:t>Vayyar</w:t>
            </w:r>
            <w:proofErr w:type="spellEnd"/>
            <w:r w:rsidRPr="0027714C">
              <w:rPr>
                <w:rFonts w:ascii="Arial" w:hAnsi="Arial" w:cs="Arial"/>
                <w:color w:val="000000"/>
              </w:rPr>
              <w:t xml:space="preserve"> Imaging Ltd.</w:t>
            </w:r>
          </w:p>
        </w:tc>
      </w:tr>
    </w:tbl>
    <w:p w14:paraId="75C9FAA4" w14:textId="77777777" w:rsidR="003177A2" w:rsidRPr="003177A2" w:rsidRDefault="003177A2" w:rsidP="003177A2">
      <w:pPr>
        <w:rPr>
          <w:lang w:val="en-US"/>
        </w:rPr>
      </w:pPr>
    </w:p>
    <w:sectPr w:rsidR="003177A2" w:rsidRPr="003177A2"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291D" w14:textId="77777777" w:rsidR="0092012B" w:rsidRDefault="0092012B">
      <w:r>
        <w:separator/>
      </w:r>
    </w:p>
  </w:endnote>
  <w:endnote w:type="continuationSeparator" w:id="0">
    <w:p w14:paraId="071AB1C0" w14:textId="77777777" w:rsidR="0092012B" w:rsidRDefault="0092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D07F" w14:textId="77777777" w:rsidR="00F0444D" w:rsidRDefault="00F0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7209" w14:textId="77777777" w:rsidR="00F0444D" w:rsidRDefault="00F0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3E5F" w14:textId="77777777" w:rsidR="0092012B" w:rsidRDefault="0092012B">
      <w:r>
        <w:separator/>
      </w:r>
    </w:p>
  </w:footnote>
  <w:footnote w:type="continuationSeparator" w:id="0">
    <w:p w14:paraId="4BA15691" w14:textId="77777777" w:rsidR="0092012B" w:rsidRDefault="0092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CBE3" w14:textId="77777777" w:rsidR="00F0444D" w:rsidRDefault="00F04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28BC" w14:textId="6F244103" w:rsidR="0062716A" w:rsidRPr="005831F1" w:rsidRDefault="004F0966" w:rsidP="001E3294">
    <w:pPr>
      <w:pStyle w:val="Header"/>
      <w:tabs>
        <w:tab w:val="clear" w:pos="6480"/>
        <w:tab w:val="center" w:pos="4680"/>
        <w:tab w:val="right" w:pos="10065"/>
      </w:tabs>
      <w:rPr>
        <w:rFonts w:asciiTheme="minorHAnsi" w:hAnsiTheme="minorHAnsi"/>
      </w:rPr>
    </w:pPr>
    <w:r>
      <w:rPr>
        <w:rFonts w:asciiTheme="minorHAnsi" w:hAnsiTheme="minorHAnsi"/>
      </w:rPr>
      <w:t>Nov</w:t>
    </w:r>
    <w:r w:rsidR="002F5174">
      <w:rPr>
        <w:rFonts w:asciiTheme="minorHAnsi" w:hAnsiTheme="minorHAnsi"/>
      </w:rPr>
      <w:t xml:space="preserve"> 2020</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w:t>
    </w:r>
    <w:r w:rsidR="002F5174">
      <w:rPr>
        <w:rFonts w:asciiTheme="minorHAnsi" w:hAnsiTheme="minorHAnsi"/>
      </w:rPr>
      <w:t>: IEEE 802.11-</w:t>
    </w:r>
    <w:r w:rsidR="005505AB">
      <w:rPr>
        <w:rFonts w:asciiTheme="minorHAnsi" w:hAnsiTheme="minorHAnsi"/>
      </w:rPr>
      <w:t>20</w:t>
    </w:r>
    <w:r w:rsidR="002F5174">
      <w:rPr>
        <w:rFonts w:asciiTheme="minorHAnsi" w:hAnsiTheme="minorHAnsi"/>
      </w:rPr>
      <w:t>/</w:t>
    </w:r>
    <w:r w:rsidR="00F0444D">
      <w:rPr>
        <w:rFonts w:asciiTheme="minorHAnsi" w:hAnsiTheme="minorHAnsi"/>
      </w:rPr>
      <w:t>1894</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77B0" w14:textId="77777777" w:rsidR="00F0444D" w:rsidRDefault="00F04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11"/>
  </w:num>
  <w:num w:numId="5">
    <w:abstractNumId w:val="3"/>
  </w:num>
  <w:num w:numId="6">
    <w:abstractNumId w:val="15"/>
  </w:num>
  <w:num w:numId="7">
    <w:abstractNumId w:val="5"/>
  </w:num>
  <w:num w:numId="8">
    <w:abstractNumId w:val="21"/>
  </w:num>
  <w:num w:numId="9">
    <w:abstractNumId w:val="7"/>
  </w:num>
  <w:num w:numId="10">
    <w:abstractNumId w:val="16"/>
  </w:num>
  <w:num w:numId="11">
    <w:abstractNumId w:val="9"/>
  </w:num>
  <w:num w:numId="12">
    <w:abstractNumId w:val="23"/>
  </w:num>
  <w:num w:numId="13">
    <w:abstractNumId w:val="13"/>
  </w:num>
  <w:num w:numId="14">
    <w:abstractNumId w:val="10"/>
  </w:num>
  <w:num w:numId="15">
    <w:abstractNumId w:val="4"/>
  </w:num>
  <w:num w:numId="16">
    <w:abstractNumId w:val="8"/>
  </w:num>
  <w:num w:numId="17">
    <w:abstractNumId w:val="20"/>
  </w:num>
  <w:num w:numId="18">
    <w:abstractNumId w:val="24"/>
  </w:num>
  <w:num w:numId="19">
    <w:abstractNumId w:val="1"/>
  </w:num>
  <w:num w:numId="20">
    <w:abstractNumId w:val="0"/>
  </w:num>
  <w:num w:numId="21">
    <w:abstractNumId w:val="6"/>
  </w:num>
  <w:num w:numId="22">
    <w:abstractNumId w:val="14"/>
  </w:num>
  <w:num w:numId="23">
    <w:abstractNumId w:val="17"/>
  </w:num>
  <w:num w:numId="24">
    <w:abstractNumId w:val="2"/>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A6961"/>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8055E"/>
    <w:rsid w:val="001813AA"/>
    <w:rsid w:val="001A0BEC"/>
    <w:rsid w:val="001A4B23"/>
    <w:rsid w:val="001B5F9E"/>
    <w:rsid w:val="001B7658"/>
    <w:rsid w:val="001C0574"/>
    <w:rsid w:val="001C3C03"/>
    <w:rsid w:val="001C765A"/>
    <w:rsid w:val="001D296F"/>
    <w:rsid w:val="001D723B"/>
    <w:rsid w:val="001E3294"/>
    <w:rsid w:val="001E7BA8"/>
    <w:rsid w:val="002004A9"/>
    <w:rsid w:val="0020187A"/>
    <w:rsid w:val="002244C7"/>
    <w:rsid w:val="002301C9"/>
    <w:rsid w:val="002500F4"/>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301343"/>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0771C"/>
    <w:rsid w:val="0042005E"/>
    <w:rsid w:val="00421629"/>
    <w:rsid w:val="004239A7"/>
    <w:rsid w:val="004312DD"/>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08F7"/>
    <w:rsid w:val="008833B8"/>
    <w:rsid w:val="008847D5"/>
    <w:rsid w:val="00890769"/>
    <w:rsid w:val="00890B9B"/>
    <w:rsid w:val="008921A3"/>
    <w:rsid w:val="008A5D76"/>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13E"/>
    <w:rsid w:val="00B74473"/>
    <w:rsid w:val="00B85874"/>
    <w:rsid w:val="00B863D6"/>
    <w:rsid w:val="00B91A09"/>
    <w:rsid w:val="00BB6A07"/>
    <w:rsid w:val="00BC321F"/>
    <w:rsid w:val="00BC5AD4"/>
    <w:rsid w:val="00BC727A"/>
    <w:rsid w:val="00BD30FD"/>
    <w:rsid w:val="00BE2A70"/>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C4A9B"/>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E3EEF"/>
    <w:rsid w:val="00EE3F7B"/>
    <w:rsid w:val="00EF1A12"/>
    <w:rsid w:val="00F01455"/>
    <w:rsid w:val="00F03CFD"/>
    <w:rsid w:val="00F0444D"/>
    <w:rsid w:val="00F05C11"/>
    <w:rsid w:val="00F1500C"/>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631</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 IEEE 802.11-19/0xxxr0</vt:lpstr>
      <vt:lpstr>Minutes of the IEEE 802 JTC1 SC meeting on Tuesday, 3 November 2020</vt:lpstr>
      <vt:lpstr>        Order</vt:lpstr>
      <vt:lpstr>        Agenda</vt:lpstr>
      <vt:lpstr>        Minutes</vt:lpstr>
      <vt:lpstr>        IEEE 802.1</vt:lpstr>
      <vt:lpstr>        IEEE 802.3</vt:lpstr>
      <vt:lpstr>        IEEE 802.11</vt:lpstr>
      <vt:lpstr>        Adjounment</vt:lpstr>
      <vt:lpstr>        Attendance</vt:lpstr>
    </vt:vector>
  </TitlesOfParts>
  <Company>RSA Security</Company>
  <LinksUpToDate>false</LinksUpToDate>
  <CharactersWithSpaces>4225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2</cp:revision>
  <dcterms:created xsi:type="dcterms:W3CDTF">2020-11-24T01:59:00Z</dcterms:created>
  <dcterms:modified xsi:type="dcterms:W3CDTF">2020-11-24T01:59:00Z</dcterms:modified>
</cp:coreProperties>
</file>