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ko-KR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ko-KR"/>
              </w:rPr>
              <w:t xml:space="preserve">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  <w:p w14:paraId="2BF892A1" w14:textId="4A785C98" w:rsidR="00925BE8" w:rsidRDefault="00925BE8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</w:t>
                            </w:r>
                            <w:r w:rsidR="00C56EF1">
                              <w:rPr>
                                <w:lang w:eastAsia="ko-KR"/>
                              </w:rPr>
                              <w:t>1</w:t>
                            </w:r>
                            <w:r w:rsidR="00163D86">
                              <w:rPr>
                                <w:lang w:eastAsia="ko-KR"/>
                              </w:rPr>
                              <w:t>: text update on 1x LTF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  <w:p w14:paraId="2BF892A1" w14:textId="4A785C98" w:rsidR="00925BE8" w:rsidRDefault="00925BE8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</w:t>
                      </w:r>
                      <w:r w:rsidR="00C56EF1">
                        <w:rPr>
                          <w:lang w:eastAsia="ko-KR"/>
                        </w:rPr>
                        <w:t>1</w:t>
                      </w:r>
                      <w:r w:rsidR="00163D86">
                        <w:rPr>
                          <w:lang w:eastAsia="ko-KR"/>
                        </w:rPr>
                        <w:t>: text update on 1x LTF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</w:t>
      </w:r>
      <w:proofErr w:type="spellStart"/>
      <w:r w:rsidR="004B0651">
        <w:rPr>
          <w:lang w:eastAsia="ko-KR"/>
        </w:rPr>
        <w:t>Stras</w:t>
      </w:r>
      <w:proofErr w:type="spellEnd"/>
      <w:r w:rsidR="004B0651">
        <w:rPr>
          <w:lang w:eastAsia="ko-KR"/>
        </w:rPr>
        <w:t xml:space="preserve"> Polls and Potential Changes to the Specification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</w:t>
      </w:r>
      <w:proofErr w:type="gramStart"/>
      <w:r>
        <w:rPr>
          <w:rFonts w:hint="eastAsia"/>
          <w:highlight w:val="lightGray"/>
        </w:rPr>
        <w:t>a modulo</w:t>
      </w:r>
      <w:proofErr w:type="gramEnd"/>
      <w:r>
        <w:rPr>
          <w:rFonts w:hint="eastAsia"/>
          <w:highlight w:val="lightGray"/>
        </w:rPr>
        <w:t xml:space="preserve">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proofErr w:type="spellStart"/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proofErr w:type="spellEnd"/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0"/>
    <w:p w14:paraId="3694CCC0" w14:textId="77777777" w:rsidR="00A20D9D" w:rsidRDefault="00A20D9D" w:rsidP="00C644D5">
      <w:pPr>
        <w:rPr>
          <w:sz w:val="20"/>
        </w:rPr>
      </w:pPr>
    </w:p>
    <w:p w14:paraId="7588996E" w14:textId="20CBE980" w:rsidR="00925BE8" w:rsidRDefault="00925BE8" w:rsidP="00925BE8">
      <w:pPr>
        <w:pStyle w:val="3"/>
        <w:numPr>
          <w:ilvl w:val="0"/>
          <w:numId w:val="0"/>
        </w:numPr>
        <w:ind w:left="720" w:hanging="720"/>
      </w:pPr>
      <w:r>
        <w:t xml:space="preserve">36.3.2.4 </w:t>
      </w:r>
      <w:r w:rsidRPr="009A5BE6">
        <w:t>Pilot subcarriers</w:t>
      </w:r>
    </w:p>
    <w:p w14:paraId="14731271" w14:textId="77777777" w:rsidR="00925BE8" w:rsidRDefault="00925BE8" w:rsidP="00925BE8">
      <w:pPr>
        <w:rPr>
          <w:sz w:val="20"/>
        </w:rPr>
      </w:pPr>
      <w:r>
        <w:rPr>
          <w:sz w:val="20"/>
        </w:rPr>
        <w:t>Pilot subcarriers are present in the Data field, and may be present in the EHT-LTF field.</w:t>
      </w:r>
    </w:p>
    <w:p w14:paraId="1D9727BC" w14:textId="77777777" w:rsidR="00925BE8" w:rsidRDefault="00925BE8" w:rsidP="00925BE8">
      <w:pPr>
        <w:rPr>
          <w:sz w:val="20"/>
        </w:rPr>
      </w:pPr>
      <w:r>
        <w:rPr>
          <w:sz w:val="20"/>
        </w:rPr>
        <w:t>The pilot subcarrier indices for the Data field OFDM symbols are defined in 1.</w:t>
      </w:r>
      <w:r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ADC10FE" w14:textId="77777777" w:rsidR="00925BE8" w:rsidRDefault="00925BE8" w:rsidP="00925BE8">
      <w:pPr>
        <w:rPr>
          <w:sz w:val="20"/>
        </w:rPr>
      </w:pPr>
    </w:p>
    <w:p w14:paraId="7784B4DD" w14:textId="77777777" w:rsidR="00925BE8" w:rsidRDefault="00925BE8" w:rsidP="00925BE8">
      <w:pPr>
        <w:rPr>
          <w:sz w:val="20"/>
        </w:rPr>
      </w:pPr>
      <w:r>
        <w:rPr>
          <w:sz w:val="20"/>
        </w:rPr>
        <w:t xml:space="preserve">One of three EHT-LTF types is used in the EHT-LTF field of an EHT PPDU: 1x EHT-LTF, 2x EHT-LTF and 4x EHT-LTF. If pilot subcarriers are present in the EHT-LTF field of an EHT PPDU, then, for a 4x EHT-LTF and 2x EHT-LTF, the pilot subcarrier locations in the EHT-LTF field are the same as the pilot subcarrier locations in the Data field. </w:t>
      </w:r>
      <w:r w:rsidRPr="00925BE8">
        <w:rPr>
          <w:strike/>
          <w:color w:val="FF0000"/>
          <w:sz w:val="20"/>
        </w:rPr>
        <w:t xml:space="preserve">For a 1x EHT-LTF, the pilot subcarrier locations in the EHT-LTF field are the pilot subcarriers locations in the Data field that are multiples of </w:t>
      </w:r>
      <w:commentRangeStart w:id="1"/>
      <w:r w:rsidRPr="00925BE8">
        <w:rPr>
          <w:strike/>
          <w:color w:val="FF0000"/>
          <w:sz w:val="20"/>
        </w:rPr>
        <w:t>4</w:t>
      </w:r>
      <w:commentRangeEnd w:id="1"/>
      <w:r>
        <w:rPr>
          <w:rStyle w:val="a9"/>
        </w:rPr>
        <w:commentReference w:id="1"/>
      </w:r>
      <w:r w:rsidRPr="00925BE8">
        <w:rPr>
          <w:strike/>
          <w:color w:val="FF0000"/>
          <w:sz w:val="20"/>
        </w:rPr>
        <w:t>.</w:t>
      </w:r>
    </w:p>
    <w:p w14:paraId="116644BC" w14:textId="77777777" w:rsidR="00925BE8" w:rsidRPr="00925BE8" w:rsidRDefault="00925BE8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49261A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41DA9DFE" w:rsidR="00E00F61" w:rsidRPr="00704631" w:rsidRDefault="00D34B15" w:rsidP="00A23E73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  <w:r w:rsidR="00163D86">
              <w:rPr>
                <w:sz w:val="20"/>
                <w:lang w:eastAsia="ko-KR"/>
              </w:rPr>
              <w:t>:36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550494A3" w:rsidR="00D34B15" w:rsidRPr="007F2027" w:rsidRDefault="009A662C" w:rsidP="00163D8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>,</w:t>
            </w:r>
            <w:r w:rsidR="00163D86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635F1506" w:rsidR="00D34B15" w:rsidRPr="00E00F61" w:rsidRDefault="007F2027" w:rsidP="00163D86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72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404DDFAF" w:rsidR="00D34B15" w:rsidRPr="007F2027" w:rsidRDefault="007F2027" w:rsidP="00163D86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144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2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2"/>
            <w:r w:rsidR="00456344">
              <w:rPr>
                <w:rStyle w:val="a9"/>
              </w:rPr>
              <w:commentReference w:id="2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52-tone RU in 80/160/320MHz PPDU BW, the pilo</w:t>
      </w:r>
      <w:bookmarkStart w:id="3" w:name="_GoBack"/>
      <w:bookmarkEnd w:id="3"/>
      <w:r>
        <w:rPr>
          <w:sz w:val="20"/>
        </w:rPr>
        <w:t xml:space="preserve">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49261A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49261A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lastRenderedPageBreak/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49261A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49261A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49261A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49261A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49261A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49261A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49261A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49261A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49261A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49261A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49261A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49261A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</w:t>
      </w:r>
      <w:proofErr w:type="spellStart"/>
      <w:r w:rsidRPr="00163D2E">
        <w:rPr>
          <w:strike/>
          <w:color w:val="FF0000"/>
          <w:sz w:val="20"/>
        </w:rPr>
        <w:t>noncontiguous</w:t>
      </w:r>
      <w:proofErr w:type="spellEnd"/>
      <w:r w:rsidRPr="00163D2E">
        <w:rPr>
          <w:strike/>
          <w:color w:val="FF0000"/>
          <w:sz w:val="20"/>
        </w:rPr>
        <w:t xml:space="preserve">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4"/>
      <w:r w:rsidR="001251E6" w:rsidRPr="00163D2E">
        <w:rPr>
          <w:strike/>
          <w:color w:val="FF0000"/>
          <w:sz w:val="20"/>
        </w:rPr>
        <w:t>transmission</w:t>
      </w:r>
      <w:commentRangeEnd w:id="4"/>
      <w:r w:rsidR="00456344">
        <w:rPr>
          <w:rStyle w:val="a9"/>
        </w:rPr>
        <w:commentReference w:id="4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86574E9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RU</w:t>
      </w:r>
      <w:r w:rsidR="009E098C" w:rsidRPr="009E098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5"/>
      <w:r w:rsidR="009E098C" w:rsidRPr="009E098C">
        <w:rPr>
          <w:color w:val="0070C0"/>
          <w:sz w:val="20"/>
          <w:u w:val="single"/>
        </w:rPr>
        <w:t>mapping</w:t>
      </w:r>
      <w:commentRangeEnd w:id="5"/>
      <w:r w:rsidR="00456344">
        <w:rPr>
          <w:rStyle w:val="a9"/>
        </w:rPr>
        <w:commentReference w:id="5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48784EE8" w:rsidR="006E01C8" w:rsidRPr="00ED7F1A" w:rsidRDefault="0049261A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49261A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4E01656A" w:rsidR="0008298B" w:rsidRPr="00ED7F1A" w:rsidRDefault="0049261A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49261A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49261A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nyoung Chun" w:date="2020-11-19T10:21:00Z" w:initials="JC">
    <w:p w14:paraId="7093B808" w14:textId="33E0CF05" w:rsidR="00925BE8" w:rsidRDefault="00925BE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1x LTF is </w:t>
      </w:r>
      <w:r>
        <w:rPr>
          <w:lang w:eastAsia="ko-KR"/>
        </w:rPr>
        <w:t xml:space="preserve">just </w:t>
      </w:r>
      <w:r>
        <w:rPr>
          <w:rFonts w:hint="eastAsia"/>
          <w:lang w:eastAsia="ko-KR"/>
        </w:rPr>
        <w:t>used in non-OFDMA TB PPDU and there</w:t>
      </w:r>
      <w:r>
        <w:rPr>
          <w:lang w:eastAsia="ko-KR"/>
        </w:rPr>
        <w:t>’s no pilot.</w:t>
      </w:r>
    </w:p>
  </w:comment>
  <w:comment w:id="2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4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5" w:author="Jinyoung Chun" w:date="2020-11-18T11:20:00Z" w:initials="JC">
    <w:p w14:paraId="00DE554C" w14:textId="7515C720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  <w:r w:rsidR="00A23E73">
        <w:rPr>
          <w:lang w:eastAsia="ko-KR"/>
        </w:rPr>
        <w:t xml:space="preserve"> (make the existed red text black and add the exception)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B808" w15:done="0"/>
  <w15:commentEx w15:paraId="44B7E7CB" w15:done="0"/>
  <w15:commentEx w15:paraId="05D2FD06" w15:done="0"/>
  <w15:commentEx w15:paraId="00DE5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4AEF" w14:textId="77777777" w:rsidR="0049261A" w:rsidRDefault="0049261A">
      <w:r>
        <w:separator/>
      </w:r>
    </w:p>
  </w:endnote>
  <w:endnote w:type="continuationSeparator" w:id="0">
    <w:p w14:paraId="3632FCF5" w14:textId="77777777" w:rsidR="0049261A" w:rsidRDefault="0049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63D86">
      <w:rPr>
        <w:noProof/>
      </w:rPr>
      <w:t>1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3478" w14:textId="77777777" w:rsidR="0049261A" w:rsidRDefault="0049261A">
      <w:r>
        <w:separator/>
      </w:r>
    </w:p>
  </w:footnote>
  <w:footnote w:type="continuationSeparator" w:id="0">
    <w:p w14:paraId="7FF22253" w14:textId="77777777" w:rsidR="0049261A" w:rsidRDefault="0049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7EFC82D4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fldSimple w:instr=" TITLE  \* MERGEFORMAT ">
      <w:r w:rsidR="00163D2E">
        <w:t>doc.: IEEE 802.11-20/</w:t>
      </w:r>
      <w:r w:rsidR="00140CAB">
        <w:t>1876</w:t>
      </w:r>
      <w:r w:rsidR="00163D2E">
        <w:t>r</w:t>
      </w:r>
    </w:fldSimple>
    <w:r w:rsidR="00925BE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3D86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BA2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261A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2DCD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3ADD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5BE8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3E73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6EF1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9C8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6922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7E4E5-3359-4E7B-90BF-6D8E0864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169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26</cp:revision>
  <cp:lastPrinted>2014-06-04T16:31:00Z</cp:lastPrinted>
  <dcterms:created xsi:type="dcterms:W3CDTF">2020-09-21T14:29:00Z</dcterms:created>
  <dcterms:modified xsi:type="dcterms:W3CDTF">2020-11-19T02:22:00Z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