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21287B" w:rsidRDefault="00CA09B2">
      <w:pPr>
        <w:pStyle w:val="T1"/>
        <w:pBdr>
          <w:bottom w:val="single" w:sz="6" w:space="0" w:color="auto"/>
        </w:pBdr>
        <w:spacing w:after="240"/>
        <w:rPr>
          <w:szCs w:val="28"/>
        </w:rPr>
      </w:pPr>
      <w:r w:rsidRPr="0021287B">
        <w:rPr>
          <w:szCs w:val="28"/>
        </w:rPr>
        <w:t>IEEE P802.11</w:t>
      </w:r>
      <w:r w:rsidRPr="0021287B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E673F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ADAC1C1" w:rsidR="00CA09B2" w:rsidRPr="00E673FE" w:rsidRDefault="00BC2941" w:rsidP="00033DF0">
            <w:pPr>
              <w:pStyle w:val="T2"/>
              <w:rPr>
                <w:sz w:val="20"/>
                <w:lang w:val="en-US"/>
              </w:rPr>
            </w:pPr>
            <w:r w:rsidRPr="00E43574">
              <w:rPr>
                <w:szCs w:val="28"/>
                <w:lang w:val="en-US"/>
              </w:rPr>
              <w:t xml:space="preserve">Proposed Draft Text: </w:t>
            </w:r>
            <w:r w:rsidR="00E673FE" w:rsidRPr="00E43574">
              <w:rPr>
                <w:szCs w:val="28"/>
                <w:lang w:val="en-US"/>
              </w:rPr>
              <w:t>Non-HT duplicate transmission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AFF7839" w:rsidR="00CA09B2" w:rsidRPr="0021287B" w:rsidRDefault="00CA09B2" w:rsidP="00F33644">
            <w:pPr>
              <w:pStyle w:val="T2"/>
              <w:ind w:left="0"/>
              <w:rPr>
                <w:sz w:val="24"/>
                <w:szCs w:val="24"/>
              </w:rPr>
            </w:pPr>
            <w:r w:rsidRPr="0021287B">
              <w:rPr>
                <w:sz w:val="24"/>
                <w:szCs w:val="24"/>
              </w:rPr>
              <w:t>Date:</w:t>
            </w:r>
            <w:r w:rsidRPr="0021287B">
              <w:rPr>
                <w:b w:val="0"/>
                <w:sz w:val="24"/>
                <w:szCs w:val="24"/>
              </w:rPr>
              <w:t xml:space="preserve">  </w:t>
            </w:r>
            <w:r w:rsidR="00FD7C52" w:rsidRPr="0021287B">
              <w:rPr>
                <w:b w:val="0"/>
                <w:sz w:val="24"/>
                <w:szCs w:val="24"/>
              </w:rPr>
              <w:t>20</w:t>
            </w:r>
            <w:r w:rsidR="00C057D4" w:rsidRPr="0021287B">
              <w:rPr>
                <w:b w:val="0"/>
                <w:sz w:val="24"/>
                <w:szCs w:val="24"/>
              </w:rPr>
              <w:t>20</w:t>
            </w:r>
            <w:r w:rsidRPr="0021287B">
              <w:rPr>
                <w:b w:val="0"/>
                <w:sz w:val="24"/>
                <w:szCs w:val="24"/>
              </w:rPr>
              <w:t>-</w:t>
            </w:r>
            <w:r w:rsidR="005F37B8" w:rsidRPr="0021287B">
              <w:rPr>
                <w:b w:val="0"/>
                <w:sz w:val="24"/>
                <w:szCs w:val="24"/>
              </w:rPr>
              <w:t>11</w:t>
            </w:r>
            <w:r w:rsidRPr="0021287B">
              <w:rPr>
                <w:b w:val="0"/>
                <w:sz w:val="24"/>
                <w:szCs w:val="24"/>
              </w:rPr>
              <w:t>-</w:t>
            </w:r>
            <w:r w:rsidR="005F37B8" w:rsidRPr="0021287B">
              <w:rPr>
                <w:b w:val="0"/>
                <w:sz w:val="24"/>
                <w:szCs w:val="24"/>
              </w:rPr>
              <w:t>16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21287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1287B">
              <w:rPr>
                <w:sz w:val="24"/>
                <w:szCs w:val="24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21287B" w:rsidRDefault="00CA09B2" w:rsidP="00CB10AD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1287B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21287B" w:rsidRDefault="00CA09B2" w:rsidP="00CB10AD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1287B">
              <w:rPr>
                <w:sz w:val="24"/>
                <w:szCs w:val="24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7EF819A2" w:rsidR="006968DB" w:rsidRPr="00913DF2" w:rsidRDefault="005D4D05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Rui Cao</w:t>
            </w:r>
          </w:p>
        </w:tc>
        <w:tc>
          <w:tcPr>
            <w:tcW w:w="1260" w:type="dxa"/>
          </w:tcPr>
          <w:p w14:paraId="171FD588" w14:textId="23B4ADE7" w:rsidR="006968DB" w:rsidRPr="00677652" w:rsidRDefault="00BB09B5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NXP</w:t>
            </w:r>
          </w:p>
        </w:tc>
        <w:tc>
          <w:tcPr>
            <w:tcW w:w="2340" w:type="dxa"/>
          </w:tcPr>
          <w:p w14:paraId="3B4F6DDE" w14:textId="1F28A1D1" w:rsidR="006968DB" w:rsidRPr="00677652" w:rsidRDefault="00EB3A18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350 Holger Way, San Jose, CA 95134</w:t>
            </w:r>
          </w:p>
        </w:tc>
        <w:tc>
          <w:tcPr>
            <w:tcW w:w="1170" w:type="dxa"/>
            <w:vAlign w:val="center"/>
          </w:tcPr>
          <w:p w14:paraId="71369E9C" w14:textId="77777777" w:rsidR="006968DB" w:rsidRPr="0021287B" w:rsidRDefault="006968DB" w:rsidP="00E703C4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76FB304" w14:textId="454C7149" w:rsidR="006968DB" w:rsidRPr="0021287B" w:rsidRDefault="00EB3A18" w:rsidP="00E703C4">
            <w:pPr>
              <w:pStyle w:val="NormalWeb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rui.cao_2@nxp.com</w:t>
            </w:r>
          </w:p>
        </w:tc>
      </w:tr>
      <w:tr w:rsidR="00BB09B5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7ECBF300" w:rsidR="00BB09B5" w:rsidRPr="00677652" w:rsidRDefault="005512B0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Alice Chen</w:t>
            </w:r>
          </w:p>
        </w:tc>
        <w:tc>
          <w:tcPr>
            <w:tcW w:w="1260" w:type="dxa"/>
          </w:tcPr>
          <w:p w14:paraId="5C0C406C" w14:textId="1C2BAA6C" w:rsidR="00BB09B5" w:rsidRPr="00677652" w:rsidRDefault="005512B0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5D10622C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21287B" w:rsidRDefault="00BB09B5" w:rsidP="00BB09B5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1FE2852B" w14:textId="1ED12D17" w:rsidR="00BB09B5" w:rsidRPr="0021287B" w:rsidRDefault="00503881" w:rsidP="00BB09B5">
            <w:pPr>
              <w:pStyle w:val="NormalWeb"/>
              <w:spacing w:before="0" w:beforeAutospacing="0" w:after="0" w:afterAutospacing="0"/>
              <w:rPr>
                <w:kern w:val="24"/>
              </w:rPr>
            </w:pPr>
            <w:r w:rsidRPr="00503881">
              <w:rPr>
                <w:kern w:val="24"/>
              </w:rPr>
              <w:t>alicel@qti.qualcomm.com</w:t>
            </w: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BB09B5" w:rsidRPr="00677652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21287B" w:rsidRDefault="00BB09B5" w:rsidP="00BB09B5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21287B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509D02E" w14:textId="29129BFD" w:rsidR="000E498B" w:rsidRDefault="000E498B" w:rsidP="000E498B">
                            <w:r>
                              <w:t>This submission proposed the draft text on</w:t>
                            </w:r>
                            <w:r w:rsidRPr="000E498B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0E498B">
                              <w:rPr>
                                <w:szCs w:val="22"/>
                                <w:lang w:val="en-US"/>
                              </w:rPr>
                              <w:t>Non-HT duplication transmission</w:t>
                            </w:r>
                            <w:r>
                              <w:t xml:space="preserve">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D0.2.</w:t>
                            </w:r>
                          </w:p>
                          <w:p w14:paraId="6F847C36" w14:textId="6D7CDA93" w:rsidR="00FE30C6" w:rsidRPr="000E498B" w:rsidRDefault="000E498B" w:rsidP="000E498B">
                            <w:r w:rsidRPr="008D56C5">
                              <w:t>This document is based on 27.3.</w:t>
                            </w:r>
                            <w:r>
                              <w:t>14</w:t>
                            </w:r>
                            <w:r w:rsidRPr="008D56C5">
                              <w:t xml:space="preserve"> </w:t>
                            </w:r>
                            <w:r w:rsidRPr="000E498B">
                              <w:rPr>
                                <w:szCs w:val="22"/>
                                <w:lang w:val="en-US"/>
                              </w:rPr>
                              <w:t>Non-HT duplication transmission</w:t>
                            </w:r>
                            <w:r w:rsidRPr="008D56C5">
                              <w:t xml:space="preserve"> of P802.11ax D</w:t>
                            </w:r>
                            <w:r>
                              <w:t>7</w:t>
                            </w:r>
                            <w:r w:rsidRPr="008D56C5">
                              <w:t>.</w:t>
                            </w:r>
                            <w:r>
                              <w:t>0</w:t>
                            </w:r>
                            <w:r w:rsidRPr="008D56C5">
                              <w:t>.</w:t>
                            </w:r>
                          </w:p>
                          <w:p w14:paraId="49472D22" w14:textId="77777777" w:rsidR="00FE30C6" w:rsidRPr="000E498B" w:rsidRDefault="00FE30C6" w:rsidP="000E498B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FE30C6" w:rsidRPr="000E498B" w:rsidRDefault="00FE30C6" w:rsidP="00D87430">
                            <w:pPr>
                              <w:rPr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0E498B">
                              <w:rPr>
                                <w:szCs w:val="22"/>
                                <w:lang w:val="fr-FR"/>
                              </w:rPr>
                              <w:t>Revisions</w:t>
                            </w:r>
                            <w:proofErr w:type="spellEnd"/>
                            <w:r w:rsidRPr="000E498B">
                              <w:rPr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14:paraId="2D56AFC4" w14:textId="69F887BE" w:rsidR="00FE30C6" w:rsidRDefault="00FE30C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7E7C74DD" w14:textId="0C93B6DB" w:rsidR="007B5DDB" w:rsidRDefault="007B5DDB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add entry for “punctured 242-tone RU”.</w:t>
                            </w:r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509D02E" w14:textId="29129BFD" w:rsidR="000E498B" w:rsidRDefault="000E498B" w:rsidP="000E498B">
                      <w:r>
                        <w:t>This submission proposed the draft text on</w:t>
                      </w:r>
                      <w:r w:rsidRPr="000E498B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0E498B">
                        <w:rPr>
                          <w:szCs w:val="22"/>
                          <w:lang w:val="en-US"/>
                        </w:rPr>
                        <w:t>Non-HT duplication transmission</w:t>
                      </w:r>
                      <w:r>
                        <w:t xml:space="preserve">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D0.2.</w:t>
                      </w:r>
                    </w:p>
                    <w:p w14:paraId="6F847C36" w14:textId="6D7CDA93" w:rsidR="00FE30C6" w:rsidRPr="000E498B" w:rsidRDefault="000E498B" w:rsidP="000E498B">
                      <w:r w:rsidRPr="008D56C5">
                        <w:t>This document is based on 27.3.</w:t>
                      </w:r>
                      <w:r>
                        <w:t>14</w:t>
                      </w:r>
                      <w:r w:rsidRPr="008D56C5">
                        <w:t xml:space="preserve"> </w:t>
                      </w:r>
                      <w:r w:rsidRPr="000E498B">
                        <w:rPr>
                          <w:szCs w:val="22"/>
                          <w:lang w:val="en-US"/>
                        </w:rPr>
                        <w:t>Non-HT duplication transmission</w:t>
                      </w:r>
                      <w:r w:rsidRPr="008D56C5">
                        <w:t xml:space="preserve"> of P802.11ax D</w:t>
                      </w:r>
                      <w:r>
                        <w:t>7</w:t>
                      </w:r>
                      <w:r w:rsidRPr="008D56C5">
                        <w:t>.</w:t>
                      </w:r>
                      <w:r>
                        <w:t>0</w:t>
                      </w:r>
                      <w:r w:rsidRPr="008D56C5">
                        <w:t>.</w:t>
                      </w:r>
                    </w:p>
                    <w:p w14:paraId="49472D22" w14:textId="77777777" w:rsidR="00FE30C6" w:rsidRPr="000E498B" w:rsidRDefault="00FE30C6" w:rsidP="000E498B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FE30C6" w:rsidRPr="000E498B" w:rsidRDefault="00FE30C6" w:rsidP="00D87430">
                      <w:pPr>
                        <w:rPr>
                          <w:szCs w:val="22"/>
                          <w:lang w:val="fr-FR"/>
                        </w:rPr>
                      </w:pPr>
                      <w:proofErr w:type="spellStart"/>
                      <w:r w:rsidRPr="000E498B">
                        <w:rPr>
                          <w:szCs w:val="22"/>
                          <w:lang w:val="fr-FR"/>
                        </w:rPr>
                        <w:t>Revisions</w:t>
                      </w:r>
                      <w:proofErr w:type="spellEnd"/>
                      <w:r w:rsidRPr="000E498B">
                        <w:rPr>
                          <w:szCs w:val="22"/>
                          <w:lang w:val="fr-FR"/>
                        </w:rPr>
                        <w:t>:</w:t>
                      </w:r>
                    </w:p>
                    <w:p w14:paraId="2D56AFC4" w14:textId="69F887BE" w:rsidR="00FE30C6" w:rsidRDefault="00FE30C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7E7C74DD" w14:textId="0C93B6DB" w:rsidR="007B5DDB" w:rsidRDefault="007B5DDB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add entry for “punctured 242-tone RU”.</w:t>
                      </w:r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1925F346" w14:textId="56A0E452" w:rsidR="00E27725" w:rsidRDefault="0049404B" w:rsidP="000C5AA3">
      <w:pPr>
        <w:rPr>
          <w:rFonts w:ascii="TimesNewRomanPSMT" w:eastAsia="TimesNewRomanPSMT" w:cs="TimesNewRomanPSMT"/>
          <w:sz w:val="20"/>
        </w:rPr>
      </w:pPr>
      <w:r>
        <w:rPr>
          <w:sz w:val="20"/>
          <w:lang w:val="en-US"/>
        </w:rPr>
        <w:br w:type="page"/>
      </w:r>
    </w:p>
    <w:p w14:paraId="5D926CE9" w14:textId="4AE80A4F" w:rsidR="002752EE" w:rsidRDefault="002752EE" w:rsidP="001D1A6C">
      <w:pPr>
        <w:spacing w:beforeLines="60" w:before="144"/>
        <w:rPr>
          <w:b/>
          <w:bCs/>
        </w:rPr>
      </w:pPr>
      <w:r w:rsidRPr="00353AA1">
        <w:rPr>
          <w:b/>
          <w:bCs/>
        </w:rPr>
        <w:lastRenderedPageBreak/>
        <w:t>3</w:t>
      </w:r>
      <w:r>
        <w:rPr>
          <w:b/>
          <w:bCs/>
        </w:rPr>
        <w:t>6</w:t>
      </w:r>
      <w:r w:rsidRPr="00353AA1">
        <w:rPr>
          <w:b/>
          <w:bCs/>
        </w:rPr>
        <w:t>.</w:t>
      </w:r>
      <w:r>
        <w:rPr>
          <w:b/>
          <w:bCs/>
        </w:rPr>
        <w:t>3.14</w:t>
      </w:r>
      <w:r w:rsidRPr="00353AA1">
        <w:rPr>
          <w:b/>
          <w:bCs/>
        </w:rPr>
        <w:t xml:space="preserve"> </w:t>
      </w:r>
      <w:r w:rsidRPr="002752EE">
        <w:rPr>
          <w:b/>
          <w:bCs/>
        </w:rPr>
        <w:t>Non-HT duplicate transmission</w:t>
      </w:r>
    </w:p>
    <w:p w14:paraId="7AAA4B7D" w14:textId="5FCDE475" w:rsidR="002752EE" w:rsidRPr="00E236BE" w:rsidRDefault="002752EE" w:rsidP="009A474D">
      <w:pPr>
        <w:spacing w:before="240" w:line="240" w:lineRule="atLeast"/>
        <w:rPr>
          <w:sz w:val="20"/>
          <w:lang w:val="en-US"/>
        </w:rPr>
      </w:pPr>
      <w:r w:rsidRPr="002752EE">
        <w:rPr>
          <w:sz w:val="20"/>
        </w:rPr>
        <w:t>If the TXVECTOR parameter FORMAT is NON_HT and the TXVECTOR parameter NON_HT_MODULATION</w:t>
      </w:r>
      <w:r w:rsidR="00456C54">
        <w:rPr>
          <w:sz w:val="20"/>
        </w:rPr>
        <w:t xml:space="preserve"> </w:t>
      </w:r>
      <w:r w:rsidRPr="002752EE">
        <w:rPr>
          <w:sz w:val="20"/>
        </w:rPr>
        <w:t>is NON_HT_DUP_OFDM, the transmitted PPDU is a non-HT duplicate. Non-HT duplicate transmission</w:t>
      </w:r>
      <w:r w:rsidR="00456C54">
        <w:rPr>
          <w:sz w:val="20"/>
        </w:rPr>
        <w:t xml:space="preserve"> </w:t>
      </w:r>
      <w:r w:rsidRPr="002752EE">
        <w:rPr>
          <w:sz w:val="20"/>
        </w:rPr>
        <w:t>is used to</w:t>
      </w:r>
      <w:r w:rsidR="00584BC0">
        <w:rPr>
          <w:sz w:val="20"/>
        </w:rPr>
        <w:t xml:space="preserve"> </w:t>
      </w:r>
      <w:r w:rsidRPr="002752EE">
        <w:rPr>
          <w:sz w:val="20"/>
        </w:rPr>
        <w:t>transmit to non-HT STAs, HT STAs, VHT STAs</w:t>
      </w:r>
      <w:r w:rsidR="00584BC0">
        <w:rPr>
          <w:sz w:val="20"/>
        </w:rPr>
        <w:t>,</w:t>
      </w:r>
      <w:r w:rsidRPr="002752EE">
        <w:rPr>
          <w:sz w:val="20"/>
        </w:rPr>
        <w:t xml:space="preserve"> HE STAs</w:t>
      </w:r>
      <w:r w:rsidR="00584BC0">
        <w:rPr>
          <w:sz w:val="20"/>
        </w:rPr>
        <w:t xml:space="preserve"> and EHT STAs</w:t>
      </w:r>
      <w:r w:rsidRPr="002752EE">
        <w:rPr>
          <w:sz w:val="20"/>
        </w:rPr>
        <w:t xml:space="preserve"> that may be present in a</w:t>
      </w:r>
      <w:r w:rsidR="00584BC0">
        <w:rPr>
          <w:sz w:val="20"/>
        </w:rPr>
        <w:t xml:space="preserve"> </w:t>
      </w:r>
      <w:r w:rsidRPr="002752EE">
        <w:rPr>
          <w:sz w:val="20"/>
        </w:rPr>
        <w:t xml:space="preserve">part of a 40 MHz, 80 MHz, 160 MHz or </w:t>
      </w:r>
      <w:r>
        <w:rPr>
          <w:sz w:val="20"/>
        </w:rPr>
        <w:t>32</w:t>
      </w:r>
      <w:r w:rsidRPr="002752EE">
        <w:rPr>
          <w:sz w:val="20"/>
        </w:rPr>
        <w:t xml:space="preserve">0 MHz channel (see Table </w:t>
      </w:r>
      <w:r w:rsidR="00584BC0">
        <w:rPr>
          <w:sz w:val="20"/>
        </w:rPr>
        <w:t>36</w:t>
      </w:r>
      <w:r w:rsidRPr="002752EE">
        <w:rPr>
          <w:sz w:val="20"/>
        </w:rPr>
        <w:t>-</w:t>
      </w:r>
      <w:r w:rsidR="00584BC0">
        <w:rPr>
          <w:sz w:val="20"/>
        </w:rPr>
        <w:t>3</w:t>
      </w:r>
      <w:r w:rsidRPr="002752EE">
        <w:rPr>
          <w:sz w:val="20"/>
        </w:rPr>
        <w:t xml:space="preserve"> (Interpretation of FORMAT, NON_HT</w:t>
      </w:r>
      <w:r w:rsidR="00584BC0">
        <w:rPr>
          <w:sz w:val="20"/>
        </w:rPr>
        <w:t xml:space="preserve"> </w:t>
      </w:r>
      <w:r w:rsidRPr="002752EE">
        <w:rPr>
          <w:sz w:val="20"/>
        </w:rPr>
        <w:t xml:space="preserve">Modulation and CH_BANDWIDTH parameters)). </w:t>
      </w:r>
      <w:r w:rsidRPr="00584BC0">
        <w:rPr>
          <w:sz w:val="20"/>
          <w:lang w:val="en-US"/>
        </w:rPr>
        <w:t xml:space="preserve">The RL-SIG, </w:t>
      </w:r>
      <w:r w:rsidR="00584BC0" w:rsidRPr="00584BC0">
        <w:rPr>
          <w:sz w:val="20"/>
          <w:lang w:val="en-US"/>
        </w:rPr>
        <w:t>U-SIG</w:t>
      </w:r>
      <w:r w:rsidRPr="00584BC0">
        <w:rPr>
          <w:sz w:val="20"/>
          <w:lang w:val="en-US"/>
        </w:rPr>
        <w:t xml:space="preserve">, </w:t>
      </w:r>
      <w:r w:rsidR="00584BC0" w:rsidRPr="00584BC0">
        <w:rPr>
          <w:sz w:val="20"/>
          <w:lang w:val="en-US"/>
        </w:rPr>
        <w:t>EHT-SIG</w:t>
      </w:r>
      <w:r w:rsidRPr="00584BC0">
        <w:rPr>
          <w:sz w:val="20"/>
          <w:lang w:val="en-US"/>
        </w:rPr>
        <w:t xml:space="preserve">, </w:t>
      </w:r>
      <w:r w:rsidR="00584BC0" w:rsidRPr="00584BC0">
        <w:rPr>
          <w:sz w:val="20"/>
          <w:lang w:val="en-US"/>
        </w:rPr>
        <w:t>EHT</w:t>
      </w:r>
      <w:r w:rsidRPr="00584BC0">
        <w:rPr>
          <w:sz w:val="20"/>
          <w:lang w:val="en-US"/>
        </w:rPr>
        <w:t xml:space="preserve">-STF, </w:t>
      </w:r>
      <w:r w:rsidR="00584BC0" w:rsidRPr="00584BC0">
        <w:rPr>
          <w:sz w:val="20"/>
          <w:lang w:val="en-US"/>
        </w:rPr>
        <w:t>EHT</w:t>
      </w:r>
      <w:r w:rsidRPr="00584BC0">
        <w:rPr>
          <w:sz w:val="20"/>
          <w:lang w:val="en-US"/>
        </w:rPr>
        <w:t>-LTF</w:t>
      </w:r>
      <w:r w:rsidR="00584BC0" w:rsidRPr="00584BC0">
        <w:rPr>
          <w:sz w:val="20"/>
          <w:lang w:val="en-US"/>
        </w:rPr>
        <w:t xml:space="preserve"> </w:t>
      </w:r>
      <w:r w:rsidR="00584BC0">
        <w:rPr>
          <w:sz w:val="20"/>
        </w:rPr>
        <w:t>a</w:t>
      </w:r>
      <w:r w:rsidRPr="002752EE">
        <w:rPr>
          <w:sz w:val="20"/>
        </w:rPr>
        <w:t>nd PE fields are not transmitted.</w:t>
      </w:r>
    </w:p>
    <w:p w14:paraId="5F74A34C" w14:textId="77777777" w:rsidR="009A474D" w:rsidRDefault="002752EE" w:rsidP="009A474D">
      <w:pPr>
        <w:spacing w:before="240" w:line="240" w:lineRule="atLeast"/>
        <w:rPr>
          <w:sz w:val="20"/>
        </w:rPr>
      </w:pPr>
      <w:r w:rsidRPr="002752EE">
        <w:rPr>
          <w:sz w:val="20"/>
        </w:rPr>
        <w:t xml:space="preserve">The L-STF and L-LTF fields shall be transmitted in the same way as in the </w:t>
      </w:r>
      <w:r w:rsidR="00FA428F">
        <w:rPr>
          <w:sz w:val="20"/>
        </w:rPr>
        <w:t>EHT</w:t>
      </w:r>
      <w:r w:rsidRPr="002752EE">
        <w:rPr>
          <w:sz w:val="20"/>
        </w:rPr>
        <w:t xml:space="preserve"> transmission. The L-SIG</w:t>
      </w:r>
      <w:r w:rsidR="00FA428F">
        <w:rPr>
          <w:sz w:val="20"/>
        </w:rPr>
        <w:t xml:space="preserve"> </w:t>
      </w:r>
      <w:r w:rsidRPr="002752EE">
        <w:rPr>
          <w:sz w:val="20"/>
        </w:rPr>
        <w:t xml:space="preserve">field shall be transmitted in the same way as in the </w:t>
      </w:r>
      <w:r w:rsidR="00FA428F">
        <w:rPr>
          <w:sz w:val="20"/>
        </w:rPr>
        <w:t>EHT</w:t>
      </w:r>
      <w:r w:rsidRPr="002752EE">
        <w:rPr>
          <w:sz w:val="20"/>
        </w:rPr>
        <w:t xml:space="preserve"> transmission, with the following exceptions:</w:t>
      </w:r>
    </w:p>
    <w:p w14:paraId="3511E1DE" w14:textId="77777777" w:rsidR="009A474D" w:rsidRDefault="002752EE" w:rsidP="009A474D">
      <w:pPr>
        <w:pStyle w:val="ListParagraph"/>
        <w:numPr>
          <w:ilvl w:val="0"/>
          <w:numId w:val="76"/>
        </w:numPr>
        <w:spacing w:before="240" w:line="240" w:lineRule="atLeast"/>
        <w:rPr>
          <w:sz w:val="20"/>
        </w:rPr>
      </w:pPr>
      <w:r w:rsidRPr="009A474D">
        <w:rPr>
          <w:sz w:val="20"/>
        </w:rPr>
        <w:t>The Rate and Length fields shall follow 17.3.4 (SIGNAL field)</w:t>
      </w:r>
    </w:p>
    <w:p w14:paraId="3D61A021" w14:textId="4A1F7D2C" w:rsidR="002752EE" w:rsidRPr="009A474D" w:rsidRDefault="002752EE" w:rsidP="009A474D">
      <w:pPr>
        <w:pStyle w:val="ListParagraph"/>
        <w:numPr>
          <w:ilvl w:val="0"/>
          <w:numId w:val="76"/>
        </w:numPr>
        <w:spacing w:before="240" w:line="240" w:lineRule="atLeast"/>
        <w:rPr>
          <w:sz w:val="20"/>
        </w:rPr>
      </w:pPr>
      <w:r w:rsidRPr="009A474D">
        <w:rPr>
          <w:sz w:val="20"/>
        </w:rPr>
        <w:t>The four additional subcarriers at indices ±27 and ±28 are not modulated (no energy)</w:t>
      </w:r>
    </w:p>
    <w:p w14:paraId="05562BFB" w14:textId="5AA35452" w:rsidR="00CA7FCD" w:rsidRDefault="002752EE" w:rsidP="009A474D">
      <w:pPr>
        <w:spacing w:before="240" w:line="240" w:lineRule="atLeast"/>
        <w:rPr>
          <w:sz w:val="20"/>
        </w:rPr>
      </w:pPr>
      <w:r w:rsidRPr="002752EE">
        <w:rPr>
          <w:sz w:val="20"/>
        </w:rPr>
        <w:t>NOTE—The L-STF, L-LTF and L-SIG fields are not transmitted in 20 MHz subchannels in which the preamble is</w:t>
      </w:r>
      <w:r w:rsidR="00CA7FCD">
        <w:rPr>
          <w:sz w:val="20"/>
        </w:rPr>
        <w:t xml:space="preserve"> </w:t>
      </w:r>
      <w:r w:rsidRPr="002752EE">
        <w:rPr>
          <w:sz w:val="20"/>
        </w:rPr>
        <w:t>punctured</w:t>
      </w:r>
      <w:r>
        <w:rPr>
          <w:sz w:val="20"/>
        </w:rPr>
        <w:t xml:space="preserve"> </w:t>
      </w:r>
      <w:r w:rsidRPr="002752EE">
        <w:rPr>
          <w:sz w:val="20"/>
        </w:rPr>
        <w:t xml:space="preserve">(see </w:t>
      </w:r>
      <w:r w:rsidR="00FA428F">
        <w:rPr>
          <w:sz w:val="20"/>
        </w:rPr>
        <w:t>36</w:t>
      </w:r>
      <w:r w:rsidRPr="002752EE">
        <w:rPr>
          <w:sz w:val="20"/>
        </w:rPr>
        <w:t>.3.7 (</w:t>
      </w:r>
      <w:r w:rsidR="00FA428F">
        <w:rPr>
          <w:sz w:val="20"/>
        </w:rPr>
        <w:t>EHT</w:t>
      </w:r>
      <w:r w:rsidRPr="002752EE">
        <w:rPr>
          <w:sz w:val="20"/>
        </w:rPr>
        <w:t xml:space="preserve"> modulation and coding schemes (</w:t>
      </w:r>
      <w:r w:rsidR="00FA428F">
        <w:rPr>
          <w:sz w:val="20"/>
        </w:rPr>
        <w:t>EHT</w:t>
      </w:r>
      <w:r w:rsidRPr="002752EE">
        <w:rPr>
          <w:sz w:val="20"/>
        </w:rPr>
        <w:t>-MCSs))).</w:t>
      </w:r>
    </w:p>
    <w:p w14:paraId="06AFEEB8" w14:textId="46E6BD22" w:rsidR="002752EE" w:rsidRDefault="002752EE" w:rsidP="009A474D">
      <w:pPr>
        <w:spacing w:before="240" w:line="240" w:lineRule="atLeast"/>
        <w:rPr>
          <w:sz w:val="20"/>
        </w:rPr>
      </w:pPr>
      <w:r w:rsidRPr="002752EE">
        <w:rPr>
          <w:sz w:val="20"/>
        </w:rPr>
        <w:t>In a 40 MHz non-HT duplicate transmission, the Data field shall be as defined by Equation (19-61).</w:t>
      </w:r>
    </w:p>
    <w:p w14:paraId="46823B31" w14:textId="1CF2980C" w:rsidR="002752EE" w:rsidRDefault="002752EE" w:rsidP="009A474D">
      <w:pPr>
        <w:spacing w:before="240" w:line="240" w:lineRule="atLeast"/>
        <w:rPr>
          <w:sz w:val="20"/>
        </w:rPr>
      </w:pPr>
      <w:r>
        <w:rPr>
          <w:sz w:val="20"/>
        </w:rPr>
        <w:t xml:space="preserve">In an </w:t>
      </w:r>
      <w:r w:rsidRPr="002752EE">
        <w:rPr>
          <w:sz w:val="20"/>
        </w:rPr>
        <w:t xml:space="preserve">80 MHz </w:t>
      </w:r>
      <w:r>
        <w:rPr>
          <w:sz w:val="20"/>
        </w:rPr>
        <w:t>or</w:t>
      </w:r>
      <w:r w:rsidRPr="002752EE">
        <w:rPr>
          <w:sz w:val="20"/>
        </w:rPr>
        <w:t xml:space="preserve"> 160 MHz non-HT duplicate transmission, the Data field shall be as defined by</w:t>
      </w:r>
      <w:r>
        <w:rPr>
          <w:sz w:val="20"/>
        </w:rPr>
        <w:t xml:space="preserve"> </w:t>
      </w:r>
      <w:r w:rsidRPr="002752EE">
        <w:rPr>
          <w:sz w:val="20"/>
        </w:rPr>
        <w:t>Equation (27-123).</w:t>
      </w:r>
    </w:p>
    <w:p w14:paraId="260F9B53" w14:textId="32DA3DCC" w:rsidR="002752EE" w:rsidRDefault="002752EE" w:rsidP="009A474D">
      <w:pPr>
        <w:spacing w:before="240" w:line="240" w:lineRule="atLeast"/>
        <w:rPr>
          <w:sz w:val="20"/>
        </w:rPr>
      </w:pPr>
      <w:r>
        <w:rPr>
          <w:sz w:val="20"/>
        </w:rPr>
        <w:t>In a 320</w:t>
      </w:r>
      <w:r w:rsidRPr="002752EE">
        <w:rPr>
          <w:sz w:val="20"/>
        </w:rPr>
        <w:t xml:space="preserve"> MHz non-HT duplicate transmission, the Data field shall be as defined by</w:t>
      </w:r>
      <w:r>
        <w:rPr>
          <w:sz w:val="20"/>
        </w:rPr>
        <w:t xml:space="preserve"> </w:t>
      </w:r>
      <w:r w:rsidRPr="002752EE">
        <w:rPr>
          <w:sz w:val="20"/>
        </w:rPr>
        <w:t>Equation (</w:t>
      </w:r>
      <w:r>
        <w:rPr>
          <w:sz w:val="20"/>
        </w:rPr>
        <w:t>36</w:t>
      </w:r>
      <w:r w:rsidRPr="002752EE">
        <w:rPr>
          <w:sz w:val="20"/>
        </w:rPr>
        <w:t>-</w:t>
      </w:r>
      <w:r>
        <w:rPr>
          <w:sz w:val="20"/>
        </w:rPr>
        <w:t>x</w:t>
      </w:r>
      <w:r w:rsidRPr="002752EE">
        <w:rPr>
          <w:sz w:val="20"/>
        </w:rPr>
        <w:t>).</w:t>
      </w:r>
    </w:p>
    <w:p w14:paraId="57137B9A" w14:textId="77777777" w:rsidR="00E236BE" w:rsidRDefault="00E236BE" w:rsidP="009A474D">
      <w:pPr>
        <w:spacing w:before="240" w:line="240" w:lineRule="atLeast"/>
        <w:rPr>
          <w:sz w:val="20"/>
        </w:rPr>
      </w:pPr>
    </w:p>
    <w:p w14:paraId="3EC8D263" w14:textId="326AAB56" w:rsidR="002752EE" w:rsidRDefault="00133FA2" w:rsidP="009A474D">
      <w:pPr>
        <w:rPr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non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HT,</m:t>
              </m:r>
              <m:r>
                <w:rPr>
                  <w:rFonts w:ascii="Cambria Math"/>
                  <w:lang w:val="nl-NL"/>
                </w:rPr>
                <m:t>BW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w:rPr>
                      <w:rFonts w:asci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MHz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NON_HT_DUP_OFDM-Data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Tone</m:t>
                      </m:r>
                    </m:sup>
                  </m:sSub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MHz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</w:rPr>
                        <m:t>SYM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t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SYM</m:t>
                      </m:r>
                    </m:sub>
                  </m:sSub>
                </m:e>
              </m:d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BW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MHz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(1-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INACTIVE_SUBCHANNELS</m:t>
                        </m:r>
                        <m: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BW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])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k=-26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26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Shift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BW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,BW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k,n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n+1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exp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</w:rPr>
                                  <m:t>j2π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Shift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BW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(t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</w:rPr>
                                  <m:t>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SYM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GI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</w:rPr>
                                      <m:t>CS</m:t>
                                    </m:r>
                                  </m:sub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</w:rPr>
                                          <m:t>TX</m:t>
                                        </m:r>
                                      </m:sub>
                                    </m:sSub>
                                  </m:sup>
                                </m:sSubSup>
                                <m:r>
                                  <w:rPr>
                                    <w:rFonts w:ascii="Cambria Math"/>
                                  </w:rPr>
                                  <m:t>)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e>
          </m:nary>
        </m:oMath>
      </m:oMathPara>
    </w:p>
    <w:p w14:paraId="2FBB2087" w14:textId="393C04F8" w:rsidR="002752EE" w:rsidRPr="002752EE" w:rsidRDefault="002752EE" w:rsidP="009A474D">
      <w:pPr>
        <w:rPr>
          <w:sz w:val="20"/>
        </w:rPr>
      </w:pPr>
      <w:r w:rsidRPr="002752EE">
        <w:rPr>
          <w:sz w:val="20"/>
        </w:rPr>
        <w:t>where</w:t>
      </w:r>
    </w:p>
    <w:p w14:paraId="38DBA539" w14:textId="04863306" w:rsidR="002752EE" w:rsidRPr="002752EE" w:rsidRDefault="00133FA2" w:rsidP="004F7246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="002752EE"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Shift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="00567F1F">
        <w:t xml:space="preserve"> </w:t>
      </w:r>
      <w:r w:rsidR="002752EE" w:rsidRPr="002752EE">
        <w:rPr>
          <w:sz w:val="20"/>
        </w:rPr>
        <w:t xml:space="preserve">are defined in </w:t>
      </w:r>
      <w:r w:rsidR="00880F5B">
        <w:rPr>
          <w:sz w:val="20"/>
        </w:rPr>
        <w:t>36</w:t>
      </w:r>
      <w:r w:rsidR="002752EE" w:rsidRPr="002752EE">
        <w:rPr>
          <w:sz w:val="20"/>
        </w:rPr>
        <w:t>.3.</w:t>
      </w:r>
      <w:r w:rsidR="00880F5B">
        <w:rPr>
          <w:sz w:val="20"/>
        </w:rPr>
        <w:t>11</w:t>
      </w:r>
      <w:r w:rsidR="002752EE" w:rsidRPr="002752EE">
        <w:rPr>
          <w:sz w:val="20"/>
        </w:rPr>
        <w:t>.</w:t>
      </w:r>
      <w:r w:rsidR="00880F5B">
        <w:rPr>
          <w:sz w:val="20"/>
        </w:rPr>
        <w:t>5</w:t>
      </w:r>
    </w:p>
    <w:p w14:paraId="5D5E4ECD" w14:textId="72662F82" w:rsidR="002752EE" w:rsidRPr="002752EE" w:rsidRDefault="00133FA2" w:rsidP="004F7246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="002752EE"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="002752EE" w:rsidRPr="002752EE">
        <w:rPr>
          <w:sz w:val="20"/>
        </w:rPr>
        <w:t xml:space="preserve"> are defined in 17.3.5.10</w:t>
      </w:r>
    </w:p>
    <w:p w14:paraId="0601F92D" w14:textId="67B6945C" w:rsidR="002752EE" w:rsidRPr="002752EE" w:rsidRDefault="00133FA2" w:rsidP="004F7246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k,n</m:t>
            </m:r>
          </m:sub>
        </m:sSub>
      </m:oMath>
      <w:r w:rsidR="002752EE" w:rsidRPr="002752EE">
        <w:rPr>
          <w:sz w:val="20"/>
        </w:rPr>
        <w:t xml:space="preserve"> is defined in Equation (21-26)</w:t>
      </w:r>
    </w:p>
    <w:p w14:paraId="14C0D9A4" w14:textId="4482748A" w:rsidR="002752EE" w:rsidRPr="002752EE" w:rsidRDefault="00133FA2" w:rsidP="004F7246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k,BW</m:t>
            </m:r>
          </m:sub>
        </m:sSub>
      </m:oMath>
      <w:r w:rsidR="00F90EA3">
        <w:t xml:space="preserve"> </w:t>
      </w:r>
      <w:r w:rsidR="002752EE" w:rsidRPr="002752EE">
        <w:rPr>
          <w:sz w:val="20"/>
        </w:rPr>
        <w:t xml:space="preserve">is defined in </w:t>
      </w:r>
      <w:r w:rsidR="002F2788" w:rsidRPr="002752EE">
        <w:rPr>
          <w:sz w:val="20"/>
        </w:rPr>
        <w:t>Equation (</w:t>
      </w:r>
      <w:r w:rsidR="002F2788">
        <w:rPr>
          <w:sz w:val="20"/>
        </w:rPr>
        <w:t>36</w:t>
      </w:r>
      <w:r w:rsidR="002F2788" w:rsidRPr="002752EE">
        <w:rPr>
          <w:sz w:val="20"/>
        </w:rPr>
        <w:t>-1</w:t>
      </w:r>
      <w:r w:rsidR="002F2788">
        <w:rPr>
          <w:sz w:val="20"/>
        </w:rPr>
        <w:t>3</w:t>
      </w:r>
      <w:r w:rsidR="002F2788" w:rsidRPr="002752EE">
        <w:rPr>
          <w:sz w:val="20"/>
        </w:rPr>
        <w:t>)</w:t>
      </w:r>
      <w:r w:rsidR="002F2788">
        <w:rPr>
          <w:sz w:val="20"/>
        </w:rPr>
        <w:t xml:space="preserve"> </w:t>
      </w:r>
    </w:p>
    <w:p w14:paraId="456A1516" w14:textId="631A832D" w:rsidR="002752EE" w:rsidRPr="002752EE" w:rsidRDefault="00133FA2" w:rsidP="004F7246">
      <w:pPr>
        <w:spacing w:before="240" w:line="240" w:lineRule="atLeast"/>
        <w:ind w:left="270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i</m:t>
                </m:r>
              </m:e>
              <m:sub>
                <m:r>
                  <w:rPr>
                    <w:rFonts w:ascii="Cambria Math"/>
                  </w:rPr>
                  <m:t>TX</m:t>
                </m:r>
              </m:sub>
            </m:sSub>
          </m:sup>
        </m:sSubSup>
      </m:oMath>
      <w:r w:rsidR="000A6F56">
        <w:t xml:space="preserve"> </w:t>
      </w:r>
      <w:r w:rsidR="002752EE" w:rsidRPr="002752EE">
        <w:rPr>
          <w:sz w:val="20"/>
        </w:rPr>
        <w:t xml:space="preserve">represents the cyclic shift for transmit chain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TX</m:t>
            </m:r>
          </m:sub>
        </m:sSub>
      </m:oMath>
      <w:r w:rsidR="002752EE" w:rsidRPr="002752EE">
        <w:rPr>
          <w:sz w:val="20"/>
        </w:rPr>
        <w:t xml:space="preserve"> with a value </w:t>
      </w:r>
      <w:r w:rsidR="00193430">
        <w:rPr>
          <w:sz w:val="20"/>
        </w:rPr>
        <w:t xml:space="preserve">defined in </w:t>
      </w:r>
      <w:r w:rsidR="00193430" w:rsidRPr="00FD1FC0">
        <w:rPr>
          <w:sz w:val="20"/>
        </w:rPr>
        <w:t>36.3.11.2.1 (Cyclic shift for pre-EHT modulated fields)</w:t>
      </w:r>
    </w:p>
    <w:p w14:paraId="51B87209" w14:textId="2D6BE2EF" w:rsidR="002752EE" w:rsidRPr="002752EE" w:rsidRDefault="00133FA2" w:rsidP="004F7246">
      <w:pPr>
        <w:spacing w:before="240" w:line="240" w:lineRule="atLeast"/>
        <w:ind w:left="270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NON_HT_DUP_OFDM-Data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Tone</m:t>
            </m:r>
          </m:sup>
        </m:sSubSup>
      </m:oMath>
      <w:r w:rsidR="00365C01">
        <w:t xml:space="preserve"> </w:t>
      </w:r>
      <w:r w:rsidR="002752EE" w:rsidRPr="002752EE">
        <w:rPr>
          <w:sz w:val="20"/>
        </w:rPr>
        <w:t xml:space="preserve">has the value given in </w:t>
      </w:r>
      <w:r w:rsidR="002752EE" w:rsidRPr="00BB5308">
        <w:rPr>
          <w:sz w:val="20"/>
          <w:highlight w:val="yellow"/>
        </w:rPr>
        <w:t xml:space="preserve">Table </w:t>
      </w:r>
      <w:r w:rsidR="00C342D2" w:rsidRPr="00BB5308">
        <w:rPr>
          <w:sz w:val="20"/>
          <w:highlight w:val="yellow"/>
        </w:rPr>
        <w:t>36</w:t>
      </w:r>
      <w:r w:rsidR="002752EE" w:rsidRPr="00BB5308">
        <w:rPr>
          <w:sz w:val="20"/>
          <w:highlight w:val="yellow"/>
        </w:rPr>
        <w:t>-1</w:t>
      </w:r>
      <w:r w:rsidR="00C342D2" w:rsidRPr="00BB5308">
        <w:rPr>
          <w:sz w:val="20"/>
          <w:highlight w:val="yellow"/>
        </w:rPr>
        <w:t>7</w:t>
      </w:r>
      <w:r w:rsidR="002752EE" w:rsidRPr="00BB5308">
        <w:rPr>
          <w:sz w:val="20"/>
          <w:highlight w:val="yellow"/>
        </w:rPr>
        <w:t xml:space="preserve"> (</w:t>
      </w:r>
      <w:commentRangeStart w:id="2"/>
      <w:r w:rsidR="002752EE" w:rsidRPr="00BB5308">
        <w:rPr>
          <w:sz w:val="20"/>
          <w:highlight w:val="yellow"/>
        </w:rPr>
        <w:t>Number of modulated subcarriers and guard</w:t>
      </w:r>
      <w:r w:rsidR="00365C01" w:rsidRPr="00BB5308">
        <w:rPr>
          <w:sz w:val="20"/>
          <w:highlight w:val="yellow"/>
        </w:rPr>
        <w:t xml:space="preserve"> </w:t>
      </w:r>
      <w:r w:rsidR="002752EE" w:rsidRPr="00BB5308">
        <w:rPr>
          <w:sz w:val="20"/>
          <w:highlight w:val="yellow"/>
        </w:rPr>
        <w:t xml:space="preserve">interval duration values for </w:t>
      </w:r>
      <w:r w:rsidR="00C342D2" w:rsidRPr="00BB5308">
        <w:rPr>
          <w:sz w:val="20"/>
          <w:highlight w:val="yellow"/>
        </w:rPr>
        <w:t>pre-EHT</w:t>
      </w:r>
      <w:r w:rsidR="002752EE" w:rsidRPr="00BB5308">
        <w:rPr>
          <w:sz w:val="20"/>
          <w:highlight w:val="yellow"/>
        </w:rPr>
        <w:t xml:space="preserve"> PPDU fields)</w:t>
      </w:r>
      <w:commentRangeEnd w:id="2"/>
      <w:r w:rsidR="008C1737">
        <w:rPr>
          <w:rStyle w:val="CommentReference"/>
        </w:rPr>
        <w:commentReference w:id="2"/>
      </w:r>
    </w:p>
    <w:p w14:paraId="6D909ACF" w14:textId="3757CFC0" w:rsidR="002752EE" w:rsidRPr="002752EE" w:rsidRDefault="007C26C5" w:rsidP="004F7246">
      <w:pPr>
        <w:spacing w:before="240" w:line="240" w:lineRule="atLeast"/>
        <w:ind w:left="270"/>
        <w:rPr>
          <w:sz w:val="20"/>
        </w:rPr>
      </w:pPr>
      <m:oMath>
        <m:r>
          <m:rPr>
            <m:nor/>
          </m:rPr>
          <w:rPr>
            <w:rFonts w:ascii="Cambria Math" w:hAnsi="Cambria Math"/>
          </w:rPr>
          <m:t>INACTIVE_SUBCHANNELS</m:t>
        </m:r>
        <m:r>
          <w:rPr>
            <w:rFonts w:ascii="Cambria Math" w:hAnsi="Cambria Math"/>
          </w:rPr>
          <m:t>[x]</m:t>
        </m:r>
      </m:oMath>
      <w:r w:rsidR="002752EE" w:rsidRPr="002752EE">
        <w:rPr>
          <w:sz w:val="20"/>
        </w:rPr>
        <w:t xml:space="preserve"> is bit </w:t>
      </w:r>
      <m:oMath>
        <m:r>
          <w:rPr>
            <w:rFonts w:ascii="Cambria Math" w:hAnsi="Cambria Math"/>
          </w:rPr>
          <m:t>x</m:t>
        </m:r>
      </m:oMath>
      <w:r w:rsidR="002752EE" w:rsidRPr="002752EE">
        <w:rPr>
          <w:sz w:val="20"/>
        </w:rPr>
        <w:t xml:space="preserve"> of the TXVECTOR parameter INACTIVE_SUBCHANNELS</w:t>
      </w:r>
      <w:r>
        <w:rPr>
          <w:sz w:val="20"/>
        </w:rPr>
        <w:t xml:space="preserve"> </w:t>
      </w:r>
      <w:r w:rsidR="002752EE" w:rsidRPr="002752EE">
        <w:rPr>
          <w:sz w:val="20"/>
        </w:rPr>
        <w:t>if present, and is 0 otherwise.</w:t>
      </w:r>
    </w:p>
    <w:p w14:paraId="5F8FE7AA" w14:textId="66745B00" w:rsidR="002752EE" w:rsidRPr="002752EE" w:rsidRDefault="00133FA2" w:rsidP="004F7246">
      <w:pPr>
        <w:spacing w:before="240" w:line="240" w:lineRule="atLeast"/>
        <w:ind w:left="270"/>
        <w:rPr>
          <w:sz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MHz</m:t>
                </m:r>
              </m:sub>
            </m:sSub>
          </m:e>
        </m:d>
      </m:oMath>
      <w:r w:rsidR="007C26C5">
        <w:t xml:space="preserve"> </w:t>
      </w:r>
      <w:r w:rsidR="002752EE" w:rsidRPr="002752EE">
        <w:rPr>
          <w:sz w:val="20"/>
        </w:rPr>
        <w:t>is, if the TXVECTOR parameter INACTIVE_SUBCHANNELS is present, equal to the number</w:t>
      </w:r>
    </w:p>
    <w:p w14:paraId="2F3996C0" w14:textId="286B3214" w:rsidR="002752EE" w:rsidRPr="002752EE" w:rsidRDefault="002752EE" w:rsidP="0007055C">
      <w:pPr>
        <w:spacing w:before="240" w:line="240" w:lineRule="atLeast"/>
        <w:ind w:left="270"/>
        <w:rPr>
          <w:sz w:val="20"/>
        </w:rPr>
      </w:pPr>
      <w:r w:rsidRPr="002752EE">
        <w:rPr>
          <w:sz w:val="20"/>
        </w:rPr>
        <w:lastRenderedPageBreak/>
        <w:t>of bits with value 0 in the TXVECTOR parameter INACTIVE_SUBCHANNELS. Otherwise,</w:t>
      </w:r>
      <w:r w:rsidR="007C26C5">
        <w:rPr>
          <w:sz w:val="20"/>
        </w:rPr>
        <w:t xml:space="preserve"> </w:t>
      </w:r>
      <w:r w:rsidRPr="002752EE">
        <w:rPr>
          <w:sz w:val="20"/>
        </w:rPr>
        <w:t xml:space="preserve">is equal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Pr="002752EE">
        <w:rPr>
          <w:sz w:val="20"/>
        </w:rPr>
        <w:t>.</w:t>
      </w:r>
    </w:p>
    <w:p w14:paraId="240D317D" w14:textId="10AF78F2" w:rsidR="002752EE" w:rsidRPr="00181337" w:rsidRDefault="002752EE" w:rsidP="0007055C">
      <w:pPr>
        <w:spacing w:before="240" w:line="240" w:lineRule="atLeast"/>
        <w:rPr>
          <w:sz w:val="20"/>
        </w:rPr>
      </w:pPr>
      <w:r w:rsidRPr="002752EE">
        <w:rPr>
          <w:sz w:val="20"/>
        </w:rPr>
        <w:t>For each non-HT duplicate PPDU transmission that is a preamble punctured PPDU, each punctured 20 MHz</w:t>
      </w:r>
      <w:r w:rsidR="007C26C5">
        <w:rPr>
          <w:sz w:val="20"/>
        </w:rPr>
        <w:t xml:space="preserve"> </w:t>
      </w:r>
      <w:r w:rsidRPr="002752EE">
        <w:rPr>
          <w:sz w:val="20"/>
        </w:rPr>
        <w:t xml:space="preserve">subchannel is indicated as punctured by including the value of </w:t>
      </w:r>
      <w:r w:rsidR="007B5DDB" w:rsidRPr="007B5DDB">
        <w:rPr>
          <w:sz w:val="20"/>
          <w:highlight w:val="yellow"/>
        </w:rPr>
        <w:t>26</w:t>
      </w:r>
      <w:r w:rsidRPr="007B5DDB">
        <w:rPr>
          <w:sz w:val="20"/>
          <w:highlight w:val="yellow"/>
        </w:rPr>
        <w:t xml:space="preserve"> (</w:t>
      </w:r>
      <w:commentRangeStart w:id="3"/>
      <w:r w:rsidR="007B5DDB" w:rsidRPr="007B5DDB">
        <w:rPr>
          <w:sz w:val="20"/>
          <w:highlight w:val="yellow"/>
        </w:rPr>
        <w:t>000011010</w:t>
      </w:r>
      <w:r w:rsidRPr="002752EE">
        <w:rPr>
          <w:sz w:val="20"/>
        </w:rPr>
        <w:t xml:space="preserve"> </w:t>
      </w:r>
      <w:commentRangeEnd w:id="3"/>
      <w:r w:rsidR="007B5DDB">
        <w:rPr>
          <w:rStyle w:val="CommentReference"/>
        </w:rPr>
        <w:commentReference w:id="3"/>
      </w:r>
      <w:r w:rsidRPr="002752EE">
        <w:rPr>
          <w:sz w:val="20"/>
        </w:rPr>
        <w:t>in binary representation) in</w:t>
      </w:r>
      <w:r w:rsidR="007C26C5">
        <w:rPr>
          <w:sz w:val="20"/>
        </w:rPr>
        <w:t xml:space="preserve"> </w:t>
      </w:r>
      <w:r w:rsidRPr="0042070B">
        <w:rPr>
          <w:sz w:val="20"/>
        </w:rPr>
        <w:t xml:space="preserve">the </w:t>
      </w:r>
      <w:r w:rsidR="007C26C5" w:rsidRPr="0042070B">
        <w:rPr>
          <w:sz w:val="20"/>
        </w:rPr>
        <w:t>9</w:t>
      </w:r>
      <w:r w:rsidRPr="0042070B">
        <w:rPr>
          <w:sz w:val="20"/>
        </w:rPr>
        <w:t xml:space="preserve"> bits</w:t>
      </w:r>
      <w:r w:rsidR="007C26C5">
        <w:rPr>
          <w:sz w:val="20"/>
        </w:rPr>
        <w:t xml:space="preserve"> </w:t>
      </w:r>
      <w:r w:rsidRPr="002752EE">
        <w:rPr>
          <w:sz w:val="20"/>
        </w:rPr>
        <w:t>of the TXVECTOR parameter RU_ALLOCATION corresponding to the 242-tone RU that is most</w:t>
      </w:r>
      <w:r w:rsidR="007C26C5">
        <w:rPr>
          <w:sz w:val="20"/>
        </w:rPr>
        <w:t xml:space="preserve"> </w:t>
      </w:r>
      <w:r w:rsidRPr="002752EE">
        <w:rPr>
          <w:sz w:val="20"/>
        </w:rPr>
        <w:t>closely aligned</w:t>
      </w:r>
      <w:r w:rsidR="007C26C5">
        <w:rPr>
          <w:sz w:val="20"/>
        </w:rPr>
        <w:t xml:space="preserve"> </w:t>
      </w:r>
      <w:r w:rsidRPr="002752EE">
        <w:rPr>
          <w:sz w:val="20"/>
        </w:rPr>
        <w:t>with the punctured 20 MHz subchannel. Each 20 MHz subchannel that is not punctured is</w:t>
      </w:r>
      <w:r w:rsidR="007C26C5">
        <w:rPr>
          <w:sz w:val="20"/>
        </w:rPr>
        <w:t xml:space="preserve"> </w:t>
      </w:r>
      <w:r w:rsidRPr="002752EE">
        <w:rPr>
          <w:sz w:val="20"/>
        </w:rPr>
        <w:t>indicated as such by</w:t>
      </w:r>
      <w:r w:rsidR="007C26C5">
        <w:rPr>
          <w:sz w:val="20"/>
        </w:rPr>
        <w:t xml:space="preserve"> </w:t>
      </w:r>
      <w:r w:rsidRPr="002752EE">
        <w:rPr>
          <w:sz w:val="20"/>
        </w:rPr>
        <w:t xml:space="preserve">including the value of </w:t>
      </w:r>
      <w:r w:rsidRPr="0042070B">
        <w:rPr>
          <w:sz w:val="20"/>
        </w:rPr>
        <w:t>1</w:t>
      </w:r>
      <w:r w:rsidR="00514A53" w:rsidRPr="0042070B">
        <w:rPr>
          <w:sz w:val="20"/>
        </w:rPr>
        <w:t>28</w:t>
      </w:r>
      <w:r w:rsidRPr="0042070B">
        <w:rPr>
          <w:sz w:val="20"/>
        </w:rPr>
        <w:t xml:space="preserve"> (</w:t>
      </w:r>
      <w:r w:rsidR="001D1A6C" w:rsidRPr="0042070B">
        <w:rPr>
          <w:sz w:val="20"/>
        </w:rPr>
        <w:t>001000</w:t>
      </w:r>
      <w:r w:rsidRPr="0042070B">
        <w:rPr>
          <w:sz w:val="20"/>
        </w:rPr>
        <w:t>000</w:t>
      </w:r>
      <w:r w:rsidRPr="002752EE">
        <w:rPr>
          <w:sz w:val="20"/>
        </w:rPr>
        <w:t xml:space="preserve"> in binary representation) in </w:t>
      </w:r>
      <w:r w:rsidRPr="0042070B">
        <w:rPr>
          <w:sz w:val="20"/>
        </w:rPr>
        <w:t xml:space="preserve">the </w:t>
      </w:r>
      <w:r w:rsidR="007C26C5" w:rsidRPr="0042070B">
        <w:rPr>
          <w:sz w:val="20"/>
        </w:rPr>
        <w:t>9</w:t>
      </w:r>
      <w:r w:rsidRPr="0042070B">
        <w:rPr>
          <w:sz w:val="20"/>
        </w:rPr>
        <w:t xml:space="preserve"> bits of</w:t>
      </w:r>
      <w:r w:rsidRPr="002752EE">
        <w:rPr>
          <w:sz w:val="20"/>
        </w:rPr>
        <w:t xml:space="preserve"> the</w:t>
      </w:r>
      <w:r w:rsidR="007C26C5">
        <w:rPr>
          <w:sz w:val="20"/>
        </w:rPr>
        <w:t xml:space="preserve"> </w:t>
      </w:r>
      <w:r w:rsidRPr="002752EE">
        <w:rPr>
          <w:sz w:val="20"/>
        </w:rPr>
        <w:t>TXVECTOR parameter</w:t>
      </w:r>
      <w:r w:rsidR="007C26C5">
        <w:rPr>
          <w:sz w:val="20"/>
        </w:rPr>
        <w:t xml:space="preserve"> </w:t>
      </w:r>
      <w:r w:rsidRPr="002752EE">
        <w:rPr>
          <w:sz w:val="20"/>
        </w:rPr>
        <w:t>RU_ALLOCATION corresponding to the 242-tone RU that is most closely aligned</w:t>
      </w:r>
      <w:r w:rsidR="007C26C5">
        <w:rPr>
          <w:sz w:val="20"/>
        </w:rPr>
        <w:t xml:space="preserve"> </w:t>
      </w:r>
      <w:r w:rsidRPr="002752EE">
        <w:rPr>
          <w:sz w:val="20"/>
        </w:rPr>
        <w:t>with that 20 MHz subchannel.</w:t>
      </w:r>
    </w:p>
    <w:sectPr w:rsidR="002752EE" w:rsidRPr="00181337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ui Cao" w:date="2020-11-18T21:33:00Z" w:initials="RC">
    <w:p w14:paraId="16596D5E" w14:textId="511684DD" w:rsidR="008C1737" w:rsidRDefault="008C173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The value is not defined in the Table in D0.1. Need to add it.</w:t>
      </w:r>
    </w:p>
  </w:comment>
  <w:comment w:id="3" w:author="Rui Cao" w:date="2020-11-18T21:29:00Z" w:initials="RC">
    <w:p w14:paraId="36BF9276" w14:textId="466E54FF" w:rsidR="007B5DDB" w:rsidRDefault="007B5DDB">
      <w:pPr>
        <w:pStyle w:val="CommentText"/>
      </w:pPr>
      <w:r>
        <w:rPr>
          <w:rStyle w:val="CommentReference"/>
        </w:rPr>
        <w:annotationRef/>
      </w:r>
      <w:r>
        <w:t>Use the entry proposed in the ongoing PDT update on EHT-SIG.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596D5E" w15:done="0"/>
  <w15:commentEx w15:paraId="36BF92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D3ACD" w16cex:dateUtc="2020-09-05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596D5E" w16cid:durableId="2360118F"/>
  <w16cid:commentId w16cid:paraId="36BF9276" w16cid:durableId="236010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D70BC" w14:textId="77777777" w:rsidR="00133FA2" w:rsidRDefault="00133FA2">
      <w:r>
        <w:separator/>
      </w:r>
    </w:p>
  </w:endnote>
  <w:endnote w:type="continuationSeparator" w:id="0">
    <w:p w14:paraId="171BADEE" w14:textId="77777777" w:rsidR="00133FA2" w:rsidRDefault="0013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0B886156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2752EE">
      <w:rPr>
        <w:lang w:val="fr-FR"/>
      </w:rPr>
      <w:t>Rui Cao</w:t>
    </w:r>
    <w:r w:rsidR="009A2930">
      <w:rPr>
        <w:lang w:val="fr-FR"/>
      </w:rPr>
      <w:t>, NXP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3EED" w14:textId="77777777" w:rsidR="00133FA2" w:rsidRDefault="00133FA2">
      <w:r>
        <w:separator/>
      </w:r>
    </w:p>
  </w:footnote>
  <w:footnote w:type="continuationSeparator" w:id="0">
    <w:p w14:paraId="145CDC81" w14:textId="77777777" w:rsidR="00133FA2" w:rsidRDefault="0013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03BC8307" w:rsidR="00FE30C6" w:rsidRDefault="005F37B8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t>Novemeber</w:t>
    </w:r>
    <w:proofErr w:type="spellEnd"/>
    <w:r w:rsidR="00FE30C6">
      <w:t xml:space="preserve"> 2020</w:t>
    </w:r>
    <w:r w:rsidR="00FE30C6">
      <w:tab/>
    </w:r>
    <w:r w:rsidR="00FE30C6">
      <w:tab/>
      <w:t>doc.: IEEE 802.11-20/</w:t>
    </w:r>
    <w:r w:rsidR="000102F6" w:rsidRPr="000102F6">
      <w:t>1867</w:t>
    </w:r>
    <w:r w:rsidR="00FE30C6">
      <w:t>r</w:t>
    </w:r>
    <w:r w:rsidR="00AF3F7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6FF8"/>
    <w:multiLevelType w:val="hybridMultilevel"/>
    <w:tmpl w:val="7C881048"/>
    <w:lvl w:ilvl="0" w:tplc="FF586F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671A3"/>
    <w:multiLevelType w:val="hybridMultilevel"/>
    <w:tmpl w:val="B42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0E26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C2FE1"/>
    <w:multiLevelType w:val="hybridMultilevel"/>
    <w:tmpl w:val="D454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 w:numId="68">
    <w:abstractNumId w:val="7"/>
  </w:num>
  <w:num w:numId="69">
    <w:abstractNumId w:val="6"/>
  </w:num>
  <w:num w:numId="70">
    <w:abstractNumId w:val="10"/>
  </w:num>
  <w:num w:numId="71">
    <w:abstractNumId w:val="1"/>
  </w:num>
  <w:num w:numId="72">
    <w:abstractNumId w:val="4"/>
  </w:num>
  <w:num w:numId="73">
    <w:abstractNumId w:val="8"/>
  </w:num>
  <w:num w:numId="74">
    <w:abstractNumId w:val="0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Table 27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3"/>
  </w:num>
  <w:numIdMacAtCleanup w:val="6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395B"/>
    <w:rsid w:val="000066B9"/>
    <w:rsid w:val="00007292"/>
    <w:rsid w:val="000076F4"/>
    <w:rsid w:val="00007B46"/>
    <w:rsid w:val="000102F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D25"/>
    <w:rsid w:val="000601BF"/>
    <w:rsid w:val="000627C8"/>
    <w:rsid w:val="00063E29"/>
    <w:rsid w:val="00066195"/>
    <w:rsid w:val="0006651F"/>
    <w:rsid w:val="0007022A"/>
    <w:rsid w:val="00070343"/>
    <w:rsid w:val="0007055C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EBC"/>
    <w:rsid w:val="00097C3B"/>
    <w:rsid w:val="000A09CF"/>
    <w:rsid w:val="000A0C05"/>
    <w:rsid w:val="000A1399"/>
    <w:rsid w:val="000A1F52"/>
    <w:rsid w:val="000A3105"/>
    <w:rsid w:val="000A33DD"/>
    <w:rsid w:val="000A37F6"/>
    <w:rsid w:val="000A57C0"/>
    <w:rsid w:val="000A6F56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AA3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498B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A2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52FDC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3430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279A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1A6C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287B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2FAE"/>
    <w:rsid w:val="00283B2A"/>
    <w:rsid w:val="00283D1B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3416"/>
    <w:rsid w:val="002B4372"/>
    <w:rsid w:val="002B491C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F0D8B"/>
    <w:rsid w:val="002F1494"/>
    <w:rsid w:val="002F175E"/>
    <w:rsid w:val="002F19AB"/>
    <w:rsid w:val="002F1C8B"/>
    <w:rsid w:val="002F2788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62E7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5C01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070B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3E7C"/>
    <w:rsid w:val="004462E4"/>
    <w:rsid w:val="00450F35"/>
    <w:rsid w:val="00451979"/>
    <w:rsid w:val="00452563"/>
    <w:rsid w:val="00452594"/>
    <w:rsid w:val="00452FF7"/>
    <w:rsid w:val="00454E2C"/>
    <w:rsid w:val="004551BD"/>
    <w:rsid w:val="00456C54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246"/>
    <w:rsid w:val="004F7C6F"/>
    <w:rsid w:val="00503881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4A53"/>
    <w:rsid w:val="00515958"/>
    <w:rsid w:val="005162C5"/>
    <w:rsid w:val="00516682"/>
    <w:rsid w:val="00516829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2B0"/>
    <w:rsid w:val="00551FC4"/>
    <w:rsid w:val="005526C9"/>
    <w:rsid w:val="00552CC1"/>
    <w:rsid w:val="005546D2"/>
    <w:rsid w:val="00557CFD"/>
    <w:rsid w:val="00557D06"/>
    <w:rsid w:val="005609C8"/>
    <w:rsid w:val="00561403"/>
    <w:rsid w:val="00562E6D"/>
    <w:rsid w:val="005639D4"/>
    <w:rsid w:val="005658F4"/>
    <w:rsid w:val="00567F1F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4BC0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2E3F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E2D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D4D05"/>
    <w:rsid w:val="005E0AA3"/>
    <w:rsid w:val="005E1123"/>
    <w:rsid w:val="005E12A3"/>
    <w:rsid w:val="005E4E14"/>
    <w:rsid w:val="005E60A7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0DB"/>
    <w:rsid w:val="00653623"/>
    <w:rsid w:val="00655B40"/>
    <w:rsid w:val="00655DF5"/>
    <w:rsid w:val="00656EFD"/>
    <w:rsid w:val="0065745E"/>
    <w:rsid w:val="006609CF"/>
    <w:rsid w:val="00660D94"/>
    <w:rsid w:val="00661282"/>
    <w:rsid w:val="00661E03"/>
    <w:rsid w:val="0066250C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29A2"/>
    <w:rsid w:val="006E32C6"/>
    <w:rsid w:val="006E4033"/>
    <w:rsid w:val="006E5C09"/>
    <w:rsid w:val="006E5CAB"/>
    <w:rsid w:val="006F0B12"/>
    <w:rsid w:val="006F1481"/>
    <w:rsid w:val="006F1717"/>
    <w:rsid w:val="006F3694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4317"/>
    <w:rsid w:val="00725025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90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5DDB"/>
    <w:rsid w:val="007B6576"/>
    <w:rsid w:val="007B70F4"/>
    <w:rsid w:val="007B75F9"/>
    <w:rsid w:val="007C26C5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111"/>
    <w:rsid w:val="00822EB5"/>
    <w:rsid w:val="008238B9"/>
    <w:rsid w:val="00823B6B"/>
    <w:rsid w:val="00823C66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0F5B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737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094D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930"/>
    <w:rsid w:val="009A2A20"/>
    <w:rsid w:val="009A2F4B"/>
    <w:rsid w:val="009A474D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3D3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3F75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0F1E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6006D"/>
    <w:rsid w:val="00B64CF6"/>
    <w:rsid w:val="00B64E82"/>
    <w:rsid w:val="00B6520A"/>
    <w:rsid w:val="00B654F1"/>
    <w:rsid w:val="00B65688"/>
    <w:rsid w:val="00B657F4"/>
    <w:rsid w:val="00B661F1"/>
    <w:rsid w:val="00B674AF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B5308"/>
    <w:rsid w:val="00BC0A52"/>
    <w:rsid w:val="00BC23AD"/>
    <w:rsid w:val="00BC23CE"/>
    <w:rsid w:val="00BC2941"/>
    <w:rsid w:val="00BC3135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148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2D2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A7FCD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4ADB"/>
    <w:rsid w:val="00D15159"/>
    <w:rsid w:val="00D1554B"/>
    <w:rsid w:val="00D22558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36BE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574"/>
    <w:rsid w:val="00E43DE4"/>
    <w:rsid w:val="00E4407D"/>
    <w:rsid w:val="00E45757"/>
    <w:rsid w:val="00E46828"/>
    <w:rsid w:val="00E46B5C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673FE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3A18"/>
    <w:rsid w:val="00EB45EB"/>
    <w:rsid w:val="00EB4E34"/>
    <w:rsid w:val="00EC0806"/>
    <w:rsid w:val="00EC08A3"/>
    <w:rsid w:val="00EC1022"/>
    <w:rsid w:val="00EC25D1"/>
    <w:rsid w:val="00EC3040"/>
    <w:rsid w:val="00EC4CC0"/>
    <w:rsid w:val="00EC5678"/>
    <w:rsid w:val="00EC5BA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50FE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A07"/>
    <w:rsid w:val="00F847C3"/>
    <w:rsid w:val="00F85587"/>
    <w:rsid w:val="00F85DF2"/>
    <w:rsid w:val="00F864E5"/>
    <w:rsid w:val="00F868BF"/>
    <w:rsid w:val="00F90EA3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428F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1FC0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2641E7CC-777E-4FC5-8947-3C5F39FF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Rui Cao</cp:lastModifiedBy>
  <cp:revision>8</cp:revision>
  <cp:lastPrinted>2020-01-28T20:23:00Z</cp:lastPrinted>
  <dcterms:created xsi:type="dcterms:W3CDTF">2020-11-19T05:27:00Z</dcterms:created>
  <dcterms:modified xsi:type="dcterms:W3CDTF">2020-11-19T05:40:00Z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