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DC2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1620"/>
        <w:gridCol w:w="1350"/>
        <w:gridCol w:w="2538"/>
      </w:tblGrid>
      <w:tr w:rsidR="00CA09B2" w14:paraId="33CFAD7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A297739" w14:textId="43EF1485" w:rsidR="00CA09B2" w:rsidRDefault="005113DB">
            <w:pPr>
              <w:pStyle w:val="T2"/>
            </w:pPr>
            <w:r>
              <w:t>IEEE 802.11bf</w:t>
            </w:r>
            <w:r w:rsidR="00C64EA5">
              <w:t xml:space="preserve"> </w:t>
            </w:r>
            <w:r w:rsidR="00803275" w:rsidRPr="00803275">
              <w:t>Functional Requirements</w:t>
            </w:r>
            <w:r w:rsidR="00077995">
              <w:t xml:space="preserve"> </w:t>
            </w:r>
            <w:r w:rsidR="00077995" w:rsidRPr="00077995">
              <w:t>Document</w:t>
            </w:r>
            <w:bookmarkStart w:id="0" w:name="_GoBack"/>
            <w:bookmarkEnd w:id="0"/>
          </w:p>
        </w:tc>
      </w:tr>
      <w:tr w:rsidR="00CA09B2" w14:paraId="31401D7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3F377A" w14:textId="61BA23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275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65DB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4476E4">
              <w:rPr>
                <w:b w:val="0"/>
                <w:sz w:val="20"/>
              </w:rPr>
              <w:t>17</w:t>
            </w:r>
          </w:p>
        </w:tc>
      </w:tr>
      <w:tr w:rsidR="00CA09B2" w14:paraId="1E635E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B6FF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AC4A66" w14:textId="77777777" w:rsidTr="00DC0BEE">
        <w:trPr>
          <w:jc w:val="center"/>
        </w:trPr>
        <w:tc>
          <w:tcPr>
            <w:tcW w:w="2268" w:type="dxa"/>
            <w:vAlign w:val="center"/>
          </w:tcPr>
          <w:p w14:paraId="65321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4D8AF9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67981B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516731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vAlign w:val="center"/>
          </w:tcPr>
          <w:p w14:paraId="7EF0E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B4222" w14:paraId="7EB1F3EF" w14:textId="77777777" w:rsidTr="00DC0BEE">
        <w:trPr>
          <w:jc w:val="center"/>
        </w:trPr>
        <w:tc>
          <w:tcPr>
            <w:tcW w:w="2268" w:type="dxa"/>
            <w:vAlign w:val="center"/>
          </w:tcPr>
          <w:p w14:paraId="1BAF1BAD" w14:textId="49F26E0F" w:rsidR="005B4222" w:rsidRDefault="005B4222" w:rsidP="00C64E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800" w:type="dxa"/>
            <w:vMerge w:val="restart"/>
            <w:vAlign w:val="center"/>
          </w:tcPr>
          <w:p w14:paraId="27C56FA0" w14:textId="3EAAEFBC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20" w:type="dxa"/>
            <w:vAlign w:val="center"/>
          </w:tcPr>
          <w:p w14:paraId="5C58144E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A0FE39B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0E9B8109" w14:textId="0AE062E6" w:rsidR="005B4222" w:rsidRDefault="00DC0B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5B4222" w14:paraId="02927E99" w14:textId="77777777" w:rsidTr="00DC0BEE">
        <w:trPr>
          <w:jc w:val="center"/>
        </w:trPr>
        <w:tc>
          <w:tcPr>
            <w:tcW w:w="2268" w:type="dxa"/>
            <w:vAlign w:val="center"/>
          </w:tcPr>
          <w:p w14:paraId="16AD8A66" w14:textId="4C9FD69C" w:rsidR="005B4222" w:rsidRDefault="005B4222" w:rsidP="00C64E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1800" w:type="dxa"/>
            <w:vMerge/>
            <w:vAlign w:val="center"/>
          </w:tcPr>
          <w:p w14:paraId="1AA324D4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FC88E36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C04AC78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6A59655D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0A9D2D3B" w14:textId="77777777" w:rsidTr="00DC0BEE">
        <w:trPr>
          <w:jc w:val="center"/>
        </w:trPr>
        <w:tc>
          <w:tcPr>
            <w:tcW w:w="2268" w:type="dxa"/>
            <w:vAlign w:val="center"/>
          </w:tcPr>
          <w:p w14:paraId="14B2F84F" w14:textId="30D1F295" w:rsidR="005B4222" w:rsidRDefault="005B4222" w:rsidP="00C64E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Bahar</w:t>
            </w:r>
            <w:proofErr w:type="spellEnd"/>
            <w:r>
              <w:rPr>
                <w:b w:val="0"/>
                <w:sz w:val="20"/>
              </w:rPr>
              <w:t xml:space="preserve"> Sadeghi</w:t>
            </w:r>
          </w:p>
        </w:tc>
        <w:tc>
          <w:tcPr>
            <w:tcW w:w="1800" w:type="dxa"/>
            <w:vMerge/>
            <w:vAlign w:val="center"/>
          </w:tcPr>
          <w:p w14:paraId="30ECAFBD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31EB29E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B6F96A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458B432F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2DA0CFA5" w14:textId="77777777" w:rsidTr="00DC0BEE">
        <w:trPr>
          <w:jc w:val="center"/>
        </w:trPr>
        <w:tc>
          <w:tcPr>
            <w:tcW w:w="2268" w:type="dxa"/>
            <w:vAlign w:val="center"/>
          </w:tcPr>
          <w:p w14:paraId="0BE80479" w14:textId="16362836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4222">
              <w:rPr>
                <w:b w:val="0"/>
                <w:sz w:val="20"/>
              </w:rPr>
              <w:t>Solomon</w:t>
            </w:r>
            <w:r>
              <w:rPr>
                <w:b w:val="0"/>
                <w:sz w:val="20"/>
              </w:rPr>
              <w:t xml:space="preserve"> Trainin</w:t>
            </w:r>
          </w:p>
        </w:tc>
        <w:tc>
          <w:tcPr>
            <w:tcW w:w="1800" w:type="dxa"/>
            <w:vMerge w:val="restart"/>
            <w:vAlign w:val="center"/>
          </w:tcPr>
          <w:p w14:paraId="5F00581E" w14:textId="77E5B8E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620" w:type="dxa"/>
            <w:vAlign w:val="center"/>
          </w:tcPr>
          <w:p w14:paraId="2B415FA6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5FF3A9A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2B77CA83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60D10718" w14:textId="77777777" w:rsidTr="00DC0BEE">
        <w:trPr>
          <w:jc w:val="center"/>
        </w:trPr>
        <w:tc>
          <w:tcPr>
            <w:tcW w:w="2268" w:type="dxa"/>
            <w:vAlign w:val="center"/>
          </w:tcPr>
          <w:p w14:paraId="465115D6" w14:textId="015D15DC" w:rsidR="005B4222" w:rsidRP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4222">
              <w:rPr>
                <w:b w:val="0"/>
                <w:sz w:val="20"/>
              </w:rPr>
              <w:t>Assaf</w:t>
            </w:r>
            <w:r>
              <w:rPr>
                <w:b w:val="0"/>
                <w:sz w:val="20"/>
              </w:rPr>
              <w:t xml:space="preserve"> Kasher</w:t>
            </w:r>
          </w:p>
        </w:tc>
        <w:tc>
          <w:tcPr>
            <w:tcW w:w="1800" w:type="dxa"/>
            <w:vMerge/>
            <w:vAlign w:val="center"/>
          </w:tcPr>
          <w:p w14:paraId="2FBF87DD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1CBE9F2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6DADFC0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75C6A5BC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23E7F86C" w14:textId="77777777" w:rsidTr="00DC0BEE">
        <w:trPr>
          <w:jc w:val="center"/>
        </w:trPr>
        <w:tc>
          <w:tcPr>
            <w:tcW w:w="2268" w:type="dxa"/>
          </w:tcPr>
          <w:p w14:paraId="5F211AA2" w14:textId="0BAE8A52" w:rsidR="005B4222" w:rsidRP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E6EB6">
              <w:rPr>
                <w:b w:val="0"/>
                <w:sz w:val="20"/>
                <w:lang w:eastAsia="zh-CN"/>
              </w:rPr>
              <w:t xml:space="preserve">Rui Du </w:t>
            </w:r>
          </w:p>
        </w:tc>
        <w:tc>
          <w:tcPr>
            <w:tcW w:w="1800" w:type="dxa"/>
            <w:vMerge w:val="restart"/>
            <w:vAlign w:val="center"/>
          </w:tcPr>
          <w:p w14:paraId="1407AF2B" w14:textId="42C3DAF6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620" w:type="dxa"/>
            <w:vAlign w:val="center"/>
          </w:tcPr>
          <w:p w14:paraId="05D7B0D5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EA7954D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3E176E1C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7F4D849B" w14:textId="77777777" w:rsidTr="00DC0BEE">
        <w:trPr>
          <w:jc w:val="center"/>
        </w:trPr>
        <w:tc>
          <w:tcPr>
            <w:tcW w:w="2268" w:type="dxa"/>
          </w:tcPr>
          <w:p w14:paraId="144F76A5" w14:textId="1FA2819D" w:rsidR="005B4222" w:rsidRP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FE6EB6">
              <w:rPr>
                <w:b w:val="0"/>
                <w:sz w:val="20"/>
                <w:lang w:eastAsia="zh-CN"/>
              </w:rPr>
              <w:t>Yingxiang</w:t>
            </w:r>
            <w:proofErr w:type="spellEnd"/>
            <w:r w:rsidRPr="00FE6EB6">
              <w:rPr>
                <w:b w:val="0"/>
                <w:sz w:val="20"/>
                <w:lang w:eastAsia="zh-CN"/>
              </w:rPr>
              <w:t xml:space="preserve"> Sun </w:t>
            </w:r>
          </w:p>
        </w:tc>
        <w:tc>
          <w:tcPr>
            <w:tcW w:w="1800" w:type="dxa"/>
            <w:vMerge/>
            <w:vAlign w:val="center"/>
          </w:tcPr>
          <w:p w14:paraId="47874F63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CFD72B1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225AF18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4ABAE770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16156E2F" w14:textId="77777777" w:rsidTr="00DC0BEE">
        <w:trPr>
          <w:jc w:val="center"/>
        </w:trPr>
        <w:tc>
          <w:tcPr>
            <w:tcW w:w="2268" w:type="dxa"/>
          </w:tcPr>
          <w:p w14:paraId="0BF487B8" w14:textId="385337F5" w:rsidR="005B4222" w:rsidRP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FE6EB6">
              <w:rPr>
                <w:b w:val="0"/>
                <w:sz w:val="20"/>
                <w:lang w:eastAsia="zh-CN"/>
              </w:rPr>
              <w:t>Meihong</w:t>
            </w:r>
            <w:proofErr w:type="spellEnd"/>
            <w:r w:rsidRPr="00FE6EB6"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800" w:type="dxa"/>
            <w:vMerge/>
            <w:vAlign w:val="center"/>
          </w:tcPr>
          <w:p w14:paraId="3F074FF9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693D64B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090BA56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0B494CD6" w14:textId="77777777" w:rsidR="005B4222" w:rsidRDefault="005B4222" w:rsidP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561E99DA" w14:textId="77777777" w:rsidTr="00DC0BEE">
        <w:trPr>
          <w:jc w:val="center"/>
        </w:trPr>
        <w:tc>
          <w:tcPr>
            <w:tcW w:w="2268" w:type="dxa"/>
            <w:vAlign w:val="center"/>
          </w:tcPr>
          <w:p w14:paraId="6379780B" w14:textId="77777777" w:rsidR="005B4222" w:rsidRP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5FF21E0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7C36D15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F3CAF3F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661BDDF3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4222" w14:paraId="1309AC55" w14:textId="77777777" w:rsidTr="00DC0BEE">
        <w:trPr>
          <w:jc w:val="center"/>
        </w:trPr>
        <w:tc>
          <w:tcPr>
            <w:tcW w:w="2268" w:type="dxa"/>
            <w:vAlign w:val="center"/>
          </w:tcPr>
          <w:p w14:paraId="08C0E575" w14:textId="77777777" w:rsidR="005B4222" w:rsidRP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B2F7EC1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81EA42D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A8D0F90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8" w:type="dxa"/>
            <w:vAlign w:val="center"/>
          </w:tcPr>
          <w:p w14:paraId="409AF083" w14:textId="77777777" w:rsidR="005B4222" w:rsidRDefault="005B42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D4AAE6F" w14:textId="77777777" w:rsidR="00CA09B2" w:rsidRDefault="00321127">
      <w:pPr>
        <w:pStyle w:val="T1"/>
        <w:spacing w:after="120"/>
        <w:rPr>
          <w:sz w:val="22"/>
        </w:rPr>
      </w:pPr>
      <w:r>
        <w:rPr>
          <w:noProof/>
        </w:rPr>
        <w:pict w14:anchorId="75822B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2DE23BA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AFCF1D5" w14:textId="074643BE" w:rsidR="00E43CD1" w:rsidRDefault="001164FE" w:rsidP="00E43CD1">
                  <w:pPr>
                    <w:jc w:val="both"/>
                  </w:pPr>
                  <w:r w:rsidRPr="001164FE">
                    <w:t>This document describes the 802.11b</w:t>
                  </w:r>
                  <w:r w:rsidR="00ED2F67">
                    <w:t xml:space="preserve">f </w:t>
                  </w:r>
                  <w:r w:rsidRPr="001164FE">
                    <w:t>Functional Requirements.</w:t>
                  </w:r>
                </w:p>
                <w:p w14:paraId="71157337" w14:textId="77777777" w:rsidR="00B74561" w:rsidRDefault="00B74561" w:rsidP="00B74561">
                  <w:pPr>
                    <w:jc w:val="both"/>
                  </w:pPr>
                </w:p>
                <w:p w14:paraId="5EF206AE" w14:textId="77777777" w:rsidR="00B74561" w:rsidRDefault="00B74561" w:rsidP="00B74561">
                  <w:pPr>
                    <w:jc w:val="both"/>
                  </w:pPr>
                  <w:r>
                    <w:t xml:space="preserve">Revisions: </w:t>
                  </w:r>
                </w:p>
                <w:p w14:paraId="05F72B3D" w14:textId="77777777" w:rsidR="00B74561" w:rsidRDefault="00B74561" w:rsidP="00B74561">
                  <w:pPr>
                    <w:jc w:val="both"/>
                  </w:pPr>
                  <w:r>
                    <w:t>-</w:t>
                  </w:r>
                  <w:r>
                    <w:tab/>
                    <w:t>Rev 0: Initial version of the document.</w:t>
                  </w:r>
                </w:p>
                <w:p w14:paraId="3C06EF41" w14:textId="77777777" w:rsidR="00B74561" w:rsidRDefault="00B74561" w:rsidP="00E43CD1">
                  <w:pPr>
                    <w:jc w:val="both"/>
                  </w:pPr>
                </w:p>
              </w:txbxContent>
            </v:textbox>
          </v:shape>
        </w:pict>
      </w:r>
    </w:p>
    <w:p w14:paraId="0512825D" w14:textId="77777777" w:rsidR="009F1349" w:rsidRDefault="00CA09B2" w:rsidP="009F1349">
      <w:pPr>
        <w:pStyle w:val="Heading1"/>
      </w:pPr>
      <w:r>
        <w:br w:type="page"/>
      </w:r>
      <w:r w:rsidR="009F1349">
        <w:lastRenderedPageBreak/>
        <w:t>1. Introduction</w:t>
      </w:r>
    </w:p>
    <w:p w14:paraId="321FD971" w14:textId="77777777" w:rsidR="009F1349" w:rsidRDefault="009F1349" w:rsidP="009F1349">
      <w:pPr>
        <w:pStyle w:val="Heading2"/>
      </w:pPr>
      <w:r>
        <w:t>1.1 Purpose</w:t>
      </w:r>
    </w:p>
    <w:p w14:paraId="668C4E5B" w14:textId="13311D4A" w:rsidR="00BD3E3C" w:rsidRDefault="00BD3E3C">
      <w:r w:rsidRPr="00BD3E3C">
        <w:t>This document summarizes requirements for solutions addressing functionality to be provided by the 802.11b</w:t>
      </w:r>
      <w:r w:rsidR="00416EE2">
        <w:t>f</w:t>
      </w:r>
      <w:r w:rsidRPr="00BD3E3C">
        <w:t xml:space="preserve"> amendment, referred to as the </w:t>
      </w:r>
      <w:proofErr w:type="spellStart"/>
      <w:r w:rsidRPr="00BD3E3C">
        <w:t>TGb</w:t>
      </w:r>
      <w:r w:rsidR="00416EE2">
        <w:t>f</w:t>
      </w:r>
      <w:proofErr w:type="spellEnd"/>
      <w:r w:rsidRPr="00BD3E3C">
        <w:t xml:space="preserve"> Functional Requirements (FRs).</w:t>
      </w:r>
    </w:p>
    <w:p w14:paraId="2329A50F" w14:textId="77777777" w:rsidR="007905C5" w:rsidRDefault="007905C5" w:rsidP="007905C5">
      <w:pPr>
        <w:pStyle w:val="Heading2"/>
      </w:pPr>
      <w:r>
        <w:t>1.2 Scope</w:t>
      </w:r>
    </w:p>
    <w:p w14:paraId="0FADEB92" w14:textId="3EE6E293" w:rsidR="007905C5" w:rsidRDefault="00293F66" w:rsidP="007905C5">
      <w:r w:rsidRPr="00293F66">
        <w:t xml:space="preserve">The scope for deriving functional requirements is primarily set by </w:t>
      </w:r>
      <w:r w:rsidR="003C6126">
        <w:t>the</w:t>
      </w:r>
      <w:r w:rsidRPr="00293F66">
        <w:t xml:space="preserve"> </w:t>
      </w:r>
      <w:r w:rsidR="00D73056" w:rsidRPr="00D73056">
        <w:t>Project Authorization Request (PAR)</w:t>
      </w:r>
      <w:r w:rsidRPr="00293F66">
        <w:t xml:space="preserve"> [</w:t>
      </w:r>
      <w:r w:rsidR="00AD09EC">
        <w:t>Ref-</w:t>
      </w:r>
      <w:r w:rsidRPr="00293F66">
        <w:t>1]</w:t>
      </w:r>
      <w:r w:rsidR="007D514E">
        <w:t xml:space="preserve"> and</w:t>
      </w:r>
      <w:r w:rsidR="00A75836">
        <w:t xml:space="preserve"> </w:t>
      </w:r>
      <w:r w:rsidR="00031689">
        <w:t xml:space="preserve">the </w:t>
      </w:r>
      <w:r w:rsidR="00D73056" w:rsidRPr="00D73056">
        <w:t>Criteria for Standard Development (CSD)</w:t>
      </w:r>
      <w:r w:rsidRPr="00293F66">
        <w:t xml:space="preserve"> [</w:t>
      </w:r>
      <w:r w:rsidR="00AD09EC">
        <w:t>Ref-</w:t>
      </w:r>
      <w:r w:rsidRPr="00293F66">
        <w:t>2]</w:t>
      </w:r>
      <w:r w:rsidR="00AD68FF">
        <w:t>.</w:t>
      </w:r>
      <w:r w:rsidR="001D2CB3">
        <w:t xml:space="preserve">  </w:t>
      </w:r>
      <w:r w:rsidR="001D2CB3">
        <w:rPr>
          <w:color w:val="000000"/>
          <w:sz w:val="24"/>
          <w:szCs w:val="24"/>
          <w:lang w:val="en-US"/>
        </w:rPr>
        <w:t>A</w:t>
      </w:r>
      <w:r w:rsidR="00902420">
        <w:rPr>
          <w:color w:val="000000"/>
          <w:sz w:val="24"/>
          <w:szCs w:val="24"/>
          <w:lang w:val="en-US"/>
        </w:rPr>
        <w:t>s specified in [Ref-3], a</w:t>
      </w:r>
      <w:r w:rsidR="001D2CB3">
        <w:rPr>
          <w:color w:val="000000"/>
          <w:sz w:val="24"/>
          <w:szCs w:val="24"/>
          <w:lang w:val="en-US"/>
        </w:rPr>
        <w:t>dditional requirements may be added if agreed by the task group.</w:t>
      </w:r>
    </w:p>
    <w:p w14:paraId="1E32FF95" w14:textId="77777777" w:rsidR="007905C5" w:rsidRDefault="007905C5" w:rsidP="007905C5">
      <w:pPr>
        <w:pStyle w:val="Heading2"/>
      </w:pPr>
      <w:r>
        <w:t>1.3 Notation</w:t>
      </w:r>
    </w:p>
    <w:p w14:paraId="2583ABCE" w14:textId="2095DC7F" w:rsidR="00CA09B2" w:rsidRDefault="007905C5">
      <w:r w:rsidRPr="007905C5">
        <w:t>Requirements are identified by a preceding unique number in the format of “</w:t>
      </w:r>
      <w:proofErr w:type="spellStart"/>
      <w:r w:rsidR="00AD68FF">
        <w:t>TGbf</w:t>
      </w:r>
      <w:proofErr w:type="spellEnd"/>
      <w:r w:rsidRPr="007905C5">
        <w:t xml:space="preserve"> R</w:t>
      </w:r>
      <w:r w:rsidRPr="00767444">
        <w:rPr>
          <w:i/>
          <w:iCs/>
        </w:rPr>
        <w:t>n</w:t>
      </w:r>
      <w:r w:rsidRPr="007905C5">
        <w:t xml:space="preserve">”, where </w:t>
      </w:r>
      <w:r w:rsidRPr="00767444">
        <w:rPr>
          <w:i/>
          <w:iCs/>
        </w:rPr>
        <w:t>n</w:t>
      </w:r>
      <w:r w:rsidRPr="007905C5">
        <w:t xml:space="preserve"> is an integer number representing the ID of the requirements.</w:t>
      </w:r>
    </w:p>
    <w:p w14:paraId="4762CBE9" w14:textId="77777777" w:rsidR="000D3B8A" w:rsidRDefault="000D3B8A"/>
    <w:p w14:paraId="34358DD3" w14:textId="77777777" w:rsidR="000D3B8A" w:rsidRDefault="000D3B8A" w:rsidP="000D3B8A">
      <w:pPr>
        <w:pStyle w:val="Heading1"/>
      </w:pPr>
      <w:r>
        <w:t>2. Functional Requirements</w:t>
      </w:r>
    </w:p>
    <w:p w14:paraId="058EABE0" w14:textId="0FDB7C1F" w:rsidR="000D3B8A" w:rsidRDefault="00AC04A8" w:rsidP="00AC04A8">
      <w:pPr>
        <w:pStyle w:val="Heading2"/>
      </w:pPr>
      <w:r>
        <w:t xml:space="preserve">2.1 </w:t>
      </w:r>
      <w:r w:rsidR="00F72A7F">
        <w:t>WLAN sensing operation</w:t>
      </w:r>
    </w:p>
    <w:p w14:paraId="5F19EF37" w14:textId="49D54518" w:rsidR="00C82079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</w:t>
      </w:r>
      <w:proofErr w:type="spellStart"/>
      <w:r w:rsidR="00E46541">
        <w:rPr>
          <w:szCs w:val="22"/>
        </w:rPr>
        <w:t>TGbf</w:t>
      </w:r>
      <w:proofErr w:type="spellEnd"/>
      <w:r w:rsidRPr="00A14CC5">
        <w:rPr>
          <w:szCs w:val="22"/>
        </w:rPr>
        <w:t xml:space="preserve"> R</w:t>
      </w:r>
      <w:r w:rsidR="007C7F05">
        <w:rPr>
          <w:szCs w:val="22"/>
        </w:rPr>
        <w:t>1</w:t>
      </w:r>
      <w:r w:rsidRPr="00A14CC5">
        <w:rPr>
          <w:szCs w:val="22"/>
        </w:rPr>
        <w:t xml:space="preserve">] </w:t>
      </w:r>
      <w:r w:rsidR="00C82079" w:rsidRPr="00A14CC5">
        <w:rPr>
          <w:szCs w:val="22"/>
        </w:rPr>
        <w:t xml:space="preserve">The amendment shall enable </w:t>
      </w:r>
      <w:r w:rsidR="00AD09CC">
        <w:rPr>
          <w:szCs w:val="22"/>
        </w:rPr>
        <w:t>stations (</w:t>
      </w:r>
      <w:r w:rsidRPr="00A14CC5">
        <w:rPr>
          <w:szCs w:val="22"/>
        </w:rPr>
        <w:t>STAs</w:t>
      </w:r>
      <w:r w:rsidR="00AD09CC">
        <w:rPr>
          <w:szCs w:val="22"/>
        </w:rPr>
        <w:t>)</w:t>
      </w:r>
      <w:r w:rsidRPr="00A14CC5">
        <w:rPr>
          <w:szCs w:val="22"/>
        </w:rPr>
        <w:t xml:space="preserve"> to perform one or more of the following: </w:t>
      </w:r>
    </w:p>
    <w:p w14:paraId="4A0EC071" w14:textId="77777777" w:rsidR="001F7428" w:rsidRPr="001F7428" w:rsidRDefault="004E0705" w:rsidP="00714D56">
      <w:pPr>
        <w:numPr>
          <w:ilvl w:val="0"/>
          <w:numId w:val="2"/>
        </w:numPr>
        <w:rPr>
          <w:szCs w:val="22"/>
        </w:rPr>
      </w:pPr>
      <w:r w:rsidRPr="00A14CC5">
        <w:rPr>
          <w:szCs w:val="22"/>
        </w:rPr>
        <w:t xml:space="preserve">to </w:t>
      </w:r>
      <w:r w:rsidR="001F7428" w:rsidRPr="001F7428">
        <w:t xml:space="preserve">inform other stations of their WLAN sensing capabilities, </w:t>
      </w:r>
    </w:p>
    <w:p w14:paraId="2B419647" w14:textId="77777777" w:rsidR="001F7428" w:rsidRPr="001F7428" w:rsidRDefault="001F7428" w:rsidP="00714D56">
      <w:pPr>
        <w:numPr>
          <w:ilvl w:val="0"/>
          <w:numId w:val="2"/>
        </w:numPr>
        <w:rPr>
          <w:szCs w:val="22"/>
        </w:rPr>
      </w:pPr>
      <w:r w:rsidRPr="001F7428">
        <w:t xml:space="preserve">to request and setup transmissions that allow for WLAN sensing measurements to be performed, </w:t>
      </w:r>
    </w:p>
    <w:p w14:paraId="36B57E5C" w14:textId="77777777" w:rsidR="001F7428" w:rsidRPr="001F7428" w:rsidRDefault="001F7428" w:rsidP="00714D56">
      <w:pPr>
        <w:numPr>
          <w:ilvl w:val="0"/>
          <w:numId w:val="2"/>
        </w:numPr>
        <w:rPr>
          <w:szCs w:val="22"/>
        </w:rPr>
      </w:pPr>
      <w:r w:rsidRPr="001F7428">
        <w:t xml:space="preserve">to indicate that a transmission can be used for WLAN sensing, and </w:t>
      </w:r>
    </w:p>
    <w:p w14:paraId="2C2BEF7B" w14:textId="40A41815" w:rsidR="004E0705" w:rsidRPr="00A14CC5" w:rsidRDefault="001F7428" w:rsidP="00714D56">
      <w:pPr>
        <w:numPr>
          <w:ilvl w:val="0"/>
          <w:numId w:val="2"/>
        </w:numPr>
        <w:rPr>
          <w:szCs w:val="22"/>
        </w:rPr>
      </w:pPr>
      <w:r w:rsidRPr="001F7428">
        <w:t>to exchange WLAN sensing feedback and information</w:t>
      </w:r>
      <w:r w:rsidR="00666CC0">
        <w:t>.</w:t>
      </w:r>
      <w:r w:rsidRPr="001F7428">
        <w:t xml:space="preserve"> </w:t>
      </w:r>
      <w:r w:rsidR="00A40E9F" w:rsidRPr="00A14CC5">
        <w:rPr>
          <w:szCs w:val="22"/>
        </w:rPr>
        <w:t>[Ref-1] and [Ref-2].</w:t>
      </w:r>
    </w:p>
    <w:p w14:paraId="2C8F0D4A" w14:textId="32E96116" w:rsidR="004E0705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</w:t>
      </w:r>
      <w:proofErr w:type="spellStart"/>
      <w:r w:rsidR="00E46541">
        <w:rPr>
          <w:szCs w:val="22"/>
        </w:rPr>
        <w:t>TGbf</w:t>
      </w:r>
      <w:proofErr w:type="spellEnd"/>
      <w:r w:rsidRPr="00A14CC5">
        <w:rPr>
          <w:szCs w:val="22"/>
        </w:rPr>
        <w:t xml:space="preserve"> R</w:t>
      </w:r>
      <w:r w:rsidR="007C7F05">
        <w:rPr>
          <w:szCs w:val="22"/>
        </w:rPr>
        <w:t>2</w:t>
      </w:r>
      <w:r w:rsidRPr="00A14CC5">
        <w:rPr>
          <w:szCs w:val="22"/>
        </w:rPr>
        <w:t xml:space="preserve">] The amendment shall define </w:t>
      </w:r>
      <w:r w:rsidR="00643871" w:rsidRPr="00A14CC5">
        <w:rPr>
          <w:szCs w:val="22"/>
        </w:rPr>
        <w:t xml:space="preserve">WLAN sensing </w:t>
      </w:r>
      <w:r w:rsidRPr="00A14CC5">
        <w:rPr>
          <w:szCs w:val="22"/>
        </w:rPr>
        <w:t xml:space="preserve">operations that rely on transmissions that are requested, unsolicited, or both. </w:t>
      </w:r>
      <w:r w:rsidR="00A40E9F" w:rsidRPr="00A14CC5">
        <w:rPr>
          <w:szCs w:val="22"/>
        </w:rPr>
        <w:t>[Ref-1] and [Ref-2].</w:t>
      </w:r>
    </w:p>
    <w:p w14:paraId="079D16AC" w14:textId="09BF7FE5" w:rsidR="004E0705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</w:t>
      </w:r>
      <w:proofErr w:type="spellStart"/>
      <w:r w:rsidR="00E46541">
        <w:rPr>
          <w:szCs w:val="22"/>
        </w:rPr>
        <w:t>TGbf</w:t>
      </w:r>
      <w:proofErr w:type="spellEnd"/>
      <w:r w:rsidRPr="00A14CC5">
        <w:rPr>
          <w:szCs w:val="22"/>
        </w:rPr>
        <w:t xml:space="preserve"> R</w:t>
      </w:r>
      <w:r w:rsidR="007C7F05">
        <w:rPr>
          <w:szCs w:val="22"/>
        </w:rPr>
        <w:t>3</w:t>
      </w:r>
      <w:r w:rsidRPr="00A14CC5">
        <w:rPr>
          <w:szCs w:val="22"/>
        </w:rPr>
        <w:t xml:space="preserve">] The amendment shall define </w:t>
      </w:r>
      <w:r w:rsidR="009C7124">
        <w:rPr>
          <w:szCs w:val="22"/>
        </w:rPr>
        <w:t>a</w:t>
      </w:r>
      <w:r w:rsidR="009C7124" w:rsidRPr="009C7124">
        <w:rPr>
          <w:szCs w:val="22"/>
        </w:rPr>
        <w:t xml:space="preserve"> MAC service interface for layers above the MAC to request and retrieve WLAN sensing measurements.</w:t>
      </w:r>
      <w:r w:rsidRPr="00A14CC5">
        <w:rPr>
          <w:szCs w:val="22"/>
        </w:rPr>
        <w:t xml:space="preserve"> [Ref-1] </w:t>
      </w:r>
      <w:r w:rsidR="00A40E9F" w:rsidRPr="00A14CC5">
        <w:rPr>
          <w:szCs w:val="22"/>
        </w:rPr>
        <w:t>and [Ref-2].</w:t>
      </w:r>
    </w:p>
    <w:p w14:paraId="2048E902" w14:textId="77777777" w:rsidR="00AC04A8" w:rsidRDefault="00AC04A8" w:rsidP="00AC04A8">
      <w:pPr>
        <w:pStyle w:val="Heading2"/>
      </w:pPr>
      <w:r>
        <w:t>2.2 Bands of operation</w:t>
      </w:r>
    </w:p>
    <w:p w14:paraId="281FA3DB" w14:textId="382F8DBA" w:rsidR="00AC04A8" w:rsidRDefault="008B2BD5" w:rsidP="00C467E8">
      <w:pPr>
        <w:ind w:left="1080" w:hanging="1080"/>
      </w:pPr>
      <w:r>
        <w:t>[</w:t>
      </w:r>
      <w:proofErr w:type="spellStart"/>
      <w:r w:rsidR="00E46541">
        <w:t>TGbf</w:t>
      </w:r>
      <w:proofErr w:type="spellEnd"/>
      <w:r w:rsidR="00A75A5C">
        <w:t xml:space="preserve"> R</w:t>
      </w:r>
      <w:r w:rsidR="007C7F05">
        <w:t>4</w:t>
      </w:r>
      <w:r>
        <w:t xml:space="preserve">] </w:t>
      </w:r>
      <w:r w:rsidR="000E0808">
        <w:t>The amendment shall define</w:t>
      </w:r>
      <w:r w:rsidR="00643871">
        <w:t xml:space="preserve"> WLAN sensing</w:t>
      </w:r>
      <w:r w:rsidR="00C467E8" w:rsidRPr="00C467E8">
        <w:t xml:space="preserve"> operation in license-exempt frequency bands between 1 GHz and 7.125 GHz and above 45 GHz</w:t>
      </w:r>
      <w:r w:rsidR="004E0705">
        <w:t xml:space="preserve">. </w:t>
      </w:r>
      <w:r w:rsidR="00B61F62" w:rsidRPr="004E0705">
        <w:t>[Ref-</w:t>
      </w:r>
      <w:r w:rsidR="00B61F62">
        <w:t>1</w:t>
      </w:r>
      <w:r w:rsidR="00B61F62" w:rsidRPr="004E0705">
        <w:t>]</w:t>
      </w:r>
      <w:r w:rsidR="00B61F62">
        <w:t xml:space="preserve"> and </w:t>
      </w:r>
      <w:r w:rsidR="00B61F62" w:rsidRPr="004E0705">
        <w:t>[Ref-</w:t>
      </w:r>
      <w:r w:rsidR="00B61F62">
        <w:t>2</w:t>
      </w:r>
      <w:r w:rsidR="00B61F62" w:rsidRPr="004E0705">
        <w:t>]</w:t>
      </w:r>
      <w:r w:rsidR="00B61F62">
        <w:t>.</w:t>
      </w:r>
    </w:p>
    <w:p w14:paraId="6F2BD979" w14:textId="61957FAB" w:rsidR="00DF1F90" w:rsidRDefault="00DF1F90" w:rsidP="00DF1F90">
      <w:pPr>
        <w:pStyle w:val="Heading2"/>
      </w:pPr>
      <w:r>
        <w:t>2.3 PHY</w:t>
      </w:r>
    </w:p>
    <w:p w14:paraId="4E79D1D6" w14:textId="647A2BE2" w:rsidR="00415FF2" w:rsidRDefault="00DF1F90" w:rsidP="00DF1F90">
      <w:pPr>
        <w:ind w:left="1080" w:hanging="1080"/>
      </w:pPr>
      <w:r>
        <w:t>[</w:t>
      </w:r>
      <w:proofErr w:type="spellStart"/>
      <w:r w:rsidR="00E46541">
        <w:t>TGbf</w:t>
      </w:r>
      <w:proofErr w:type="spellEnd"/>
      <w:r>
        <w:t xml:space="preserve"> R</w:t>
      </w:r>
      <w:r w:rsidR="007C7F05">
        <w:t>5</w:t>
      </w:r>
      <w:r>
        <w:t>] The amendment</w:t>
      </w:r>
      <w:r w:rsidRPr="0063246C">
        <w:t xml:space="preserve"> </w:t>
      </w:r>
      <w:r>
        <w:t xml:space="preserve">shall </w:t>
      </w:r>
      <w:r w:rsidR="00415FF2" w:rsidRPr="00415FF2">
        <w:t xml:space="preserve">define modifications to the Directional Multi Gigabit (DMG) and </w:t>
      </w:r>
      <w:r w:rsidR="00843537">
        <w:t>enhanced DMG</w:t>
      </w:r>
      <w:r w:rsidR="00415FF2" w:rsidRPr="00415FF2">
        <w:t xml:space="preserve"> (</w:t>
      </w:r>
      <w:r w:rsidR="00843537">
        <w:t>EDMG</w:t>
      </w:r>
      <w:r w:rsidR="00415FF2" w:rsidRPr="00415FF2">
        <w:t xml:space="preserve">) </w:t>
      </w:r>
      <w:r w:rsidR="00056094" w:rsidRPr="00763392">
        <w:t>physical layer (PHY)</w:t>
      </w:r>
      <w:r w:rsidR="00056094">
        <w:t xml:space="preserve"> specifications</w:t>
      </w:r>
      <w:r w:rsidR="00415FF2" w:rsidRPr="00415FF2">
        <w:t xml:space="preserve"> to enhance </w:t>
      </w:r>
      <w:r w:rsidR="00415FF2">
        <w:t>WLAN sensing operation</w:t>
      </w:r>
      <w:r w:rsidR="000134E9">
        <w:t xml:space="preserve">. </w:t>
      </w:r>
      <w:r w:rsidR="00482DD5" w:rsidRPr="004E0705">
        <w:t>[Ref-</w:t>
      </w:r>
      <w:r w:rsidR="00482DD5">
        <w:t>1</w:t>
      </w:r>
      <w:r w:rsidR="00482DD5" w:rsidRPr="004E0705">
        <w:t>]</w:t>
      </w:r>
      <w:r w:rsidR="00482DD5">
        <w:t xml:space="preserve"> and </w:t>
      </w:r>
      <w:r w:rsidR="00482DD5" w:rsidRPr="004E0705">
        <w:t>[Ref-</w:t>
      </w:r>
      <w:r w:rsidR="00482DD5">
        <w:t>2</w:t>
      </w:r>
      <w:r w:rsidR="00482DD5" w:rsidRPr="004E0705">
        <w:t>]</w:t>
      </w:r>
      <w:r w:rsidR="00482DD5">
        <w:t>.</w:t>
      </w:r>
    </w:p>
    <w:p w14:paraId="59D93FAF" w14:textId="33065455" w:rsidR="00A564EC" w:rsidRDefault="00415FF2" w:rsidP="00A564EC">
      <w:pPr>
        <w:ind w:left="1080" w:hanging="1080"/>
      </w:pPr>
      <w:r>
        <w:t>[</w:t>
      </w:r>
      <w:proofErr w:type="spellStart"/>
      <w:r w:rsidR="00E46541">
        <w:t>TGbf</w:t>
      </w:r>
      <w:proofErr w:type="spellEnd"/>
      <w:r>
        <w:t xml:space="preserve"> R</w:t>
      </w:r>
      <w:r w:rsidR="007C7F05">
        <w:t>6</w:t>
      </w:r>
      <w:r>
        <w:t>] The amendment</w:t>
      </w:r>
      <w:r w:rsidRPr="0063246C">
        <w:t xml:space="preserve"> </w:t>
      </w:r>
      <w:r>
        <w:t xml:space="preserve">shall </w:t>
      </w:r>
      <w:r w:rsidRPr="00415FF2">
        <w:t xml:space="preserve">define modifications to the </w:t>
      </w:r>
      <w:r w:rsidR="00A564EC" w:rsidRPr="00A564EC">
        <w:t xml:space="preserve">PHY service interface of the High Throughput (HT), Very High Throughput (VHT), High Efficiency </w:t>
      </w:r>
      <w:r w:rsidR="00843537">
        <w:t>(</w:t>
      </w:r>
      <w:r w:rsidR="00A564EC" w:rsidRPr="00A564EC">
        <w:t>HE) and Extremely High Throughput (EHT) PHYs</w:t>
      </w:r>
      <w:r w:rsidR="00A564EC">
        <w:t xml:space="preserve"> </w:t>
      </w:r>
      <w:r w:rsidR="00A564EC" w:rsidRPr="00415FF2">
        <w:t xml:space="preserve">to enhance </w:t>
      </w:r>
      <w:r w:rsidR="00A564EC">
        <w:t>WLAN sensing operation</w:t>
      </w:r>
      <w:r w:rsidR="000134E9">
        <w:t xml:space="preserve">. </w:t>
      </w:r>
      <w:r w:rsidR="00482DD5" w:rsidRPr="004E0705">
        <w:t>[Ref-</w:t>
      </w:r>
      <w:r w:rsidR="00482DD5">
        <w:t>1</w:t>
      </w:r>
      <w:r w:rsidR="00482DD5" w:rsidRPr="004E0705">
        <w:t>]</w:t>
      </w:r>
      <w:r w:rsidR="00482DD5">
        <w:t xml:space="preserve"> and </w:t>
      </w:r>
      <w:r w:rsidR="00482DD5" w:rsidRPr="004E0705">
        <w:t>[Ref-</w:t>
      </w:r>
      <w:r w:rsidR="00482DD5">
        <w:t>2</w:t>
      </w:r>
      <w:r w:rsidR="00482DD5" w:rsidRPr="004E0705">
        <w:t>]</w:t>
      </w:r>
      <w:r w:rsidR="00482DD5">
        <w:t>.</w:t>
      </w:r>
    </w:p>
    <w:p w14:paraId="2D1E153C" w14:textId="4ADC0D53" w:rsidR="008F18FA" w:rsidRDefault="008F18FA" w:rsidP="008F18FA">
      <w:pPr>
        <w:pStyle w:val="Heading2"/>
      </w:pPr>
      <w:r>
        <w:t>2.4 MAC</w:t>
      </w:r>
    </w:p>
    <w:p w14:paraId="7C829742" w14:textId="1FBC4325" w:rsidR="008F18FA" w:rsidRDefault="008F18FA" w:rsidP="008F18FA">
      <w:pPr>
        <w:ind w:left="1080" w:hanging="1080"/>
      </w:pPr>
      <w:r>
        <w:t>[</w:t>
      </w:r>
      <w:proofErr w:type="spellStart"/>
      <w:r w:rsidR="00E46541">
        <w:t>TGbf</w:t>
      </w:r>
      <w:proofErr w:type="spellEnd"/>
      <w:r>
        <w:t xml:space="preserve"> R</w:t>
      </w:r>
      <w:r w:rsidR="00176B76">
        <w:t>7</w:t>
      </w:r>
      <w:r>
        <w:t>] The amendment</w:t>
      </w:r>
      <w:r w:rsidRPr="0063246C">
        <w:t xml:space="preserve"> </w:t>
      </w:r>
      <w:r>
        <w:t xml:space="preserve">shall </w:t>
      </w:r>
      <w:r w:rsidRPr="00415FF2">
        <w:t xml:space="preserve">define modifications to the </w:t>
      </w:r>
      <w:r w:rsidRPr="008F18FA">
        <w:t>IEEE 802.11 medium access control layer (MAC)</w:t>
      </w:r>
      <w:r w:rsidRPr="00A564EC">
        <w:t xml:space="preserve"> </w:t>
      </w:r>
      <w:r w:rsidRPr="00415FF2">
        <w:t xml:space="preserve">to enhance </w:t>
      </w:r>
      <w:r>
        <w:t xml:space="preserve">WLAN sensing operation. </w:t>
      </w:r>
      <w:r w:rsidRPr="004E0705">
        <w:t>[Ref-</w:t>
      </w:r>
      <w:r>
        <w:t>1</w:t>
      </w:r>
      <w:r w:rsidRPr="004E0705">
        <w:t>]</w:t>
      </w:r>
      <w:r>
        <w:t xml:space="preserve"> and </w:t>
      </w:r>
      <w:r w:rsidRPr="004E0705">
        <w:t>[Ref-</w:t>
      </w:r>
      <w:r>
        <w:t>2</w:t>
      </w:r>
      <w:r w:rsidRPr="004E0705">
        <w:t>]</w:t>
      </w:r>
      <w:r>
        <w:t>.</w:t>
      </w:r>
    </w:p>
    <w:p w14:paraId="60DDCFE3" w14:textId="6FCE5D1A" w:rsidR="00A75A5C" w:rsidRDefault="00A75A5C" w:rsidP="00A75A5C">
      <w:pPr>
        <w:pStyle w:val="Heading2"/>
      </w:pPr>
      <w:r>
        <w:t>2.</w:t>
      </w:r>
      <w:r w:rsidR="008F18FA">
        <w:t>5</w:t>
      </w:r>
      <w:r>
        <w:t xml:space="preserve"> Backward compatibility and coexistence</w:t>
      </w:r>
    </w:p>
    <w:p w14:paraId="387D34AC" w14:textId="134B7D3E" w:rsidR="00A75A5C" w:rsidRPr="00AC04A8" w:rsidRDefault="00A75A5C" w:rsidP="00C467E8">
      <w:pPr>
        <w:ind w:left="1080" w:hanging="1080"/>
      </w:pPr>
      <w:r>
        <w:t>[</w:t>
      </w:r>
      <w:proofErr w:type="spellStart"/>
      <w:r w:rsidR="00E46541">
        <w:t>TGbf</w:t>
      </w:r>
      <w:proofErr w:type="spellEnd"/>
      <w:r>
        <w:t xml:space="preserve"> R</w:t>
      </w:r>
      <w:r w:rsidR="00176B76">
        <w:t>8</w:t>
      </w:r>
      <w:r>
        <w:t>]</w:t>
      </w:r>
      <w:r w:rsidR="0063246C">
        <w:t xml:space="preserve"> The amendment</w:t>
      </w:r>
      <w:r w:rsidR="0063246C" w:rsidRPr="0063246C">
        <w:t xml:space="preserve"> </w:t>
      </w:r>
      <w:r w:rsidR="00626A33">
        <w:t xml:space="preserve">shall </w:t>
      </w:r>
      <w:r w:rsidR="0063246C" w:rsidRPr="0063246C">
        <w:t>provide backward compatibility and coexistence with legacy IEEE 802.11 devices operating in the same band</w:t>
      </w:r>
      <w:r w:rsidR="004E0705">
        <w:t xml:space="preserve">. </w:t>
      </w:r>
      <w:r w:rsidR="008E07F3" w:rsidRPr="004E0705">
        <w:t>[Ref-</w:t>
      </w:r>
      <w:r w:rsidR="008E07F3">
        <w:t>1</w:t>
      </w:r>
      <w:r w:rsidR="008E07F3" w:rsidRPr="004E0705">
        <w:t>]</w:t>
      </w:r>
      <w:r w:rsidR="008E07F3">
        <w:t xml:space="preserve"> and </w:t>
      </w:r>
      <w:r w:rsidR="008E07F3" w:rsidRPr="004E0705">
        <w:t>[Ref-</w:t>
      </w:r>
      <w:r w:rsidR="008E07F3">
        <w:t>2</w:t>
      </w:r>
      <w:r w:rsidR="008E07F3" w:rsidRPr="004E0705">
        <w:t>]</w:t>
      </w:r>
      <w:r w:rsidR="008E07F3">
        <w:t>.</w:t>
      </w:r>
    </w:p>
    <w:p w14:paraId="46D2F582" w14:textId="76E05708" w:rsidR="00A75A5C" w:rsidRDefault="00A75A5C" w:rsidP="00A75A5C">
      <w:pPr>
        <w:pStyle w:val="Heading2"/>
      </w:pPr>
      <w:r>
        <w:lastRenderedPageBreak/>
        <w:t>2.</w:t>
      </w:r>
      <w:r w:rsidR="008F18FA">
        <w:t>6</w:t>
      </w:r>
      <w:r>
        <w:t xml:space="preserve"> Compliance to PAR and CSD</w:t>
      </w:r>
    </w:p>
    <w:p w14:paraId="262161D5" w14:textId="450E79E4" w:rsidR="00A75A5C" w:rsidRDefault="00A75A5C" w:rsidP="00A75A5C">
      <w:r>
        <w:t>[</w:t>
      </w:r>
      <w:proofErr w:type="spellStart"/>
      <w:r w:rsidR="00E46541">
        <w:t>TGbf</w:t>
      </w:r>
      <w:proofErr w:type="spellEnd"/>
      <w:r>
        <w:t xml:space="preserve"> R</w:t>
      </w:r>
      <w:r w:rsidR="00176B76">
        <w:t>9</w:t>
      </w:r>
      <w:r>
        <w:t>] The amendment shall comply with the PAR [</w:t>
      </w:r>
      <w:r w:rsidR="00C90B0E">
        <w:t>Ref-</w:t>
      </w:r>
      <w:r w:rsidR="00851CF5">
        <w:t>1</w:t>
      </w:r>
      <w:r>
        <w:t>] and the CSD [</w:t>
      </w:r>
      <w:r w:rsidR="00C90B0E">
        <w:t>Ref-</w:t>
      </w:r>
      <w:r w:rsidR="00851CF5">
        <w:t>2</w:t>
      </w:r>
      <w:r>
        <w:t>].</w:t>
      </w:r>
    </w:p>
    <w:p w14:paraId="065AAAA1" w14:textId="5F509D9B" w:rsidR="00F94716" w:rsidRDefault="00F94716" w:rsidP="00A75A5C"/>
    <w:p w14:paraId="0F699E0F" w14:textId="77777777" w:rsidR="00A75A5C" w:rsidRDefault="00A75A5C" w:rsidP="00A75A5C">
      <w:pPr>
        <w:pStyle w:val="Heading1"/>
      </w:pPr>
      <w:r>
        <w:t>References</w:t>
      </w:r>
    </w:p>
    <w:p w14:paraId="61E161C4" w14:textId="00507E93" w:rsidR="00A75A5C" w:rsidRDefault="00A75A5C" w:rsidP="00A75A5C">
      <w:r w:rsidRPr="009E102F">
        <w:t>[</w:t>
      </w:r>
      <w:r w:rsidR="00C90B0E" w:rsidRPr="009E102F">
        <w:t>Ref-</w:t>
      </w:r>
      <w:r w:rsidRPr="009E102F">
        <w:t xml:space="preserve">1] </w:t>
      </w:r>
      <w:r w:rsidR="009E102F" w:rsidRPr="009E102F">
        <w:t>802.11 SENS SG Proposed PAR</w:t>
      </w:r>
      <w:r w:rsidR="00603B55">
        <w:t>,</w:t>
      </w:r>
      <w:r w:rsidR="009E102F" w:rsidRPr="009E102F">
        <w:t xml:space="preserve"> </w:t>
      </w:r>
      <w:hyperlink r:id="rId8" w:history="1">
        <w:r w:rsidR="00E5776C" w:rsidRPr="00785B4E">
          <w:rPr>
            <w:rStyle w:val="Hyperlink"/>
          </w:rPr>
          <w:t>https://mentor.ieee.org/802.11/dcn/19/11-19-2103-12-SENS-802-11-sens-sg-proposed-par.docx</w:t>
        </w:r>
      </w:hyperlink>
    </w:p>
    <w:p w14:paraId="1E707E83" w14:textId="6CAC2535" w:rsidR="00A75A5C" w:rsidRDefault="00A75A5C" w:rsidP="00A75A5C">
      <w:r w:rsidRPr="009E102F">
        <w:t>[</w:t>
      </w:r>
      <w:r w:rsidR="00C90B0E" w:rsidRPr="009E102F">
        <w:t>Ref-</w:t>
      </w:r>
      <w:r w:rsidRPr="009E102F">
        <w:t>2]</w:t>
      </w:r>
      <w:r w:rsidR="00016121" w:rsidRPr="009E102F">
        <w:t xml:space="preserve"> SENS SG proposed CSD draft, </w:t>
      </w:r>
      <w:hyperlink r:id="rId9" w:history="1">
        <w:r w:rsidR="00603B55" w:rsidRPr="00785B4E">
          <w:rPr>
            <w:rStyle w:val="Hyperlink"/>
          </w:rPr>
          <w:t>https://mentor.ieee.org/802.11/dcn/20/11-20-0042-06-SENS-sens-sg-proposed-csd-draft.docx</w:t>
        </w:r>
      </w:hyperlink>
    </w:p>
    <w:p w14:paraId="37D6EE61" w14:textId="3FCB3911" w:rsidR="00750180" w:rsidRDefault="00750180" w:rsidP="00A75A5C">
      <w:r w:rsidRPr="009E102F">
        <w:t>[Ref-3]</w:t>
      </w:r>
      <w:r w:rsidR="00670D85">
        <w:t xml:space="preserve"> </w:t>
      </w:r>
      <w:r w:rsidR="00670D85" w:rsidRPr="00670D85">
        <w:t>IEEE 802.11bf Selection Procedure</w:t>
      </w:r>
      <w:r w:rsidR="00670D85">
        <w:t xml:space="preserve">, </w:t>
      </w:r>
      <w:hyperlink r:id="rId10" w:history="1">
        <w:r w:rsidR="00730B8E" w:rsidRPr="00785B4E">
          <w:rPr>
            <w:rStyle w:val="Hyperlink"/>
          </w:rPr>
          <w:t>https://mentor.ieee.org/802.11/dcn/20/11-20-1812-00-00bf-ieee-802-11bf-selection-procedure.docx</w:t>
        </w:r>
      </w:hyperlink>
    </w:p>
    <w:p w14:paraId="1C921871" w14:textId="77777777" w:rsidR="00730B8E" w:rsidRPr="009E102F" w:rsidRDefault="00730B8E" w:rsidP="00A75A5C"/>
    <w:sectPr w:rsidR="00730B8E" w:rsidRPr="009E1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F668" w14:textId="77777777" w:rsidR="00321127" w:rsidRDefault="00321127">
      <w:r>
        <w:separator/>
      </w:r>
    </w:p>
  </w:endnote>
  <w:endnote w:type="continuationSeparator" w:id="0">
    <w:p w14:paraId="20E96919" w14:textId="77777777" w:rsidR="00321127" w:rsidRDefault="0032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C846" w14:textId="77777777" w:rsidR="00A018F2" w:rsidRDefault="00A0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4834" w14:textId="41C0869C" w:rsidR="0029020B" w:rsidRDefault="00B93A5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4080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316D6">
        <w:t>Claudio da Silva, Intel</w:t>
      </w:r>
    </w:fldSimple>
  </w:p>
  <w:p w14:paraId="4BCAA671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C386" w14:textId="77777777" w:rsidR="00A018F2" w:rsidRDefault="00A0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A325" w14:textId="77777777" w:rsidR="00321127" w:rsidRDefault="00321127">
      <w:r>
        <w:separator/>
      </w:r>
    </w:p>
  </w:footnote>
  <w:footnote w:type="continuationSeparator" w:id="0">
    <w:p w14:paraId="1EB51514" w14:textId="77777777" w:rsidR="00321127" w:rsidRDefault="0032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162B" w14:textId="77777777" w:rsidR="00A018F2" w:rsidRDefault="00A01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4248" w14:textId="21E0562C" w:rsidR="0029020B" w:rsidRDefault="00B93A5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E0B1D">
        <w:t>November</w:t>
      </w:r>
      <w:r w:rsidR="00C64EA5">
        <w:t xml:space="preserve"> </w:t>
      </w:r>
      <w:r w:rsidR="00803275">
        <w:t>2020</w:t>
      </w:r>
    </w:fldSimple>
    <w:r w:rsidR="0029020B">
      <w:tab/>
    </w:r>
    <w:r w:rsidR="0029020B">
      <w:tab/>
    </w:r>
    <w:fldSimple w:instr=" TITLE  \* MERGEFORMAT ">
      <w:r w:rsidR="00F4080B">
        <w:t>doc.: IEEE 802.11-</w:t>
      </w:r>
      <w:r w:rsidR="00803275">
        <w:t>20</w:t>
      </w:r>
      <w:r w:rsidR="00F4080B">
        <w:t>/</w:t>
      </w:r>
      <w:r w:rsidR="00865DB0">
        <w:t>1813r0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3247" w14:textId="77777777" w:rsidR="00A018F2" w:rsidRDefault="00A01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89B"/>
    <w:multiLevelType w:val="hybridMultilevel"/>
    <w:tmpl w:val="8B9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44DA"/>
    <w:multiLevelType w:val="hybridMultilevel"/>
    <w:tmpl w:val="2BF48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0B"/>
    <w:rsid w:val="00012CDF"/>
    <w:rsid w:val="00012E70"/>
    <w:rsid w:val="000134E9"/>
    <w:rsid w:val="00015BC7"/>
    <w:rsid w:val="00016121"/>
    <w:rsid w:val="00020638"/>
    <w:rsid w:val="00022CCA"/>
    <w:rsid w:val="00031689"/>
    <w:rsid w:val="00042F71"/>
    <w:rsid w:val="00056094"/>
    <w:rsid w:val="00077995"/>
    <w:rsid w:val="00085FAF"/>
    <w:rsid w:val="000C2B43"/>
    <w:rsid w:val="000D3B8A"/>
    <w:rsid w:val="000E0808"/>
    <w:rsid w:val="000F57CC"/>
    <w:rsid w:val="00103B15"/>
    <w:rsid w:val="0011022C"/>
    <w:rsid w:val="001164FE"/>
    <w:rsid w:val="00176B76"/>
    <w:rsid w:val="001B2870"/>
    <w:rsid w:val="001B6DAE"/>
    <w:rsid w:val="001B77EC"/>
    <w:rsid w:val="001C114F"/>
    <w:rsid w:val="001D2CB3"/>
    <w:rsid w:val="001D723B"/>
    <w:rsid w:val="001E0B1D"/>
    <w:rsid w:val="001E55CE"/>
    <w:rsid w:val="001F31B8"/>
    <w:rsid w:val="001F7428"/>
    <w:rsid w:val="00204C41"/>
    <w:rsid w:val="00246E52"/>
    <w:rsid w:val="0029020B"/>
    <w:rsid w:val="00293F66"/>
    <w:rsid w:val="002B502F"/>
    <w:rsid w:val="002B56D8"/>
    <w:rsid w:val="002B642B"/>
    <w:rsid w:val="002C169F"/>
    <w:rsid w:val="002D44BE"/>
    <w:rsid w:val="00314F29"/>
    <w:rsid w:val="00321127"/>
    <w:rsid w:val="00330A8B"/>
    <w:rsid w:val="00331AB9"/>
    <w:rsid w:val="00343861"/>
    <w:rsid w:val="0035730C"/>
    <w:rsid w:val="0036136E"/>
    <w:rsid w:val="00371EDD"/>
    <w:rsid w:val="003A345F"/>
    <w:rsid w:val="003C6126"/>
    <w:rsid w:val="003E14E5"/>
    <w:rsid w:val="003E5313"/>
    <w:rsid w:val="00415FF2"/>
    <w:rsid w:val="00416EE2"/>
    <w:rsid w:val="00421DE3"/>
    <w:rsid w:val="00425C3C"/>
    <w:rsid w:val="00432F92"/>
    <w:rsid w:val="00442037"/>
    <w:rsid w:val="004439B5"/>
    <w:rsid w:val="004476E4"/>
    <w:rsid w:val="00482DD5"/>
    <w:rsid w:val="00491B2E"/>
    <w:rsid w:val="004B03D2"/>
    <w:rsid w:val="004B064B"/>
    <w:rsid w:val="004E0705"/>
    <w:rsid w:val="004E1DAD"/>
    <w:rsid w:val="004E5AF7"/>
    <w:rsid w:val="0050482C"/>
    <w:rsid w:val="005113DB"/>
    <w:rsid w:val="00546898"/>
    <w:rsid w:val="005718C3"/>
    <w:rsid w:val="005753C3"/>
    <w:rsid w:val="00587B2B"/>
    <w:rsid w:val="005B4222"/>
    <w:rsid w:val="005B6F96"/>
    <w:rsid w:val="005C7566"/>
    <w:rsid w:val="00603B55"/>
    <w:rsid w:val="0062440B"/>
    <w:rsid w:val="00626A33"/>
    <w:rsid w:val="00626C47"/>
    <w:rsid w:val="0063246C"/>
    <w:rsid w:val="00643871"/>
    <w:rsid w:val="00666CC0"/>
    <w:rsid w:val="00667E3A"/>
    <w:rsid w:val="00670D85"/>
    <w:rsid w:val="00672D85"/>
    <w:rsid w:val="006976AC"/>
    <w:rsid w:val="006C0727"/>
    <w:rsid w:val="006C3A5C"/>
    <w:rsid w:val="006E145F"/>
    <w:rsid w:val="007068AA"/>
    <w:rsid w:val="00714D56"/>
    <w:rsid w:val="00730B8E"/>
    <w:rsid w:val="00750180"/>
    <w:rsid w:val="00767444"/>
    <w:rsid w:val="00770572"/>
    <w:rsid w:val="007905C5"/>
    <w:rsid w:val="007C6195"/>
    <w:rsid w:val="007C7F05"/>
    <w:rsid w:val="007D514E"/>
    <w:rsid w:val="00803275"/>
    <w:rsid w:val="00821D55"/>
    <w:rsid w:val="00825965"/>
    <w:rsid w:val="008431BE"/>
    <w:rsid w:val="00843537"/>
    <w:rsid w:val="00851CF5"/>
    <w:rsid w:val="00865DB0"/>
    <w:rsid w:val="00873632"/>
    <w:rsid w:val="008836AD"/>
    <w:rsid w:val="008B2BD5"/>
    <w:rsid w:val="008E07F3"/>
    <w:rsid w:val="008E42CA"/>
    <w:rsid w:val="008F18FA"/>
    <w:rsid w:val="00901E4D"/>
    <w:rsid w:val="00902420"/>
    <w:rsid w:val="009316D6"/>
    <w:rsid w:val="009B2A0D"/>
    <w:rsid w:val="009C1D94"/>
    <w:rsid w:val="009C7124"/>
    <w:rsid w:val="009E102F"/>
    <w:rsid w:val="009F1349"/>
    <w:rsid w:val="009F2FBC"/>
    <w:rsid w:val="00A018F2"/>
    <w:rsid w:val="00A14CC5"/>
    <w:rsid w:val="00A40E9F"/>
    <w:rsid w:val="00A564EC"/>
    <w:rsid w:val="00A626B2"/>
    <w:rsid w:val="00A75836"/>
    <w:rsid w:val="00A75A5C"/>
    <w:rsid w:val="00A81210"/>
    <w:rsid w:val="00AA427C"/>
    <w:rsid w:val="00AC04A8"/>
    <w:rsid w:val="00AD09CC"/>
    <w:rsid w:val="00AD09EC"/>
    <w:rsid w:val="00AD68FF"/>
    <w:rsid w:val="00B346F7"/>
    <w:rsid w:val="00B61F62"/>
    <w:rsid w:val="00B74561"/>
    <w:rsid w:val="00B93A58"/>
    <w:rsid w:val="00B93E97"/>
    <w:rsid w:val="00BC7953"/>
    <w:rsid w:val="00BD3E3C"/>
    <w:rsid w:val="00BE115E"/>
    <w:rsid w:val="00BE68C2"/>
    <w:rsid w:val="00BE7CEC"/>
    <w:rsid w:val="00C44E39"/>
    <w:rsid w:val="00C467E8"/>
    <w:rsid w:val="00C5406A"/>
    <w:rsid w:val="00C56958"/>
    <w:rsid w:val="00C64EA5"/>
    <w:rsid w:val="00C731D8"/>
    <w:rsid w:val="00C82079"/>
    <w:rsid w:val="00C90B0E"/>
    <w:rsid w:val="00CA09B2"/>
    <w:rsid w:val="00CB55CF"/>
    <w:rsid w:val="00CD1683"/>
    <w:rsid w:val="00D12745"/>
    <w:rsid w:val="00D630D2"/>
    <w:rsid w:val="00D73056"/>
    <w:rsid w:val="00D93012"/>
    <w:rsid w:val="00D93E48"/>
    <w:rsid w:val="00DA47AD"/>
    <w:rsid w:val="00DC0BEE"/>
    <w:rsid w:val="00DC5734"/>
    <w:rsid w:val="00DC5A7B"/>
    <w:rsid w:val="00DF1F90"/>
    <w:rsid w:val="00E0174E"/>
    <w:rsid w:val="00E029BA"/>
    <w:rsid w:val="00E26B71"/>
    <w:rsid w:val="00E43CD1"/>
    <w:rsid w:val="00E46541"/>
    <w:rsid w:val="00E5776C"/>
    <w:rsid w:val="00E82256"/>
    <w:rsid w:val="00EB71D9"/>
    <w:rsid w:val="00ED2F67"/>
    <w:rsid w:val="00ED4228"/>
    <w:rsid w:val="00F005FA"/>
    <w:rsid w:val="00F3304F"/>
    <w:rsid w:val="00F4080B"/>
    <w:rsid w:val="00F66F3F"/>
    <w:rsid w:val="00F72A7F"/>
    <w:rsid w:val="00F94716"/>
    <w:rsid w:val="00FC0F24"/>
    <w:rsid w:val="00FD6C8D"/>
    <w:rsid w:val="00FF632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79B56"/>
  <w15:chartTrackingRefBased/>
  <w15:docId w15:val="{81414B11-6927-4595-98E1-76A9FB7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0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0B0E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rsid w:val="000C2B4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E57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2103-12-SENS-802-11-sens-sg-proposed-par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0/11-20-1812-00-00bf-ieee-802-11bf-selection-procedur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042-06-SENS-sens-sg-proposed-csd-draft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4A50-29A6-4C4F-95B6-D4A86297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802.11-20/0780r1</vt:lpstr>
    </vt:vector>
  </TitlesOfParts>
  <Company>Some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802.11-20/1813r0</dc:title>
  <dc:subject>Submission</dc:subject>
  <dc:creator>Da Silva, Claudio</dc:creator>
  <cp:keywords>November 2020</cp:keywords>
  <dc:description>Claudio da Silva, Intel</dc:description>
  <cp:lastModifiedBy>Da Silva, Claudio</cp:lastModifiedBy>
  <cp:revision>34</cp:revision>
  <cp:lastPrinted>1900-01-01T08:00:00Z</cp:lastPrinted>
  <dcterms:created xsi:type="dcterms:W3CDTF">2020-11-09T20:55:00Z</dcterms:created>
  <dcterms:modified xsi:type="dcterms:W3CDTF">2020-11-17T16:57:00Z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46a21a56-8371-48f0-8cb0-114a15bf12a1</vt:lpwstr>
  </property>
  <property fmtid="{D5CDD505-2E9C-101B-9397-08002B2CF9AE}" pid="3" name="CTP_TimeStamp">
    <vt:lpwstr>2020-05-20 17:08:42Z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