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5F39A6">
            <w:pPr>
              <w:pStyle w:val="T2"/>
            </w:pPr>
            <w:r>
              <w:t>SA2 Comment Resolution – Miscellaneous Comments</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sidR="001B44C6">
              <w:rPr>
                <w:b w:val="0"/>
                <w:sz w:val="20"/>
              </w:rPr>
              <w:t xml:space="preserve">  2020-10-19</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5F39A6">
            <w:pPr>
              <w:pStyle w:val="T2"/>
              <w:spacing w:after="0"/>
              <w:ind w:left="0" w:right="0"/>
              <w:rPr>
                <w:b w:val="0"/>
                <w:sz w:val="20"/>
              </w:rPr>
            </w:pPr>
            <w:r>
              <w:rPr>
                <w:b w:val="0"/>
                <w:sz w:val="20"/>
              </w:rPr>
              <w:t>Osama Aboul-Magd</w:t>
            </w:r>
          </w:p>
        </w:tc>
        <w:tc>
          <w:tcPr>
            <w:tcW w:w="2064" w:type="dxa"/>
            <w:vAlign w:val="center"/>
          </w:tcPr>
          <w:p w:rsidR="00CA09B2" w:rsidRDefault="005F39A6">
            <w:pPr>
              <w:pStyle w:val="T2"/>
              <w:spacing w:after="0"/>
              <w:ind w:left="0" w:right="0"/>
              <w:rPr>
                <w:b w:val="0"/>
                <w:sz w:val="20"/>
              </w:rPr>
            </w:pPr>
            <w:r>
              <w:rPr>
                <w:b w:val="0"/>
                <w:sz w:val="20"/>
              </w:rPr>
              <w:t>Huawei Technologies</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5F39A6">
            <w:pPr>
              <w:pStyle w:val="T2"/>
              <w:spacing w:after="0"/>
              <w:ind w:left="0" w:right="0"/>
              <w:rPr>
                <w:b w:val="0"/>
                <w:sz w:val="16"/>
              </w:rPr>
            </w:pPr>
            <w:r>
              <w:rPr>
                <w:b w:val="0"/>
                <w:sz w:val="16"/>
              </w:rPr>
              <w:t>osama.aboulmagd@huawei.com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F39A6">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B44C6">
                            <w:pPr>
                              <w:jc w:val="both"/>
                            </w:pPr>
                            <w:r>
                              <w:t xml:space="preserve">This submission includes proposed resolutions to CIDs 25027, 25029, 25039, 25040, 25050, </w:t>
                            </w:r>
                            <w:r w:rsidR="005F39A6">
                              <w:t xml:space="preserve">and </w:t>
                            </w:r>
                            <w:r>
                              <w:t>25120</w:t>
                            </w:r>
                          </w:p>
                          <w:p w:rsidR="001B44C6" w:rsidRDefault="001B44C6">
                            <w:pPr>
                              <w:jc w:val="both"/>
                            </w:pPr>
                          </w:p>
                          <w:p w:rsidR="001B44C6" w:rsidRDefault="001B44C6">
                            <w:pPr>
                              <w:jc w:val="both"/>
                            </w:pPr>
                            <w:r>
                              <w:t>R0: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B44C6">
                      <w:pPr>
                        <w:jc w:val="both"/>
                      </w:pPr>
                      <w:r>
                        <w:t xml:space="preserve">This submission includes proposed resolutions to CIDs 25027, 25029, 25039, 25040, 25050, </w:t>
                      </w:r>
                      <w:r w:rsidR="005F39A6">
                        <w:t xml:space="preserve">and </w:t>
                      </w:r>
                      <w:r>
                        <w:t>25120</w:t>
                      </w:r>
                    </w:p>
                    <w:p w:rsidR="001B44C6" w:rsidRDefault="001B44C6">
                      <w:pPr>
                        <w:jc w:val="both"/>
                      </w:pPr>
                    </w:p>
                    <w:p w:rsidR="001B44C6" w:rsidRDefault="001B44C6">
                      <w:pPr>
                        <w:jc w:val="both"/>
                      </w:pPr>
                      <w:r>
                        <w:t>R0: Initial draft</w:t>
                      </w:r>
                    </w:p>
                  </w:txbxContent>
                </v:textbox>
              </v:shape>
            </w:pict>
          </mc:Fallback>
        </mc:AlternateContent>
      </w:r>
    </w:p>
    <w:p w:rsidR="005F39A6" w:rsidRDefault="005F39A6" w:rsidP="005F5457"/>
    <w:p w:rsidR="005F39A6" w:rsidRPr="005F39A6" w:rsidRDefault="005F39A6" w:rsidP="005F39A6"/>
    <w:p w:rsidR="005F39A6" w:rsidRPr="005F39A6" w:rsidRDefault="005F39A6" w:rsidP="005F39A6"/>
    <w:p w:rsidR="005F39A6" w:rsidRPr="005F39A6" w:rsidRDefault="005F39A6" w:rsidP="005F39A6"/>
    <w:p w:rsidR="005F39A6" w:rsidRPr="005F39A6" w:rsidRDefault="005F39A6" w:rsidP="005F39A6"/>
    <w:p w:rsidR="005F39A6" w:rsidRPr="005F39A6" w:rsidRDefault="005F39A6" w:rsidP="005F39A6">
      <w:bookmarkStart w:id="0" w:name="_GoBack"/>
      <w:bookmarkEnd w:id="0"/>
    </w:p>
    <w:p w:rsidR="005F39A6" w:rsidRPr="005F39A6" w:rsidRDefault="005F39A6" w:rsidP="005F39A6"/>
    <w:p w:rsidR="005F39A6" w:rsidRPr="005F39A6" w:rsidRDefault="005F39A6" w:rsidP="005F39A6"/>
    <w:p w:rsidR="005F39A6" w:rsidRPr="005F39A6" w:rsidRDefault="005F39A6" w:rsidP="005F39A6"/>
    <w:p w:rsidR="005F39A6" w:rsidRPr="005F39A6" w:rsidRDefault="005F39A6" w:rsidP="005F39A6"/>
    <w:p w:rsidR="005F39A6" w:rsidRPr="005F39A6" w:rsidRDefault="005F39A6" w:rsidP="005F39A6"/>
    <w:p w:rsidR="005F39A6" w:rsidRPr="005F39A6" w:rsidRDefault="005F39A6" w:rsidP="005F39A6"/>
    <w:p w:rsidR="005F39A6" w:rsidRPr="005F39A6" w:rsidRDefault="005F39A6" w:rsidP="005F39A6"/>
    <w:p w:rsidR="005F39A6" w:rsidRPr="005F39A6" w:rsidRDefault="005F39A6" w:rsidP="005F39A6"/>
    <w:p w:rsidR="005F39A6" w:rsidRPr="005F39A6" w:rsidRDefault="005F39A6" w:rsidP="005F39A6"/>
    <w:p w:rsidR="005F39A6" w:rsidRPr="005F39A6" w:rsidRDefault="005F39A6" w:rsidP="005F39A6"/>
    <w:p w:rsidR="005F39A6" w:rsidRPr="005F39A6" w:rsidRDefault="005F39A6" w:rsidP="005F39A6"/>
    <w:p w:rsidR="005F39A6" w:rsidRPr="005F39A6" w:rsidRDefault="005F39A6" w:rsidP="005F39A6"/>
    <w:p w:rsidR="005F39A6" w:rsidRDefault="005F39A6" w:rsidP="005F5457"/>
    <w:p w:rsidR="005F39A6" w:rsidRDefault="005F39A6" w:rsidP="005F39A6">
      <w:pPr>
        <w:tabs>
          <w:tab w:val="left" w:pos="7189"/>
        </w:tabs>
      </w:pPr>
      <w:r>
        <w:tab/>
      </w:r>
    </w:p>
    <w:p w:rsidR="005F5457" w:rsidRPr="005F39A6" w:rsidRDefault="00CA09B2">
      <w:r w:rsidRPr="005F39A6">
        <w:br w:type="page"/>
      </w:r>
      <w:r w:rsidR="005F5457">
        <w:lastRenderedPageBreak/>
        <w:t xml:space="preserve"> </w:t>
      </w:r>
    </w:p>
    <w:p w:rsidR="005F5457" w:rsidRDefault="005F5457"/>
    <w:tbl>
      <w:tblPr>
        <w:tblW w:w="10615" w:type="dxa"/>
        <w:tblInd w:w="113" w:type="dxa"/>
        <w:tblLook w:val="04A0" w:firstRow="1" w:lastRow="0" w:firstColumn="1" w:lastColumn="0" w:noHBand="0" w:noVBand="1"/>
      </w:tblPr>
      <w:tblGrid>
        <w:gridCol w:w="773"/>
        <w:gridCol w:w="871"/>
        <w:gridCol w:w="1051"/>
        <w:gridCol w:w="3001"/>
        <w:gridCol w:w="2309"/>
        <w:gridCol w:w="2610"/>
      </w:tblGrid>
      <w:tr w:rsidR="005F5457" w:rsidRPr="005F5457" w:rsidTr="00D62A2E">
        <w:trPr>
          <w:trHeight w:val="780"/>
        </w:trPr>
        <w:tc>
          <w:tcPr>
            <w:tcW w:w="773" w:type="dxa"/>
            <w:tcBorders>
              <w:top w:val="single" w:sz="4" w:space="0" w:color="000000"/>
              <w:left w:val="single" w:sz="4" w:space="0" w:color="000000"/>
              <w:bottom w:val="single" w:sz="8" w:space="0" w:color="000000"/>
              <w:right w:val="single" w:sz="4" w:space="0" w:color="000000"/>
            </w:tcBorders>
            <w:shd w:val="clear" w:color="auto" w:fill="auto"/>
            <w:hideMark/>
          </w:tcPr>
          <w:p w:rsidR="005F5457" w:rsidRPr="005F5457" w:rsidRDefault="005F5457" w:rsidP="005F5457">
            <w:pPr>
              <w:rPr>
                <w:rFonts w:ascii="Arial" w:hAnsi="Arial" w:cs="Arial"/>
                <w:b/>
                <w:bCs/>
                <w:sz w:val="20"/>
                <w:lang w:val="en-US" w:eastAsia="zh-CN"/>
              </w:rPr>
            </w:pPr>
            <w:r w:rsidRPr="005F5457">
              <w:rPr>
                <w:rFonts w:ascii="Arial" w:hAnsi="Arial" w:cs="Arial"/>
                <w:b/>
                <w:bCs/>
                <w:sz w:val="20"/>
                <w:lang w:val="en-US" w:eastAsia="zh-CN"/>
              </w:rPr>
              <w:t>CID</w:t>
            </w:r>
          </w:p>
        </w:tc>
        <w:tc>
          <w:tcPr>
            <w:tcW w:w="871" w:type="dxa"/>
            <w:tcBorders>
              <w:top w:val="single" w:sz="4" w:space="0" w:color="000000"/>
              <w:left w:val="single" w:sz="4" w:space="0" w:color="000000"/>
              <w:bottom w:val="single" w:sz="8" w:space="0" w:color="000000"/>
              <w:right w:val="single" w:sz="4" w:space="0" w:color="000000"/>
            </w:tcBorders>
            <w:shd w:val="clear" w:color="auto" w:fill="auto"/>
            <w:hideMark/>
          </w:tcPr>
          <w:p w:rsidR="005F5457" w:rsidRPr="005F5457" w:rsidRDefault="005F5457" w:rsidP="005F5457">
            <w:pPr>
              <w:rPr>
                <w:rFonts w:ascii="Arial" w:hAnsi="Arial" w:cs="Arial"/>
                <w:b/>
                <w:bCs/>
                <w:sz w:val="20"/>
                <w:lang w:val="en-US" w:eastAsia="zh-CN"/>
              </w:rPr>
            </w:pPr>
            <w:r w:rsidRPr="005F5457">
              <w:rPr>
                <w:rFonts w:ascii="Arial" w:hAnsi="Arial" w:cs="Arial"/>
                <w:b/>
                <w:bCs/>
                <w:sz w:val="20"/>
                <w:lang w:val="en-US" w:eastAsia="zh-CN"/>
              </w:rPr>
              <w:t>Page</w:t>
            </w:r>
          </w:p>
        </w:tc>
        <w:tc>
          <w:tcPr>
            <w:tcW w:w="1051" w:type="dxa"/>
            <w:tcBorders>
              <w:top w:val="single" w:sz="4" w:space="0" w:color="000000"/>
              <w:left w:val="single" w:sz="4" w:space="0" w:color="000000"/>
              <w:bottom w:val="single" w:sz="8" w:space="0" w:color="000000"/>
              <w:right w:val="single" w:sz="4" w:space="0" w:color="000000"/>
            </w:tcBorders>
            <w:shd w:val="clear" w:color="auto" w:fill="auto"/>
            <w:hideMark/>
          </w:tcPr>
          <w:p w:rsidR="005F5457" w:rsidRPr="005F5457" w:rsidRDefault="005F5457" w:rsidP="005F5457">
            <w:pPr>
              <w:rPr>
                <w:rFonts w:ascii="Arial" w:hAnsi="Arial" w:cs="Arial"/>
                <w:b/>
                <w:bCs/>
                <w:sz w:val="20"/>
                <w:lang w:val="en-US" w:eastAsia="zh-CN"/>
              </w:rPr>
            </w:pPr>
            <w:r w:rsidRPr="005F5457">
              <w:rPr>
                <w:rFonts w:ascii="Arial" w:hAnsi="Arial" w:cs="Arial"/>
                <w:b/>
                <w:bCs/>
                <w:sz w:val="20"/>
                <w:lang w:val="en-US" w:eastAsia="zh-CN"/>
              </w:rPr>
              <w:t>Clause</w:t>
            </w:r>
          </w:p>
        </w:tc>
        <w:tc>
          <w:tcPr>
            <w:tcW w:w="3001" w:type="dxa"/>
            <w:tcBorders>
              <w:top w:val="single" w:sz="4" w:space="0" w:color="000000"/>
              <w:left w:val="single" w:sz="4" w:space="0" w:color="000000"/>
              <w:bottom w:val="single" w:sz="8" w:space="0" w:color="000000"/>
              <w:right w:val="single" w:sz="4" w:space="0" w:color="000000"/>
            </w:tcBorders>
            <w:shd w:val="clear" w:color="auto" w:fill="auto"/>
            <w:hideMark/>
          </w:tcPr>
          <w:p w:rsidR="005F5457" w:rsidRPr="005F5457" w:rsidRDefault="005F5457" w:rsidP="005F5457">
            <w:pPr>
              <w:rPr>
                <w:rFonts w:ascii="Arial" w:hAnsi="Arial" w:cs="Arial"/>
                <w:b/>
                <w:bCs/>
                <w:sz w:val="20"/>
                <w:lang w:val="en-US" w:eastAsia="zh-CN"/>
              </w:rPr>
            </w:pPr>
            <w:r w:rsidRPr="005F5457">
              <w:rPr>
                <w:rFonts w:ascii="Arial" w:hAnsi="Arial" w:cs="Arial"/>
                <w:b/>
                <w:bCs/>
                <w:sz w:val="20"/>
                <w:lang w:val="en-US" w:eastAsia="zh-CN"/>
              </w:rPr>
              <w:t>Comment</w:t>
            </w:r>
          </w:p>
        </w:tc>
        <w:tc>
          <w:tcPr>
            <w:tcW w:w="2309" w:type="dxa"/>
            <w:tcBorders>
              <w:top w:val="single" w:sz="4" w:space="0" w:color="000000"/>
              <w:left w:val="single" w:sz="4" w:space="0" w:color="000000"/>
              <w:bottom w:val="single" w:sz="8" w:space="0" w:color="000000"/>
              <w:right w:val="single" w:sz="4" w:space="0" w:color="000000"/>
            </w:tcBorders>
            <w:shd w:val="clear" w:color="auto" w:fill="auto"/>
            <w:hideMark/>
          </w:tcPr>
          <w:p w:rsidR="005F5457" w:rsidRPr="005F5457" w:rsidRDefault="005F5457" w:rsidP="005F5457">
            <w:pPr>
              <w:rPr>
                <w:rFonts w:ascii="Arial" w:hAnsi="Arial" w:cs="Arial"/>
                <w:b/>
                <w:bCs/>
                <w:sz w:val="20"/>
                <w:lang w:val="en-US" w:eastAsia="zh-CN"/>
              </w:rPr>
            </w:pPr>
            <w:r w:rsidRPr="005F5457">
              <w:rPr>
                <w:rFonts w:ascii="Arial" w:hAnsi="Arial" w:cs="Arial"/>
                <w:b/>
                <w:bCs/>
                <w:sz w:val="20"/>
                <w:lang w:val="en-US" w:eastAsia="zh-CN"/>
              </w:rPr>
              <w:t>Proposed Change</w:t>
            </w:r>
          </w:p>
        </w:tc>
        <w:tc>
          <w:tcPr>
            <w:tcW w:w="2610" w:type="dxa"/>
            <w:tcBorders>
              <w:top w:val="single" w:sz="4" w:space="0" w:color="000000"/>
              <w:left w:val="single" w:sz="4" w:space="0" w:color="000000"/>
              <w:bottom w:val="single" w:sz="8" w:space="0" w:color="000000"/>
              <w:right w:val="single" w:sz="4" w:space="0" w:color="000000"/>
            </w:tcBorders>
            <w:shd w:val="clear" w:color="auto" w:fill="auto"/>
            <w:hideMark/>
          </w:tcPr>
          <w:p w:rsidR="005F5457" w:rsidRPr="005F5457" w:rsidRDefault="005F5457" w:rsidP="005F5457">
            <w:pPr>
              <w:rPr>
                <w:rFonts w:ascii="Arial" w:hAnsi="Arial" w:cs="Arial"/>
                <w:b/>
                <w:bCs/>
                <w:sz w:val="20"/>
                <w:lang w:val="en-US" w:eastAsia="zh-CN"/>
              </w:rPr>
            </w:pPr>
            <w:r w:rsidRPr="005F5457">
              <w:rPr>
                <w:rFonts w:ascii="Arial" w:hAnsi="Arial" w:cs="Arial"/>
                <w:b/>
                <w:bCs/>
                <w:sz w:val="20"/>
                <w:lang w:val="en-US" w:eastAsia="zh-CN"/>
              </w:rPr>
              <w:t>Resolution</w:t>
            </w:r>
          </w:p>
        </w:tc>
      </w:tr>
      <w:tr w:rsidR="005F5457" w:rsidRPr="005F5457" w:rsidTr="00D62A2E">
        <w:trPr>
          <w:trHeight w:val="3500"/>
        </w:trPr>
        <w:tc>
          <w:tcPr>
            <w:tcW w:w="773"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25027</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jc w:val="right"/>
              <w:rPr>
                <w:rFonts w:ascii="Arial" w:hAnsi="Arial" w:cs="Arial"/>
                <w:sz w:val="20"/>
                <w:lang w:val="en-US" w:eastAsia="zh-CN"/>
              </w:rPr>
            </w:pPr>
            <w:r w:rsidRPr="005F5457">
              <w:rPr>
                <w:rFonts w:ascii="Arial" w:hAnsi="Arial" w:cs="Arial"/>
                <w:sz w:val="20"/>
                <w:lang w:val="en-US" w:eastAsia="zh-CN"/>
              </w:rPr>
              <w:t>806</w:t>
            </w:r>
          </w:p>
        </w:tc>
        <w:tc>
          <w:tcPr>
            <w:tcW w:w="105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E.1</w:t>
            </w:r>
          </w:p>
        </w:tc>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According to Table E-4, some 6 GHz channels are defined to spread two 6 GHz sub-bands.</w:t>
            </w:r>
            <w:r w:rsidRPr="005F5457">
              <w:rPr>
                <w:rFonts w:ascii="Arial" w:hAnsi="Arial" w:cs="Arial"/>
                <w:sz w:val="20"/>
                <w:lang w:val="en-US" w:eastAsia="zh-CN"/>
              </w:rPr>
              <w:br/>
              <w:t>E.g., ch.115 (40 MHz), ch. 119 (80 MHz) and ch. 111 (160 MHz) are defined to spread UNII-6 and UNII-7. There are some other channels spreading from UNII-7 and UNII-8. A contiguous channel should not spread across the border of sub-bands.</w:t>
            </w:r>
          </w:p>
        </w:tc>
        <w:tc>
          <w:tcPr>
            <w:tcW w:w="2309"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The 6 GHz channelization should be defined as shown in the slide 8 of doc.11-19-2041-00.</w:t>
            </w:r>
          </w:p>
        </w:tc>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p>
        </w:tc>
      </w:tr>
      <w:tr w:rsidR="005F5457" w:rsidRPr="005F5457" w:rsidTr="00D62A2E">
        <w:trPr>
          <w:trHeight w:val="8190"/>
        </w:trPr>
        <w:tc>
          <w:tcPr>
            <w:tcW w:w="773"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25029</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jc w:val="right"/>
              <w:rPr>
                <w:rFonts w:ascii="Arial" w:hAnsi="Arial" w:cs="Arial"/>
                <w:sz w:val="20"/>
                <w:lang w:val="en-US" w:eastAsia="zh-CN"/>
              </w:rPr>
            </w:pPr>
            <w:r w:rsidRPr="005F5457">
              <w:rPr>
                <w:rFonts w:ascii="Arial" w:hAnsi="Arial" w:cs="Arial"/>
                <w:sz w:val="20"/>
                <w:lang w:val="en-US" w:eastAsia="zh-CN"/>
              </w:rPr>
              <w:t>358.65</w:t>
            </w:r>
          </w:p>
        </w:tc>
        <w:tc>
          <w:tcPr>
            <w:tcW w:w="105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26.4.3</w:t>
            </w:r>
          </w:p>
        </w:tc>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Consider the case w/o dynamic fragmentation:</w:t>
            </w:r>
            <w:r w:rsidRPr="005F5457">
              <w:rPr>
                <w:rFonts w:ascii="Arial" w:hAnsi="Arial" w:cs="Arial"/>
                <w:sz w:val="20"/>
                <w:lang w:val="en-US" w:eastAsia="zh-CN"/>
              </w:rPr>
              <w:br/>
            </w:r>
            <w:r w:rsidRPr="005F5457">
              <w:rPr>
                <w:rFonts w:ascii="Arial" w:hAnsi="Arial" w:cs="Arial"/>
                <w:sz w:val="20"/>
                <w:lang w:val="en-US" w:eastAsia="zh-CN"/>
              </w:rPr>
              <w:br/>
              <w:t>In 10.25.6.1:</w:t>
            </w:r>
            <w:r w:rsidRPr="005F5457">
              <w:rPr>
                <w:rFonts w:ascii="Arial" w:hAnsi="Arial" w:cs="Arial"/>
                <w:sz w:val="20"/>
                <w:lang w:val="en-US" w:eastAsia="zh-CN"/>
              </w:rPr>
              <w:br/>
              <w:t>“BitmapLength represents the maximum length, in bits, of the Block Ack Bitmap</w:t>
            </w:r>
            <w:r w:rsidRPr="005F5457">
              <w:rPr>
                <w:rFonts w:ascii="Arial" w:hAnsi="Arial" w:cs="Arial"/>
                <w:sz w:val="20"/>
                <w:lang w:val="en-US" w:eastAsia="zh-CN"/>
              </w:rPr>
              <w:br/>
              <w:t>subfield”</w:t>
            </w:r>
            <w:r w:rsidRPr="005F5457">
              <w:rPr>
                <w:rFonts w:ascii="Arial" w:hAnsi="Arial" w:cs="Arial"/>
                <w:sz w:val="20"/>
                <w:lang w:val="en-US" w:eastAsia="zh-CN"/>
              </w:rPr>
              <w:br/>
            </w:r>
            <w:r w:rsidRPr="005F5457">
              <w:rPr>
                <w:rFonts w:ascii="Arial" w:hAnsi="Arial" w:cs="Arial"/>
                <w:sz w:val="20"/>
                <w:lang w:val="en-US" w:eastAsia="zh-CN"/>
              </w:rPr>
              <w:br/>
              <w:t>Procedure in 10.25.6.1 sets the parameter BitmapLength &gt;= max value of negotiated buffer size in 3 different ranges in Table 26-1</w:t>
            </w:r>
            <w:r w:rsidRPr="005F5457">
              <w:rPr>
                <w:rFonts w:ascii="Arial" w:hAnsi="Arial" w:cs="Arial"/>
                <w:sz w:val="20"/>
                <w:lang w:val="en-US" w:eastAsia="zh-CN"/>
              </w:rPr>
              <w:br/>
            </w:r>
            <w:r w:rsidRPr="005F5457">
              <w:rPr>
                <w:rFonts w:ascii="Arial" w:hAnsi="Arial" w:cs="Arial"/>
                <w:sz w:val="20"/>
                <w:lang w:val="en-US" w:eastAsia="zh-CN"/>
              </w:rPr>
              <w:br/>
              <w:t>Procedure in 10.25.6.3 sets WinSize_R=min(BitmapLength, negotiated buffer size) = negotiated buffer size</w:t>
            </w:r>
            <w:r w:rsidRPr="005F5457">
              <w:rPr>
                <w:rFonts w:ascii="Arial" w:hAnsi="Arial" w:cs="Arial"/>
                <w:sz w:val="20"/>
                <w:lang w:val="en-US" w:eastAsia="zh-CN"/>
              </w:rPr>
              <w:br/>
            </w:r>
            <w:r w:rsidRPr="005F5457">
              <w:rPr>
                <w:rFonts w:ascii="Arial" w:hAnsi="Arial" w:cs="Arial"/>
                <w:sz w:val="20"/>
                <w:lang w:val="en-US" w:eastAsia="zh-CN"/>
              </w:rPr>
              <w:br/>
              <w:t>Procedures in 10.25.6.3, 10.25.6.4 in baseline always maintain WinEnd_R-WinStart_R+1=WinSize_R</w:t>
            </w:r>
            <w:r w:rsidRPr="005F5457">
              <w:rPr>
                <w:rFonts w:ascii="Arial" w:hAnsi="Arial" w:cs="Arial"/>
                <w:sz w:val="20"/>
                <w:lang w:val="en-US" w:eastAsia="zh-CN"/>
              </w:rPr>
              <w:br/>
            </w:r>
            <w:r w:rsidRPr="005F5457">
              <w:rPr>
                <w:rFonts w:ascii="Arial" w:hAnsi="Arial" w:cs="Arial"/>
                <w:sz w:val="20"/>
                <w:lang w:val="en-US" w:eastAsia="zh-CN"/>
              </w:rPr>
              <w:br/>
              <w:t>P358.65 “but shall be sufficient to include the recipient’s scoreboard state for MPDUs begin-</w:t>
            </w:r>
            <w:r w:rsidRPr="005F5457">
              <w:rPr>
                <w:rFonts w:ascii="Arial" w:hAnsi="Arial" w:cs="Arial"/>
                <w:sz w:val="20"/>
                <w:lang w:val="en-US" w:eastAsia="zh-CN"/>
              </w:rPr>
              <w:br/>
              <w:t xml:space="preserve">ning with the MPDU for which the Sequence Number subfield value is WinStartR and ending with the MPDU for which the Sequence Number subfield is WinEndR.” </w:t>
            </w:r>
            <w:r w:rsidRPr="005F5457">
              <w:rPr>
                <w:rFonts w:ascii="Arial" w:hAnsi="Arial" w:cs="Arial"/>
                <w:sz w:val="20"/>
                <w:highlight w:val="yellow"/>
                <w:lang w:val="en-US" w:eastAsia="zh-CN"/>
              </w:rPr>
              <w:t>This means bitmap size of a BA shall &gt;=WinSize_R=negotiated buffer size</w:t>
            </w:r>
            <w:r w:rsidRPr="005F5457">
              <w:rPr>
                <w:rFonts w:ascii="Arial" w:hAnsi="Arial" w:cs="Arial"/>
                <w:sz w:val="20"/>
                <w:highlight w:val="yellow"/>
                <w:lang w:val="en-US" w:eastAsia="zh-CN"/>
              </w:rPr>
              <w:br/>
            </w:r>
            <w:r w:rsidRPr="005F5457">
              <w:rPr>
                <w:rFonts w:ascii="Arial" w:hAnsi="Arial" w:cs="Arial"/>
                <w:sz w:val="20"/>
                <w:highlight w:val="yellow"/>
                <w:lang w:val="en-US" w:eastAsia="zh-CN"/>
              </w:rPr>
              <w:lastRenderedPageBreak/>
              <w:br/>
              <w:t xml:space="preserve">Then in Table 26-1 </w:t>
            </w:r>
            <w:r w:rsidRPr="005F5457">
              <w:rPr>
                <w:rFonts w:ascii="Arial" w:hAnsi="Arial" w:cs="Arial"/>
                <w:sz w:val="20"/>
                <w:highlight w:val="yellow"/>
                <w:lang w:val="en-US" w:eastAsia="zh-CN"/>
              </w:rPr>
              <w:br/>
              <w:t>row 3, column 2 “64 or 128”, 64 is not possible because it is less than the negotiated buffer size</w:t>
            </w:r>
            <w:r w:rsidRPr="005F5457">
              <w:rPr>
                <w:rFonts w:ascii="Arial" w:hAnsi="Arial" w:cs="Arial"/>
                <w:sz w:val="20"/>
                <w:highlight w:val="yellow"/>
                <w:lang w:val="en-US" w:eastAsia="zh-CN"/>
              </w:rPr>
              <w:br/>
              <w:t>row 3, column 3 “32, 64 or 128”, 32 and 64 are not possible because they are less than the negotiated buffer size</w:t>
            </w:r>
            <w:r w:rsidRPr="005F5457">
              <w:rPr>
                <w:rFonts w:ascii="Arial" w:hAnsi="Arial" w:cs="Arial"/>
                <w:sz w:val="20"/>
                <w:highlight w:val="yellow"/>
                <w:lang w:val="en-US" w:eastAsia="zh-CN"/>
              </w:rPr>
              <w:br/>
              <w:t>row 4, column 2 “64 or 256”, 64 is not possible because it is less than the negotiated buffer size</w:t>
            </w:r>
            <w:r w:rsidRPr="005F5457">
              <w:rPr>
                <w:rFonts w:ascii="Arial" w:hAnsi="Arial" w:cs="Arial"/>
                <w:sz w:val="20"/>
                <w:highlight w:val="yellow"/>
                <w:lang w:val="en-US" w:eastAsia="zh-CN"/>
              </w:rPr>
              <w:br/>
              <w:t>row 4, column 3 “32, 64, 28 or 256”, 32,64 and 128 are not possible because they are less than the negotiated buffer size</w:t>
            </w:r>
          </w:p>
        </w:tc>
        <w:tc>
          <w:tcPr>
            <w:tcW w:w="2309"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lastRenderedPageBreak/>
              <w:t>Remove “but shall be sufficient to include the recipient’s scoreboard state for MPDUs begin-</w:t>
            </w:r>
            <w:r w:rsidRPr="005F5457">
              <w:rPr>
                <w:rFonts w:ascii="Arial" w:hAnsi="Arial" w:cs="Arial"/>
                <w:sz w:val="20"/>
                <w:lang w:val="en-US" w:eastAsia="zh-CN"/>
              </w:rPr>
              <w:br/>
              <w:t>ning with the MPDU for which the Sequence Number subfield value is WinStartR and ending with the MPDU for which the Sequence Number subfield is WinEndR.”</w:t>
            </w:r>
          </w:p>
        </w:tc>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F12512" w:rsidRDefault="00F12512" w:rsidP="005F5457">
            <w:pPr>
              <w:rPr>
                <w:rFonts w:ascii="Arial" w:hAnsi="Arial" w:cs="Arial"/>
                <w:sz w:val="20"/>
                <w:lang w:val="en-US" w:eastAsia="zh-CN"/>
              </w:rPr>
            </w:pPr>
            <w:r>
              <w:rPr>
                <w:rFonts w:ascii="Arial" w:hAnsi="Arial" w:cs="Arial"/>
                <w:sz w:val="20"/>
                <w:lang w:val="en-US" w:eastAsia="zh-CN"/>
              </w:rPr>
              <w:t>Proposed resolution #1:</w:t>
            </w:r>
          </w:p>
          <w:p w:rsidR="00F12512" w:rsidRDefault="00F12512" w:rsidP="005F5457">
            <w:pPr>
              <w:rPr>
                <w:rFonts w:ascii="Arial" w:hAnsi="Arial" w:cs="Arial"/>
                <w:sz w:val="20"/>
                <w:lang w:val="en-US" w:eastAsia="zh-CN"/>
              </w:rPr>
            </w:pPr>
          </w:p>
          <w:p w:rsidR="00F12512" w:rsidRDefault="00F12512" w:rsidP="005F5457">
            <w:pPr>
              <w:rPr>
                <w:rFonts w:ascii="Arial" w:hAnsi="Arial" w:cs="Arial"/>
                <w:bCs/>
                <w:sz w:val="20"/>
                <w:lang w:eastAsia="zh-CN"/>
              </w:rPr>
            </w:pPr>
            <w:r w:rsidRPr="00F12512">
              <w:rPr>
                <w:rFonts w:ascii="Arial" w:hAnsi="Arial" w:cs="Arial"/>
                <w:bCs/>
                <w:sz w:val="20"/>
                <w:lang w:eastAsia="zh-CN"/>
              </w:rPr>
              <w:t>Rejected.  The comment is out of scope:  i.e., it is not on changed text, text affected by changed text or text that is the target of an existing valid unsatisfied comment</w:t>
            </w:r>
          </w:p>
          <w:p w:rsidR="00F12512" w:rsidRDefault="00F12512" w:rsidP="005F5457">
            <w:pPr>
              <w:rPr>
                <w:rFonts w:ascii="Arial" w:hAnsi="Arial" w:cs="Arial"/>
                <w:bCs/>
                <w:sz w:val="20"/>
                <w:lang w:eastAsia="zh-CN"/>
              </w:rPr>
            </w:pPr>
          </w:p>
          <w:p w:rsidR="00F12512" w:rsidRDefault="00F12512" w:rsidP="005F5457">
            <w:pPr>
              <w:rPr>
                <w:rFonts w:ascii="Arial" w:hAnsi="Arial" w:cs="Arial"/>
                <w:bCs/>
                <w:sz w:val="20"/>
                <w:lang w:eastAsia="zh-CN"/>
              </w:rPr>
            </w:pPr>
          </w:p>
          <w:p w:rsidR="00F12512" w:rsidRDefault="00F12512" w:rsidP="005F5457">
            <w:pPr>
              <w:rPr>
                <w:rFonts w:ascii="Arial" w:hAnsi="Arial" w:cs="Arial"/>
                <w:bCs/>
                <w:sz w:val="20"/>
                <w:lang w:eastAsia="zh-CN"/>
              </w:rPr>
            </w:pPr>
            <w:r>
              <w:rPr>
                <w:rFonts w:ascii="Arial" w:hAnsi="Arial" w:cs="Arial"/>
                <w:bCs/>
                <w:sz w:val="20"/>
                <w:lang w:eastAsia="zh-CN"/>
              </w:rPr>
              <w:t>Proposed Resolution #2:</w:t>
            </w:r>
          </w:p>
          <w:p w:rsidR="00F12512" w:rsidRDefault="00F12512" w:rsidP="005F5457">
            <w:pPr>
              <w:rPr>
                <w:rFonts w:ascii="Arial" w:hAnsi="Arial" w:cs="Arial"/>
                <w:bCs/>
                <w:sz w:val="20"/>
                <w:lang w:eastAsia="zh-CN"/>
              </w:rPr>
            </w:pPr>
          </w:p>
          <w:p w:rsidR="00F12512" w:rsidRPr="005F5457" w:rsidRDefault="00F12512" w:rsidP="005F5457">
            <w:pPr>
              <w:rPr>
                <w:rFonts w:ascii="Arial" w:hAnsi="Arial" w:cs="Arial"/>
                <w:sz w:val="20"/>
                <w:lang w:val="en-US" w:eastAsia="zh-CN"/>
              </w:rPr>
            </w:pPr>
            <w:r>
              <w:rPr>
                <w:rFonts w:ascii="Arial" w:hAnsi="Arial" w:cs="Arial"/>
                <w:bCs/>
                <w:sz w:val="20"/>
                <w:lang w:eastAsia="zh-CN"/>
              </w:rPr>
              <w:t>Accepted</w:t>
            </w:r>
          </w:p>
        </w:tc>
      </w:tr>
      <w:tr w:rsidR="005F5457" w:rsidRPr="005F5457" w:rsidTr="00D62A2E">
        <w:trPr>
          <w:trHeight w:val="4500"/>
        </w:trPr>
        <w:tc>
          <w:tcPr>
            <w:tcW w:w="773"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25039</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jc w:val="right"/>
              <w:rPr>
                <w:rFonts w:ascii="Arial" w:hAnsi="Arial" w:cs="Arial"/>
                <w:sz w:val="20"/>
                <w:lang w:val="en-US" w:eastAsia="zh-CN"/>
              </w:rPr>
            </w:pPr>
            <w:r w:rsidRPr="005F5457">
              <w:rPr>
                <w:rFonts w:ascii="Arial" w:hAnsi="Arial" w:cs="Arial"/>
                <w:sz w:val="20"/>
                <w:lang w:val="en-US" w:eastAsia="zh-CN"/>
              </w:rPr>
              <w:t>177.51</w:t>
            </w:r>
          </w:p>
        </w:tc>
        <w:tc>
          <w:tcPr>
            <w:tcW w:w="105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9.4.2.161</w:t>
            </w:r>
          </w:p>
        </w:tc>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 xml:space="preserve">The comment requested by a non-member of this TGax SA Ballot (Young-hoon Kwon). </w:t>
            </w:r>
            <w:r w:rsidRPr="005F5457">
              <w:rPr>
                <w:rFonts w:ascii="Arial" w:hAnsi="Arial" w:cs="Arial"/>
                <w:sz w:val="20"/>
                <w:lang w:val="en-US" w:eastAsia="zh-CN"/>
              </w:rPr>
              <w:br/>
              <w:t>It is possible that AP's operating BSS bandwidth is greater than HE BSS bandwidth in the future. (e.g., AP is an EHT AP. And the AP's operating BW includes channel puncturing.) As the Transmit Power Envelope element can be used for both HE STAs and future (e.g., EHT STAs), it is too restrictive if we don't allow cases that N*20MHz is greater than HE BSS bandwidth.</w:t>
            </w:r>
          </w:p>
        </w:tc>
        <w:tc>
          <w:tcPr>
            <w:tcW w:w="2309"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Need a mechanism that HE STA can identify PSD of HE BSS bandwidth when the AP's operating BSS bandwidth is greater than HE BSS bandwidth and the HE BSS bandwidth is less than 160MHz.</w:t>
            </w:r>
          </w:p>
        </w:tc>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5D07F7" w:rsidRPr="005D07F7" w:rsidRDefault="00556483" w:rsidP="005D07F7">
            <w:pPr>
              <w:rPr>
                <w:rFonts w:ascii="Arial" w:hAnsi="Arial" w:cs="Arial"/>
                <w:bCs/>
                <w:sz w:val="20"/>
                <w:lang w:eastAsia="zh-CN"/>
              </w:rPr>
            </w:pPr>
            <w:r w:rsidRPr="005D07F7">
              <w:rPr>
                <w:rFonts w:ascii="Arial" w:hAnsi="Arial" w:cs="Arial"/>
                <w:bCs/>
                <w:sz w:val="20"/>
                <w:lang w:eastAsia="zh-CN"/>
              </w:rPr>
              <w:t xml:space="preserve">Rejected. </w:t>
            </w:r>
          </w:p>
          <w:p w:rsidR="005D07F7" w:rsidRPr="005D07F7" w:rsidRDefault="005D07F7" w:rsidP="005D07F7">
            <w:pPr>
              <w:rPr>
                <w:rFonts w:ascii="Arial" w:hAnsi="Arial" w:cs="Arial"/>
                <w:bCs/>
                <w:sz w:val="20"/>
                <w:lang w:eastAsia="zh-CN"/>
              </w:rPr>
            </w:pPr>
          </w:p>
          <w:p w:rsidR="00000000" w:rsidRPr="005D07F7" w:rsidRDefault="00556483" w:rsidP="005D07F7">
            <w:pPr>
              <w:rPr>
                <w:rFonts w:ascii="Arial" w:hAnsi="Arial" w:cs="Arial"/>
                <w:sz w:val="20"/>
                <w:lang w:val="en-US" w:eastAsia="zh-CN"/>
              </w:rPr>
            </w:pPr>
            <w:r w:rsidRPr="005D07F7">
              <w:rPr>
                <w:rFonts w:ascii="Arial" w:hAnsi="Arial" w:cs="Arial"/>
                <w:bCs/>
                <w:sz w:val="20"/>
                <w:lang w:eastAsia="zh-CN"/>
              </w:rPr>
              <w:t>The comment fails to identify changes in sufficient detail so that the specific wording of the changes that will satisfy the commenter can be determined.</w:t>
            </w:r>
          </w:p>
          <w:p w:rsidR="005F5457" w:rsidRPr="005F5457" w:rsidRDefault="005F5457" w:rsidP="005F5457">
            <w:pPr>
              <w:rPr>
                <w:rFonts w:ascii="Arial" w:hAnsi="Arial" w:cs="Arial"/>
                <w:sz w:val="20"/>
                <w:lang w:val="en-US" w:eastAsia="zh-CN"/>
              </w:rPr>
            </w:pPr>
          </w:p>
        </w:tc>
      </w:tr>
      <w:tr w:rsidR="005F5457" w:rsidRPr="005F5457" w:rsidTr="00D62A2E">
        <w:trPr>
          <w:trHeight w:val="4250"/>
        </w:trPr>
        <w:tc>
          <w:tcPr>
            <w:tcW w:w="773"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lastRenderedPageBreak/>
              <w:t>25040</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jc w:val="right"/>
              <w:rPr>
                <w:rFonts w:ascii="Arial" w:hAnsi="Arial" w:cs="Arial"/>
                <w:sz w:val="20"/>
                <w:lang w:val="en-US" w:eastAsia="zh-CN"/>
              </w:rPr>
            </w:pPr>
            <w:r w:rsidRPr="005F5457">
              <w:rPr>
                <w:rFonts w:ascii="Arial" w:hAnsi="Arial" w:cs="Arial"/>
                <w:sz w:val="20"/>
                <w:lang w:val="en-US" w:eastAsia="zh-CN"/>
              </w:rPr>
              <w:t>178.07</w:t>
            </w:r>
          </w:p>
        </w:tc>
        <w:tc>
          <w:tcPr>
            <w:tcW w:w="105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9.4.2.161</w:t>
            </w:r>
          </w:p>
        </w:tc>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 xml:space="preserve">The comment requested by a non-member of this TGax SA Ballot (Young-hoon Kwon). </w:t>
            </w:r>
            <w:r w:rsidRPr="005F5457">
              <w:rPr>
                <w:rFonts w:ascii="Arial" w:hAnsi="Arial" w:cs="Arial"/>
                <w:sz w:val="20"/>
                <w:lang w:val="en-US" w:eastAsia="zh-CN"/>
              </w:rPr>
              <w:br/>
              <w:t>N&gt;8 corresponds to a case that the AP's operating BSS bandwidth is greater than HE BSS bandwidth such as 320MHz, and in this case non-AP STAs only checks PSD values that correspond to HE BSS bandwidth. However, AP's operating BSS bandwidth can be greater than HE BSS bandwidth even when HE BSS bandwidth is less than 160MHz (e.g., if there's a channel puncturing).</w:t>
            </w:r>
          </w:p>
        </w:tc>
        <w:tc>
          <w:tcPr>
            <w:tcW w:w="2309"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Need a mechanism that HE STA can identify PSD of HE BSS bandwidth when the AP's operating BSS bandwidth is greater than HE BSS bandwidth and the HE BSS bandwidth is less than 160MHz.</w:t>
            </w:r>
          </w:p>
        </w:tc>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5D07F7" w:rsidRPr="005D07F7" w:rsidRDefault="005D07F7" w:rsidP="005D07F7">
            <w:pPr>
              <w:rPr>
                <w:rFonts w:ascii="Arial" w:hAnsi="Arial" w:cs="Arial"/>
                <w:bCs/>
                <w:sz w:val="20"/>
                <w:lang w:eastAsia="zh-CN"/>
              </w:rPr>
            </w:pPr>
            <w:r w:rsidRPr="005D07F7">
              <w:rPr>
                <w:rFonts w:ascii="Arial" w:hAnsi="Arial" w:cs="Arial"/>
                <w:bCs/>
                <w:sz w:val="20"/>
                <w:lang w:eastAsia="zh-CN"/>
              </w:rPr>
              <w:t xml:space="preserve">Rejected. </w:t>
            </w:r>
          </w:p>
          <w:p w:rsidR="005D07F7" w:rsidRPr="005D07F7" w:rsidRDefault="005D07F7" w:rsidP="005D07F7">
            <w:pPr>
              <w:rPr>
                <w:rFonts w:ascii="Arial" w:hAnsi="Arial" w:cs="Arial"/>
                <w:bCs/>
                <w:sz w:val="20"/>
                <w:lang w:eastAsia="zh-CN"/>
              </w:rPr>
            </w:pPr>
          </w:p>
          <w:p w:rsidR="005D07F7" w:rsidRPr="005D07F7" w:rsidRDefault="005D07F7" w:rsidP="005D07F7">
            <w:pPr>
              <w:rPr>
                <w:rFonts w:ascii="Arial" w:hAnsi="Arial" w:cs="Arial"/>
                <w:sz w:val="20"/>
                <w:lang w:val="en-US" w:eastAsia="zh-CN"/>
              </w:rPr>
            </w:pPr>
            <w:r w:rsidRPr="005D07F7">
              <w:rPr>
                <w:rFonts w:ascii="Arial" w:hAnsi="Arial" w:cs="Arial"/>
                <w:bCs/>
                <w:sz w:val="20"/>
                <w:lang w:eastAsia="zh-CN"/>
              </w:rPr>
              <w:t>The comment fails to identify changes in sufficient detail so that the specific wording of the changes that will satisfy the commenter can be determined.</w:t>
            </w:r>
          </w:p>
          <w:p w:rsidR="005F5457" w:rsidRPr="005F5457" w:rsidRDefault="005F5457" w:rsidP="005F5457">
            <w:pPr>
              <w:rPr>
                <w:rFonts w:ascii="Arial" w:hAnsi="Arial" w:cs="Arial"/>
                <w:sz w:val="20"/>
                <w:lang w:val="en-US" w:eastAsia="zh-CN"/>
              </w:rPr>
            </w:pPr>
          </w:p>
        </w:tc>
      </w:tr>
      <w:tr w:rsidR="005F5457" w:rsidRPr="005F5457" w:rsidTr="00D62A2E">
        <w:trPr>
          <w:trHeight w:val="3500"/>
        </w:trPr>
        <w:tc>
          <w:tcPr>
            <w:tcW w:w="773"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25050</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jc w:val="right"/>
              <w:rPr>
                <w:rFonts w:ascii="Arial" w:hAnsi="Arial" w:cs="Arial"/>
                <w:sz w:val="20"/>
                <w:lang w:val="en-US" w:eastAsia="zh-CN"/>
              </w:rPr>
            </w:pPr>
            <w:r w:rsidRPr="005F5457">
              <w:rPr>
                <w:rFonts w:ascii="Arial" w:hAnsi="Arial" w:cs="Arial"/>
                <w:sz w:val="20"/>
                <w:lang w:val="en-US" w:eastAsia="zh-CN"/>
              </w:rPr>
              <w:t>452.43</w:t>
            </w:r>
          </w:p>
        </w:tc>
        <w:tc>
          <w:tcPr>
            <w:tcW w:w="105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26.10.3.4</w:t>
            </w:r>
          </w:p>
        </w:tc>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"should be set to the expected receive signal power indicated by the UL</w:t>
            </w:r>
            <w:r w:rsidRPr="005F5457">
              <w:rPr>
                <w:rFonts w:ascii="Arial" w:hAnsi="Arial" w:cs="Arial"/>
                <w:sz w:val="20"/>
                <w:lang w:val="en-US" w:eastAsia="zh-CN"/>
              </w:rPr>
              <w:br/>
              <w:t>Target Receive Power subfield in the Trigger frame minus the minimum SNR value that yields</w:t>
            </w:r>
            <w:r w:rsidRPr="005F5457">
              <w:rPr>
                <w:rFonts w:ascii="Arial" w:hAnsi="Arial" w:cs="Arial"/>
                <w:sz w:val="20"/>
                <w:lang w:val="en-US" w:eastAsia="zh-CN"/>
              </w:rPr>
              <w:br/>
              <w:t>≤ 10% PER for the highest HE-MCS of the ensuing uplink HE TB PPDU" -- this is undefined if the power indicated as "as loud as you can" (represented by 127)</w:t>
            </w:r>
          </w:p>
        </w:tc>
        <w:tc>
          <w:tcPr>
            <w:tcW w:w="2309"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Change to "should be set to the expected receive signal power indicated by the UL</w:t>
            </w:r>
            <w:r w:rsidRPr="005F5457">
              <w:rPr>
                <w:rFonts w:ascii="Arial" w:hAnsi="Arial" w:cs="Arial"/>
                <w:sz w:val="20"/>
                <w:lang w:val="en-US" w:eastAsia="zh-CN"/>
              </w:rPr>
              <w:br/>
              <w:t>Target Receive Power subfield in the Trigger frame minus the minimum SNR value that yields</w:t>
            </w:r>
            <w:r w:rsidRPr="005F5457">
              <w:rPr>
                <w:rFonts w:ascii="Arial" w:hAnsi="Arial" w:cs="Arial"/>
                <w:sz w:val="20"/>
                <w:lang w:val="en-US" w:eastAsia="zh-CN"/>
              </w:rPr>
              <w:br/>
              <w:t>≤ 10% PER for the highest HE-MCS of the ensuing uplink HE TB PPDU, or to 1000 dBm if that subfield indicated transmission at the STA’s maximum transmit power for the assigned HE-MCS."</w:t>
            </w:r>
          </w:p>
        </w:tc>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1B44C6" w:rsidP="005F5457">
            <w:pPr>
              <w:rPr>
                <w:rFonts w:ascii="Arial" w:hAnsi="Arial" w:cs="Arial"/>
                <w:sz w:val="20"/>
                <w:lang w:val="en-US" w:eastAsia="zh-CN"/>
              </w:rPr>
            </w:pPr>
            <w:r>
              <w:rPr>
                <w:rFonts w:ascii="Arial" w:hAnsi="Arial" w:cs="Arial"/>
                <w:sz w:val="20"/>
                <w:lang w:val="en-US" w:eastAsia="zh-CN"/>
              </w:rPr>
              <w:t>Accepted (?)</w:t>
            </w:r>
          </w:p>
        </w:tc>
      </w:tr>
      <w:tr w:rsidR="005F5457" w:rsidRPr="005F5457" w:rsidTr="00D62A2E">
        <w:trPr>
          <w:trHeight w:val="4000"/>
        </w:trPr>
        <w:tc>
          <w:tcPr>
            <w:tcW w:w="773"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25120</w:t>
            </w:r>
          </w:p>
        </w:tc>
        <w:tc>
          <w:tcPr>
            <w:tcW w:w="87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jc w:val="right"/>
              <w:rPr>
                <w:rFonts w:ascii="Arial" w:hAnsi="Arial" w:cs="Arial"/>
                <w:sz w:val="20"/>
                <w:lang w:val="en-US" w:eastAsia="zh-CN"/>
              </w:rPr>
            </w:pPr>
            <w:r w:rsidRPr="005F5457">
              <w:rPr>
                <w:rFonts w:ascii="Arial" w:hAnsi="Arial" w:cs="Arial"/>
                <w:sz w:val="20"/>
                <w:lang w:val="en-US" w:eastAsia="zh-CN"/>
              </w:rPr>
              <w:t>452.34</w:t>
            </w:r>
          </w:p>
        </w:tc>
        <w:tc>
          <w:tcPr>
            <w:tcW w:w="105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26.10.3.4</w:t>
            </w:r>
          </w:p>
        </w:tc>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"the total power at the antenna connector, in dBm, for that 20 MHz subchannel, over all</w:t>
            </w:r>
            <w:r w:rsidRPr="005F5457">
              <w:rPr>
                <w:rFonts w:ascii="Arial" w:hAnsi="Arial" w:cs="Arial"/>
                <w:sz w:val="20"/>
                <w:lang w:val="en-US" w:eastAsia="zh-CN"/>
              </w:rPr>
              <w:br/>
              <w:t>antennas used to transmit the PSRR PPDU containing the Trigger frame for each 20 MHz sub-</w:t>
            </w:r>
            <w:r w:rsidRPr="005F5457">
              <w:rPr>
                <w:rFonts w:ascii="Arial" w:hAnsi="Arial" w:cs="Arial"/>
                <w:sz w:val="20"/>
                <w:lang w:val="en-US" w:eastAsia="zh-CN"/>
              </w:rPr>
              <w:br/>
              <w:t>channel for a 20 MHz, 40 MHz, or 80 MHz PPDU or in each of the 40 MHz subchannels for</w:t>
            </w:r>
            <w:r w:rsidRPr="005F5457">
              <w:rPr>
                <w:rFonts w:ascii="Arial" w:hAnsi="Arial" w:cs="Arial"/>
                <w:sz w:val="20"/>
                <w:lang w:val="en-US" w:eastAsia="zh-CN"/>
              </w:rPr>
              <w:br/>
              <w:t>an 80+80 MHz or 160 MHz PPDU." is confusing as to how exactly 40 MHz subchannels are handled</w:t>
            </w:r>
          </w:p>
        </w:tc>
        <w:tc>
          <w:tcPr>
            <w:tcW w:w="2309"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5F5457" w:rsidP="005F5457">
            <w:pPr>
              <w:rPr>
                <w:rFonts w:ascii="Arial" w:hAnsi="Arial" w:cs="Arial"/>
                <w:sz w:val="20"/>
                <w:lang w:val="en-US" w:eastAsia="zh-CN"/>
              </w:rPr>
            </w:pPr>
            <w:r w:rsidRPr="005F5457">
              <w:rPr>
                <w:rFonts w:ascii="Arial" w:hAnsi="Arial" w:cs="Arial"/>
                <w:sz w:val="20"/>
                <w:lang w:val="en-US" w:eastAsia="zh-CN"/>
              </w:rPr>
              <w:t>Add a NOTE afterwards: "NOTE---In the case of 40 MHz subchannels, the power over 40 MHz is converted to a power over 20 MHz by subtracting 3 dB."</w:t>
            </w:r>
          </w:p>
        </w:tc>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5F5457" w:rsidRPr="005F5457" w:rsidRDefault="001B44C6" w:rsidP="005F5457">
            <w:pPr>
              <w:rPr>
                <w:rFonts w:ascii="Arial" w:hAnsi="Arial" w:cs="Arial"/>
                <w:sz w:val="20"/>
                <w:lang w:val="en-US" w:eastAsia="zh-CN"/>
              </w:rPr>
            </w:pPr>
            <w:r>
              <w:rPr>
                <w:rFonts w:ascii="Arial" w:hAnsi="Arial" w:cs="Arial"/>
                <w:sz w:val="20"/>
                <w:lang w:val="en-US" w:eastAsia="zh-CN"/>
              </w:rPr>
              <w:t>Accepted (?)</w:t>
            </w:r>
          </w:p>
        </w:tc>
      </w:tr>
    </w:tbl>
    <w:p w:rsidR="005F5457" w:rsidRPr="005F5457" w:rsidRDefault="005F5457">
      <w:pPr>
        <w:rPr>
          <w:lang w:val="en-US"/>
        </w:rPr>
      </w:pPr>
    </w:p>
    <w:p w:rsidR="005F5457" w:rsidRDefault="005F5457"/>
    <w:p w:rsidR="005F5457" w:rsidRPr="005D07F7" w:rsidRDefault="00F12512">
      <w:pPr>
        <w:rPr>
          <w:b/>
          <w:sz w:val="28"/>
        </w:rPr>
      </w:pPr>
      <w:r w:rsidRPr="005D07F7">
        <w:rPr>
          <w:b/>
          <w:sz w:val="28"/>
        </w:rPr>
        <w:t>CID 25029</w:t>
      </w:r>
    </w:p>
    <w:p w:rsidR="00F12512" w:rsidRDefault="00F12512"/>
    <w:p w:rsidR="00F12512" w:rsidRPr="005D5370" w:rsidRDefault="00F12512" w:rsidP="00F12512">
      <w:pPr>
        <w:autoSpaceDE w:val="0"/>
        <w:autoSpaceDN w:val="0"/>
        <w:adjustRightInd w:val="0"/>
        <w:rPr>
          <w:rFonts w:ascii="TimesNewRomanPSMT" w:eastAsia="TimesNewRomanPSMT" w:cs="TimesNewRomanPSMT"/>
          <w:szCs w:val="22"/>
          <w:lang w:val="en-US" w:eastAsia="zh-CN"/>
        </w:rPr>
      </w:pPr>
      <w:r w:rsidRPr="005D5370">
        <w:rPr>
          <w:rFonts w:asciiTheme="minorHAnsi" w:eastAsia="TimesNewRomanPSMT" w:hAnsiTheme="minorHAnsi" w:cstheme="minorHAnsi"/>
          <w:szCs w:val="22"/>
          <w:lang w:val="en-US" w:eastAsia="zh-CN"/>
        </w:rPr>
        <w:lastRenderedPageBreak/>
        <w:t>The recipient is allowed to respond with a Block Ack Bitmap subfield in the BA</w:t>
      </w:r>
      <w:r w:rsidRPr="005D5370">
        <w:rPr>
          <w:rFonts w:asciiTheme="minorHAnsi" w:eastAsia="TimesNewRomanPSMT" w:hAnsiTheme="minorHAnsi" w:cstheme="minorHAnsi"/>
          <w:szCs w:val="22"/>
          <w:lang w:val="en-US" w:eastAsia="zh-CN"/>
        </w:rPr>
        <w:t xml:space="preserve"> Information field that is less </w:t>
      </w:r>
      <w:r w:rsidRPr="005D5370">
        <w:rPr>
          <w:rFonts w:asciiTheme="minorHAnsi" w:eastAsia="TimesNewRomanPSMT" w:hAnsiTheme="minorHAnsi" w:cstheme="minorHAnsi"/>
          <w:szCs w:val="22"/>
          <w:lang w:val="en-US" w:eastAsia="zh-CN"/>
        </w:rPr>
        <w:t>than the maximum allowed Block Ack Bitmap for the negotiated buffer size. The length of the Block Ack</w:t>
      </w:r>
      <w:r w:rsidRPr="005D5370">
        <w:rPr>
          <w:rFonts w:asciiTheme="minorHAnsi" w:eastAsia="TimesNewRomanPSMT" w:hAnsiTheme="minorHAnsi" w:cstheme="minorHAnsi"/>
          <w:szCs w:val="22"/>
          <w:lang w:val="en-US" w:eastAsia="zh-CN"/>
        </w:rPr>
        <w:t xml:space="preserve"> </w:t>
      </w:r>
      <w:r w:rsidRPr="005D5370">
        <w:rPr>
          <w:rFonts w:asciiTheme="minorHAnsi" w:eastAsia="TimesNewRomanPSMT" w:hAnsiTheme="minorHAnsi" w:cstheme="minorHAnsi"/>
          <w:szCs w:val="22"/>
          <w:lang w:val="en-US" w:eastAsia="zh-CN"/>
        </w:rPr>
        <w:t>Bitmap subfield in a Compressed BlockAck frame or a Multi-STA BlockAck frame may be less than the</w:t>
      </w:r>
      <w:r w:rsidRPr="005D5370">
        <w:rPr>
          <w:rFonts w:asciiTheme="minorHAnsi" w:eastAsia="TimesNewRomanPSMT" w:hAnsiTheme="minorHAnsi" w:cstheme="minorHAnsi"/>
          <w:szCs w:val="22"/>
          <w:lang w:val="en-US" w:eastAsia="zh-CN"/>
        </w:rPr>
        <w:t xml:space="preserve"> </w:t>
      </w:r>
      <w:r w:rsidRPr="005D5370">
        <w:rPr>
          <w:rFonts w:asciiTheme="minorHAnsi" w:eastAsia="TimesNewRomanPSMT" w:hAnsiTheme="minorHAnsi" w:cstheme="minorHAnsi"/>
          <w:szCs w:val="22"/>
          <w:lang w:val="en-US" w:eastAsia="zh-CN"/>
        </w:rPr>
        <w:t xml:space="preserve">negotiated buffer size </w:t>
      </w:r>
      <w:r w:rsidRPr="005D5370">
        <w:rPr>
          <w:rFonts w:asciiTheme="minorHAnsi" w:eastAsia="TimesNewRomanPSMT" w:hAnsiTheme="minorHAnsi" w:cstheme="minorHAnsi"/>
          <w:szCs w:val="22"/>
          <w:highlight w:val="yellow"/>
          <w:lang w:val="en-US" w:eastAsia="zh-CN"/>
        </w:rPr>
        <w:t>but shall be sufficient to include the recipient’s scoreboard state for MPDUs beginning</w:t>
      </w:r>
      <w:r w:rsidRPr="005D5370">
        <w:rPr>
          <w:rFonts w:asciiTheme="minorHAnsi" w:eastAsia="TimesNewRomanPSMT" w:hAnsiTheme="minorHAnsi" w:cstheme="minorHAnsi"/>
          <w:szCs w:val="22"/>
          <w:highlight w:val="yellow"/>
          <w:lang w:val="en-US" w:eastAsia="zh-CN"/>
        </w:rPr>
        <w:t xml:space="preserve"> </w:t>
      </w:r>
      <w:r w:rsidRPr="005D5370">
        <w:rPr>
          <w:rFonts w:asciiTheme="minorHAnsi" w:eastAsia="TimesNewRomanPSMT" w:hAnsiTheme="minorHAnsi" w:cstheme="minorHAnsi"/>
          <w:szCs w:val="22"/>
          <w:highlight w:val="yellow"/>
          <w:lang w:val="en-US" w:eastAsia="zh-CN"/>
        </w:rPr>
        <w:t>with the MPDU for which the Sequence Number subfield value is</w:t>
      </w:r>
      <w:r w:rsidRPr="005D5370">
        <w:rPr>
          <w:rFonts w:ascii="TimesNewRomanPSMT" w:eastAsia="TimesNewRomanPSMT" w:cs="TimesNewRomanPSMT"/>
          <w:szCs w:val="22"/>
          <w:highlight w:val="yellow"/>
          <w:lang w:val="en-US" w:eastAsia="zh-CN"/>
        </w:rPr>
        <w:t xml:space="preserve"> </w:t>
      </w:r>
      <w:r w:rsidRPr="005D5370">
        <w:rPr>
          <w:rFonts w:ascii="TimesNewRomanPS-ItalicMT" w:eastAsia="TimesNewRomanPSMT" w:hAnsi="TimesNewRomanPS-ItalicMT" w:cs="TimesNewRomanPS-ItalicMT"/>
          <w:i/>
          <w:iCs/>
          <w:szCs w:val="22"/>
          <w:highlight w:val="yellow"/>
          <w:lang w:val="en-US" w:eastAsia="zh-CN"/>
        </w:rPr>
        <w:t xml:space="preserve">WinStartR </w:t>
      </w:r>
      <w:r w:rsidRPr="005D5370">
        <w:rPr>
          <w:rFonts w:asciiTheme="minorHAnsi" w:eastAsia="TimesNewRomanPSMT" w:hAnsiTheme="minorHAnsi" w:cstheme="minorHAnsi"/>
          <w:szCs w:val="22"/>
          <w:highlight w:val="yellow"/>
          <w:lang w:val="en-US" w:eastAsia="zh-CN"/>
        </w:rPr>
        <w:t>and ending with the</w:t>
      </w:r>
      <w:r w:rsidRPr="005D5370">
        <w:rPr>
          <w:rFonts w:asciiTheme="minorHAnsi" w:eastAsia="TimesNewRomanPSMT" w:hAnsiTheme="minorHAnsi" w:cstheme="minorHAnsi"/>
          <w:szCs w:val="22"/>
          <w:highlight w:val="yellow"/>
          <w:lang w:val="en-US" w:eastAsia="zh-CN"/>
        </w:rPr>
        <w:t xml:space="preserve"> </w:t>
      </w:r>
      <w:r w:rsidRPr="005D5370">
        <w:rPr>
          <w:rFonts w:asciiTheme="minorHAnsi" w:eastAsia="TimesNewRomanPSMT" w:hAnsiTheme="minorHAnsi" w:cstheme="minorHAnsi"/>
          <w:szCs w:val="22"/>
          <w:highlight w:val="yellow"/>
          <w:lang w:val="en-US" w:eastAsia="zh-CN"/>
        </w:rPr>
        <w:t>MPDU for which the Sequence Number subfield is</w:t>
      </w:r>
      <w:r w:rsidRPr="005D5370">
        <w:rPr>
          <w:rFonts w:ascii="TimesNewRomanPSMT" w:eastAsia="TimesNewRomanPSMT" w:cs="TimesNewRomanPSMT"/>
          <w:szCs w:val="22"/>
          <w:highlight w:val="yellow"/>
          <w:lang w:val="en-US" w:eastAsia="zh-CN"/>
        </w:rPr>
        <w:t xml:space="preserve"> </w:t>
      </w:r>
      <w:r w:rsidRPr="005D5370">
        <w:rPr>
          <w:rFonts w:ascii="TimesNewRomanPS-ItalicMT" w:eastAsia="TimesNewRomanPSMT" w:hAnsi="TimesNewRomanPS-ItalicMT" w:cs="TimesNewRomanPS-ItalicMT"/>
          <w:i/>
          <w:iCs/>
          <w:szCs w:val="22"/>
          <w:highlight w:val="yellow"/>
          <w:lang w:val="en-US" w:eastAsia="zh-CN"/>
        </w:rPr>
        <w:t>WinEndR</w:t>
      </w:r>
      <w:r w:rsidRPr="005D5370">
        <w:rPr>
          <w:rFonts w:ascii="TimesNewRomanPSMT" w:eastAsia="TimesNewRomanPSMT" w:cs="TimesNewRomanPSMT"/>
          <w:szCs w:val="22"/>
          <w:highlight w:val="yellow"/>
          <w:lang w:val="en-US" w:eastAsia="zh-CN"/>
        </w:rPr>
        <w:t>.</w:t>
      </w:r>
    </w:p>
    <w:p w:rsidR="00CA09B2" w:rsidRDefault="00CA09B2"/>
    <w:p w:rsidR="00CA09B2" w:rsidRPr="005F39A6" w:rsidRDefault="005D07F7">
      <w:pPr>
        <w:rPr>
          <w:rFonts w:asciiTheme="minorHAnsi" w:hAnsiTheme="minorHAnsi" w:cstheme="minorHAnsi"/>
          <w:b/>
          <w:sz w:val="32"/>
        </w:rPr>
      </w:pPr>
      <w:r w:rsidRPr="005F39A6">
        <w:rPr>
          <w:rFonts w:asciiTheme="minorHAnsi" w:hAnsiTheme="minorHAnsi" w:cstheme="minorHAnsi"/>
          <w:b/>
          <w:sz w:val="32"/>
        </w:rPr>
        <w:t>CID 25050</w:t>
      </w:r>
    </w:p>
    <w:p w:rsidR="005D07F7" w:rsidRDefault="005D07F7"/>
    <w:p w:rsidR="005D07F7" w:rsidRPr="005D5370" w:rsidRDefault="005D07F7" w:rsidP="005D07F7">
      <w:pPr>
        <w:autoSpaceDE w:val="0"/>
        <w:autoSpaceDN w:val="0"/>
        <w:adjustRightInd w:val="0"/>
        <w:rPr>
          <w:rFonts w:asciiTheme="minorHAnsi" w:eastAsia="TimesNewRomanPSMT" w:hAnsiTheme="minorHAnsi" w:cstheme="minorHAnsi"/>
          <w:szCs w:val="22"/>
          <w:lang w:val="en-US" w:eastAsia="zh-CN"/>
        </w:rPr>
      </w:pPr>
      <w:r w:rsidRPr="005D5370">
        <w:rPr>
          <w:rFonts w:asciiTheme="minorHAnsi" w:eastAsia="TimesNewRomanPSMT" w:hAnsiTheme="minorHAnsi" w:cstheme="minorHAnsi"/>
          <w:szCs w:val="22"/>
          <w:lang w:val="en-US" w:eastAsia="zh-CN"/>
        </w:rPr>
        <w:t xml:space="preserve">Acceptable Receiver Interference LevelAP is a value in dBm for that </w:t>
      </w:r>
      <w:r w:rsidRPr="005D5370">
        <w:rPr>
          <w:rFonts w:asciiTheme="minorHAnsi" w:eastAsia="TimesNewRomanPSMT" w:hAnsiTheme="minorHAnsi" w:cstheme="minorHAnsi"/>
          <w:szCs w:val="22"/>
          <w:lang w:val="en-US" w:eastAsia="zh-CN"/>
        </w:rPr>
        <w:t xml:space="preserve">20 MHz subchannel for a 20 MHz, </w:t>
      </w:r>
      <w:r w:rsidRPr="005D5370">
        <w:rPr>
          <w:rFonts w:asciiTheme="minorHAnsi" w:eastAsia="TimesNewRomanPSMT" w:hAnsiTheme="minorHAnsi" w:cstheme="minorHAnsi"/>
          <w:szCs w:val="22"/>
          <w:lang w:val="en-US" w:eastAsia="zh-CN"/>
        </w:rPr>
        <w:t>40 MHz, or 80 MHz PPDU or for each of the 40 MHz subchannels for an 80+80 MHz or</w:t>
      </w:r>
      <w:r w:rsidRPr="005D5370">
        <w:rPr>
          <w:rFonts w:asciiTheme="minorHAnsi" w:eastAsia="TimesNewRomanPSMT" w:hAnsiTheme="minorHAnsi" w:cstheme="minorHAnsi"/>
          <w:szCs w:val="22"/>
          <w:lang w:val="en-US" w:eastAsia="zh-CN"/>
        </w:rPr>
        <w:t xml:space="preserve"> </w:t>
      </w:r>
      <w:r w:rsidRPr="005D5370">
        <w:rPr>
          <w:rFonts w:asciiTheme="minorHAnsi" w:eastAsia="TimesNewRomanPSMT" w:hAnsiTheme="minorHAnsi" w:cstheme="minorHAnsi"/>
          <w:szCs w:val="22"/>
          <w:lang w:val="en-US" w:eastAsia="zh-CN"/>
        </w:rPr>
        <w:t xml:space="preserve">160 MHz PPDU and </w:t>
      </w:r>
      <w:r w:rsidRPr="005D5370">
        <w:rPr>
          <w:rFonts w:asciiTheme="minorHAnsi" w:eastAsia="TimesNewRomanPSMT" w:hAnsiTheme="minorHAnsi" w:cstheme="minorHAnsi"/>
          <w:szCs w:val="22"/>
          <w:highlight w:val="yellow"/>
          <w:lang w:val="en-US" w:eastAsia="zh-CN"/>
        </w:rPr>
        <w:t>should be set to the expected receive signal power indicated by the UL</w:t>
      </w:r>
      <w:r w:rsidRPr="005D5370">
        <w:rPr>
          <w:rFonts w:asciiTheme="minorHAnsi" w:eastAsia="TimesNewRomanPSMT" w:hAnsiTheme="minorHAnsi" w:cstheme="minorHAnsi"/>
          <w:szCs w:val="22"/>
          <w:highlight w:val="yellow"/>
          <w:lang w:val="en-US" w:eastAsia="zh-CN"/>
        </w:rPr>
        <w:t xml:space="preserve"> </w:t>
      </w:r>
      <w:r w:rsidRPr="005D5370">
        <w:rPr>
          <w:rFonts w:asciiTheme="minorHAnsi" w:eastAsia="TimesNewRomanPSMT" w:hAnsiTheme="minorHAnsi" w:cstheme="minorHAnsi"/>
          <w:szCs w:val="22"/>
          <w:highlight w:val="yellow"/>
          <w:lang w:val="en-US" w:eastAsia="zh-CN"/>
        </w:rPr>
        <w:t>Target Receive Power subfield in the Trigger frame minus the minimum SNR value that yields</w:t>
      </w:r>
      <w:r w:rsidRPr="005D5370">
        <w:rPr>
          <w:rFonts w:asciiTheme="minorHAnsi" w:eastAsia="TimesNewRomanPSMT" w:hAnsiTheme="minorHAnsi" w:cstheme="minorHAnsi"/>
          <w:szCs w:val="22"/>
          <w:highlight w:val="yellow"/>
          <w:lang w:val="en-US" w:eastAsia="zh-CN"/>
        </w:rPr>
        <w:t xml:space="preserve"> </w:t>
      </w:r>
      <w:r w:rsidRPr="005D5370">
        <w:rPr>
          <w:rFonts w:asciiTheme="minorHAnsi" w:eastAsia="TimesNewRomanPSMT" w:hAnsiTheme="minorHAnsi" w:cstheme="minorHAnsi"/>
          <w:szCs w:val="22"/>
          <w:highlight w:val="yellow"/>
          <w:lang w:val="en-US" w:eastAsia="zh-CN"/>
        </w:rPr>
        <w:t>≤ 10% PER for the highest HE-MCS of the ensuing uplink HE TB PPDU</w:t>
      </w:r>
      <w:r w:rsidRPr="005D5370">
        <w:rPr>
          <w:rFonts w:asciiTheme="minorHAnsi" w:eastAsia="TimesNewRomanPSMT" w:hAnsiTheme="minorHAnsi" w:cstheme="minorHAnsi"/>
          <w:szCs w:val="22"/>
          <w:lang w:val="en-US" w:eastAsia="zh-CN"/>
        </w:rPr>
        <w:t>, minus a safety margin</w:t>
      </w:r>
      <w:r w:rsidRPr="005D5370">
        <w:rPr>
          <w:rFonts w:asciiTheme="minorHAnsi" w:eastAsia="TimesNewRomanPSMT" w:hAnsiTheme="minorHAnsi" w:cstheme="minorHAnsi"/>
          <w:szCs w:val="22"/>
          <w:lang w:val="en-US" w:eastAsia="zh-CN"/>
        </w:rPr>
        <w:t xml:space="preserve"> </w:t>
      </w:r>
      <w:r w:rsidRPr="005D5370">
        <w:rPr>
          <w:rFonts w:asciiTheme="minorHAnsi" w:eastAsia="TimesNewRomanPSMT" w:hAnsiTheme="minorHAnsi" w:cstheme="minorHAnsi"/>
          <w:szCs w:val="22"/>
          <w:lang w:val="en-US" w:eastAsia="zh-CN"/>
        </w:rPr>
        <w:t>value not to exceed 5 dB as determined by the AP.</w:t>
      </w:r>
    </w:p>
    <w:p w:rsidR="005D5370" w:rsidRPr="005D5370" w:rsidRDefault="005D5370" w:rsidP="005D07F7">
      <w:pPr>
        <w:autoSpaceDE w:val="0"/>
        <w:autoSpaceDN w:val="0"/>
        <w:adjustRightInd w:val="0"/>
        <w:rPr>
          <w:rFonts w:asciiTheme="minorHAnsi" w:eastAsia="TimesNewRomanPSMT" w:hAnsiTheme="minorHAnsi" w:cstheme="minorHAnsi"/>
          <w:szCs w:val="22"/>
          <w:lang w:val="en-US" w:eastAsia="zh-CN"/>
        </w:rPr>
      </w:pPr>
    </w:p>
    <w:p w:rsidR="005D5370" w:rsidRDefault="005D5370" w:rsidP="005D07F7">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 xml:space="preserve">Change to </w:t>
      </w:r>
    </w:p>
    <w:p w:rsidR="005D5370" w:rsidRDefault="005D5370" w:rsidP="005D07F7">
      <w:pPr>
        <w:autoSpaceDE w:val="0"/>
        <w:autoSpaceDN w:val="0"/>
        <w:adjustRightInd w:val="0"/>
        <w:rPr>
          <w:rFonts w:asciiTheme="minorHAnsi" w:eastAsia="TimesNewRomanPSMT" w:hAnsiTheme="minorHAnsi" w:cstheme="minorHAnsi"/>
          <w:sz w:val="20"/>
          <w:lang w:val="en-US" w:eastAsia="zh-CN"/>
        </w:rPr>
      </w:pPr>
    </w:p>
    <w:p w:rsidR="005D5370" w:rsidRDefault="005D5370" w:rsidP="005D5370">
      <w:pPr>
        <w:autoSpaceDE w:val="0"/>
        <w:autoSpaceDN w:val="0"/>
        <w:adjustRightInd w:val="0"/>
        <w:rPr>
          <w:rFonts w:asciiTheme="minorHAnsi" w:eastAsia="TimesNewRomanPSMT" w:hAnsiTheme="minorHAnsi" w:cstheme="minorHAnsi"/>
          <w:szCs w:val="22"/>
          <w:lang w:val="en-US" w:eastAsia="zh-CN"/>
        </w:rPr>
      </w:pPr>
      <w:r w:rsidRPr="005D5370">
        <w:rPr>
          <w:rFonts w:asciiTheme="minorHAnsi" w:eastAsia="TimesNewRomanPSMT" w:hAnsiTheme="minorHAnsi" w:cstheme="minorHAnsi"/>
          <w:szCs w:val="22"/>
          <w:lang w:val="en-US" w:eastAsia="zh-CN"/>
        </w:rPr>
        <w:t xml:space="preserve">Acceptable Receiver Interference LevelAP is a value in dBm for that 20 MHz subchannel for a 20 MHz, 40 MHz, or 80 MHz PPDU or for each of the 40 MHz subchannels for an 80+80 MHz or 160 MHz PPDU and </w:t>
      </w:r>
      <w:r w:rsidRPr="005F5457">
        <w:rPr>
          <w:rFonts w:asciiTheme="minorHAnsi" w:hAnsiTheme="minorHAnsi" w:cstheme="minorHAnsi"/>
          <w:szCs w:val="22"/>
          <w:highlight w:val="yellow"/>
          <w:lang w:val="en-US" w:eastAsia="zh-CN"/>
        </w:rPr>
        <w:t>should be set to the expected receive s</w:t>
      </w:r>
      <w:r w:rsidRPr="005D5370">
        <w:rPr>
          <w:rFonts w:asciiTheme="minorHAnsi" w:hAnsiTheme="minorHAnsi" w:cstheme="minorHAnsi"/>
          <w:szCs w:val="22"/>
          <w:highlight w:val="yellow"/>
          <w:lang w:val="en-US" w:eastAsia="zh-CN"/>
        </w:rPr>
        <w:t xml:space="preserve">ignal power indicated by the UL </w:t>
      </w:r>
      <w:r w:rsidRPr="005F5457">
        <w:rPr>
          <w:rFonts w:asciiTheme="minorHAnsi" w:hAnsiTheme="minorHAnsi" w:cstheme="minorHAnsi"/>
          <w:szCs w:val="22"/>
          <w:highlight w:val="yellow"/>
          <w:lang w:val="en-US" w:eastAsia="zh-CN"/>
        </w:rPr>
        <w:t>Target Receive Power subfield in the Trigger frame minus th</w:t>
      </w:r>
      <w:r w:rsidRPr="005D5370">
        <w:rPr>
          <w:rFonts w:asciiTheme="minorHAnsi" w:hAnsiTheme="minorHAnsi" w:cstheme="minorHAnsi"/>
          <w:szCs w:val="22"/>
          <w:highlight w:val="yellow"/>
          <w:lang w:val="en-US" w:eastAsia="zh-CN"/>
        </w:rPr>
        <w:t xml:space="preserve">e minimum SNR value that yields </w:t>
      </w:r>
      <w:r w:rsidRPr="005F5457">
        <w:rPr>
          <w:rFonts w:asciiTheme="minorHAnsi" w:hAnsiTheme="minorHAnsi" w:cstheme="minorHAnsi"/>
          <w:szCs w:val="22"/>
          <w:highlight w:val="yellow"/>
          <w:lang w:val="en-US" w:eastAsia="zh-CN"/>
        </w:rPr>
        <w:t xml:space="preserve">≤ 10% PER for the highest HE-MCS of the ensuing uplink HE TB PPDU, </w:t>
      </w:r>
      <w:r w:rsidRPr="005F5457">
        <w:rPr>
          <w:rFonts w:asciiTheme="minorHAnsi" w:hAnsiTheme="minorHAnsi" w:cstheme="minorHAnsi"/>
          <w:szCs w:val="22"/>
          <w:highlight w:val="yellow"/>
          <w:u w:val="single"/>
          <w:lang w:val="en-US" w:eastAsia="zh-CN"/>
        </w:rPr>
        <w:t>or to 1000 dBm if that subfield indicated transmission at the STA’s maximum transmit power for the assigned HE-MCS</w:t>
      </w:r>
      <w:r w:rsidRPr="005D5370">
        <w:rPr>
          <w:rFonts w:asciiTheme="minorHAnsi" w:eastAsia="TimesNewRomanPSMT" w:hAnsiTheme="minorHAnsi" w:cstheme="minorHAnsi"/>
          <w:szCs w:val="22"/>
          <w:lang w:val="en-US" w:eastAsia="zh-CN"/>
        </w:rPr>
        <w:t>, minus a safety margin value not to exceed 5 dB as determined by the AP.</w:t>
      </w:r>
    </w:p>
    <w:p w:rsidR="001B44C6" w:rsidRDefault="001B44C6" w:rsidP="005D5370">
      <w:pPr>
        <w:autoSpaceDE w:val="0"/>
        <w:autoSpaceDN w:val="0"/>
        <w:adjustRightInd w:val="0"/>
        <w:rPr>
          <w:rFonts w:asciiTheme="minorHAnsi" w:eastAsia="TimesNewRomanPSMT" w:hAnsiTheme="minorHAnsi" w:cstheme="minorHAnsi"/>
          <w:szCs w:val="22"/>
          <w:lang w:val="en-US" w:eastAsia="zh-CN"/>
        </w:rPr>
      </w:pPr>
    </w:p>
    <w:p w:rsidR="001B44C6" w:rsidRPr="005F39A6" w:rsidRDefault="001B44C6" w:rsidP="005D5370">
      <w:pPr>
        <w:autoSpaceDE w:val="0"/>
        <w:autoSpaceDN w:val="0"/>
        <w:adjustRightInd w:val="0"/>
        <w:rPr>
          <w:rFonts w:asciiTheme="minorHAnsi" w:eastAsia="TimesNewRomanPSMT" w:hAnsiTheme="minorHAnsi" w:cstheme="minorHAnsi"/>
          <w:b/>
          <w:sz w:val="32"/>
          <w:szCs w:val="22"/>
          <w:lang w:val="en-US" w:eastAsia="zh-CN"/>
        </w:rPr>
      </w:pPr>
      <w:r w:rsidRPr="005F39A6">
        <w:rPr>
          <w:rFonts w:asciiTheme="minorHAnsi" w:eastAsia="TimesNewRomanPSMT" w:hAnsiTheme="minorHAnsi" w:cstheme="minorHAnsi"/>
          <w:b/>
          <w:sz w:val="32"/>
          <w:szCs w:val="22"/>
          <w:lang w:val="en-US" w:eastAsia="zh-CN"/>
        </w:rPr>
        <w:t>CID 25120</w:t>
      </w:r>
    </w:p>
    <w:p w:rsidR="001B44C6" w:rsidRDefault="001B44C6" w:rsidP="005D5370">
      <w:pPr>
        <w:autoSpaceDE w:val="0"/>
        <w:autoSpaceDN w:val="0"/>
        <w:adjustRightInd w:val="0"/>
        <w:rPr>
          <w:rFonts w:asciiTheme="minorHAnsi" w:eastAsia="TimesNewRomanPSMT" w:hAnsiTheme="minorHAnsi" w:cstheme="minorHAnsi"/>
          <w:szCs w:val="22"/>
          <w:lang w:val="en-US" w:eastAsia="zh-CN"/>
        </w:rPr>
      </w:pPr>
    </w:p>
    <w:p w:rsidR="001B44C6" w:rsidRDefault="001B44C6" w:rsidP="001B44C6">
      <w:pPr>
        <w:autoSpaceDE w:val="0"/>
        <w:autoSpaceDN w:val="0"/>
        <w:adjustRightInd w:val="0"/>
        <w:rPr>
          <w:rFonts w:ascii="TimesNewRomanPSMT" w:eastAsia="TimesNewRomanPSMT" w:hAnsi="TimesNewRomanPS-ItalicMT" w:cs="TimesNewRomanPSMT"/>
          <w:sz w:val="20"/>
          <w:lang w:val="en-US" w:eastAsia="zh-CN"/>
        </w:rPr>
      </w:pPr>
      <w:r>
        <w:rPr>
          <w:rFonts w:ascii="TimesNewRomanPS-ItalicMT" w:hAnsi="TimesNewRomanPS-ItalicMT" w:cs="TimesNewRomanPS-ItalicMT"/>
          <w:i/>
          <w:iCs/>
          <w:sz w:val="20"/>
          <w:lang w:val="en-US" w:eastAsia="zh-CN"/>
        </w:rPr>
        <w:t>TX_PWR</w:t>
      </w:r>
      <w:r>
        <w:rPr>
          <w:rFonts w:ascii="TimesNewRomanPS-ItalicMT" w:hAnsi="TimesNewRomanPS-ItalicMT" w:cs="TimesNewRomanPS-ItalicMT"/>
          <w:i/>
          <w:iCs/>
          <w:sz w:val="16"/>
          <w:szCs w:val="16"/>
          <w:lang w:val="en-US" w:eastAsia="zh-CN"/>
        </w:rPr>
        <w:t xml:space="preserve">AP </w:t>
      </w:r>
      <w:r w:rsidRPr="001B44C6">
        <w:rPr>
          <w:rFonts w:asciiTheme="minorHAnsi" w:eastAsia="TimesNewRomanPSMT" w:hAnsiTheme="minorHAnsi" w:cstheme="minorHAnsi"/>
          <w:szCs w:val="22"/>
          <w:lang w:val="en-US" w:eastAsia="zh-CN"/>
        </w:rPr>
        <w:t>is the total power at the antenna connector, in dBm, for t</w:t>
      </w:r>
      <w:r w:rsidRPr="001B44C6">
        <w:rPr>
          <w:rFonts w:asciiTheme="minorHAnsi" w:eastAsia="TimesNewRomanPSMT" w:hAnsiTheme="minorHAnsi" w:cstheme="minorHAnsi"/>
          <w:szCs w:val="22"/>
          <w:lang w:val="en-US" w:eastAsia="zh-CN"/>
        </w:rPr>
        <w:t xml:space="preserve">hat 20 MHz subchannel, over all </w:t>
      </w:r>
      <w:r w:rsidRPr="001B44C6">
        <w:rPr>
          <w:rFonts w:asciiTheme="minorHAnsi" w:eastAsia="TimesNewRomanPSMT" w:hAnsiTheme="minorHAnsi" w:cstheme="minorHAnsi"/>
          <w:szCs w:val="22"/>
          <w:lang w:val="en-US" w:eastAsia="zh-CN"/>
        </w:rPr>
        <w:t>antennas used to transmit the PSRR PPDU containing the Trigger frame for each 20 MHz subchannelfor a 20 MHz, 40 MHz, or 80 MHz PPDU or in each of the 40 MHz subchannels for</w:t>
      </w:r>
      <w:r w:rsidRPr="001B44C6">
        <w:rPr>
          <w:rFonts w:asciiTheme="minorHAnsi" w:eastAsia="TimesNewRomanPSMT" w:hAnsiTheme="minorHAnsi" w:cstheme="minorHAnsi"/>
          <w:szCs w:val="22"/>
          <w:lang w:val="en-US" w:eastAsia="zh-CN"/>
        </w:rPr>
        <w:t xml:space="preserve"> </w:t>
      </w:r>
      <w:r w:rsidRPr="001B44C6">
        <w:rPr>
          <w:rFonts w:asciiTheme="minorHAnsi" w:eastAsia="TimesNewRomanPSMT" w:hAnsiTheme="minorHAnsi" w:cstheme="minorHAnsi"/>
          <w:szCs w:val="22"/>
          <w:lang w:val="en-US" w:eastAsia="zh-CN"/>
        </w:rPr>
        <w:t>an 80+80 MHz or 160 MHz PPDU</w:t>
      </w:r>
      <w:r>
        <w:rPr>
          <w:rFonts w:ascii="TimesNewRomanPSMT" w:eastAsia="TimesNewRomanPSMT" w:hAnsi="TimesNewRomanPS-ItalicMT" w:cs="TimesNewRomanPSMT"/>
          <w:sz w:val="20"/>
          <w:lang w:val="en-US" w:eastAsia="zh-CN"/>
        </w:rPr>
        <w:t>.</w:t>
      </w:r>
    </w:p>
    <w:p w:rsidR="001B44C6" w:rsidRDefault="001B44C6" w:rsidP="001B44C6">
      <w:pPr>
        <w:autoSpaceDE w:val="0"/>
        <w:autoSpaceDN w:val="0"/>
        <w:adjustRightInd w:val="0"/>
        <w:rPr>
          <w:rFonts w:ascii="TimesNewRomanPSMT" w:eastAsia="TimesNewRomanPSMT" w:hAnsi="TimesNewRomanPS-ItalicMT" w:cs="TimesNewRomanPSMT"/>
          <w:sz w:val="20"/>
          <w:lang w:val="en-US" w:eastAsia="zh-CN"/>
        </w:rPr>
      </w:pPr>
    </w:p>
    <w:p w:rsidR="001B44C6" w:rsidRPr="001B44C6" w:rsidRDefault="001B44C6" w:rsidP="001B44C6">
      <w:pPr>
        <w:autoSpaceDE w:val="0"/>
        <w:autoSpaceDN w:val="0"/>
        <w:adjustRightInd w:val="0"/>
        <w:rPr>
          <w:rFonts w:asciiTheme="minorHAnsi" w:eastAsia="TimesNewRomanPSMT" w:hAnsiTheme="minorHAnsi" w:cstheme="minorHAnsi"/>
          <w:szCs w:val="22"/>
          <w:lang w:val="en-US" w:eastAsia="zh-CN"/>
        </w:rPr>
      </w:pPr>
      <w:r w:rsidRPr="001B44C6">
        <w:rPr>
          <w:rFonts w:asciiTheme="minorHAnsi" w:eastAsia="TimesNewRomanPSMT" w:hAnsiTheme="minorHAnsi" w:cstheme="minorHAnsi"/>
          <w:szCs w:val="22"/>
          <w:lang w:val="en-US" w:eastAsia="zh-CN"/>
        </w:rPr>
        <w:t xml:space="preserve">Change to </w:t>
      </w:r>
    </w:p>
    <w:p w:rsidR="001B44C6" w:rsidRPr="001B44C6" w:rsidRDefault="001B44C6" w:rsidP="001B44C6">
      <w:pPr>
        <w:autoSpaceDE w:val="0"/>
        <w:autoSpaceDN w:val="0"/>
        <w:adjustRightInd w:val="0"/>
        <w:rPr>
          <w:rFonts w:asciiTheme="minorHAnsi" w:eastAsia="TimesNewRomanPSMT" w:hAnsiTheme="minorHAnsi" w:cstheme="minorHAnsi"/>
          <w:szCs w:val="22"/>
          <w:lang w:val="en-US" w:eastAsia="zh-CN"/>
        </w:rPr>
      </w:pPr>
    </w:p>
    <w:p w:rsidR="001B44C6" w:rsidRDefault="001B44C6" w:rsidP="001B44C6">
      <w:pPr>
        <w:autoSpaceDE w:val="0"/>
        <w:autoSpaceDN w:val="0"/>
        <w:adjustRightInd w:val="0"/>
        <w:rPr>
          <w:rFonts w:ascii="TimesNewRomanPSMT" w:eastAsia="TimesNewRomanPSMT" w:hAnsi="TimesNewRomanPS-ItalicMT" w:cs="TimesNewRomanPSMT"/>
          <w:sz w:val="20"/>
          <w:lang w:val="en-US" w:eastAsia="zh-CN"/>
        </w:rPr>
      </w:pPr>
      <w:r>
        <w:rPr>
          <w:rFonts w:ascii="TimesNewRomanPS-ItalicMT" w:hAnsi="TimesNewRomanPS-ItalicMT" w:cs="TimesNewRomanPS-ItalicMT"/>
          <w:i/>
          <w:iCs/>
          <w:sz w:val="20"/>
          <w:lang w:val="en-US" w:eastAsia="zh-CN"/>
        </w:rPr>
        <w:t>TX_PWR</w:t>
      </w:r>
      <w:r>
        <w:rPr>
          <w:rFonts w:ascii="TimesNewRomanPS-ItalicMT" w:hAnsi="TimesNewRomanPS-ItalicMT" w:cs="TimesNewRomanPS-ItalicMT"/>
          <w:i/>
          <w:iCs/>
          <w:sz w:val="16"/>
          <w:szCs w:val="16"/>
          <w:lang w:val="en-US" w:eastAsia="zh-CN"/>
        </w:rPr>
        <w:t xml:space="preserve">AP </w:t>
      </w:r>
      <w:r w:rsidRPr="001B44C6">
        <w:rPr>
          <w:rFonts w:ascii="Calibri" w:eastAsia="TimesNewRomanPSMT" w:hAnsi="Calibri" w:cs="Calibri"/>
          <w:szCs w:val="22"/>
          <w:lang w:val="en-US" w:eastAsia="zh-CN"/>
        </w:rPr>
        <w:t>is the total power at the antenna connector, in dBm, for that 20 MHz subchannel, over all antennas used to transmit the PSRR PPDU containing the Trigger frame for each 20 MHz subchannelfor a 20 MHz, 40 MHz, or 80 MHz PPDU or in each of the 40 MHz subchannels for an 80+80 MHz or 160 MHz PPDU</w:t>
      </w:r>
      <w:r>
        <w:rPr>
          <w:rFonts w:ascii="TimesNewRomanPSMT" w:eastAsia="TimesNewRomanPSMT" w:hAnsi="TimesNewRomanPS-ItalicMT" w:cs="TimesNewRomanPSMT"/>
          <w:sz w:val="20"/>
          <w:lang w:val="en-US" w:eastAsia="zh-CN"/>
        </w:rPr>
        <w:t>.</w:t>
      </w:r>
    </w:p>
    <w:p w:rsidR="001B44C6" w:rsidRDefault="001B44C6" w:rsidP="001B44C6">
      <w:pPr>
        <w:autoSpaceDE w:val="0"/>
        <w:autoSpaceDN w:val="0"/>
        <w:adjustRightInd w:val="0"/>
        <w:rPr>
          <w:rFonts w:ascii="TimesNewRomanPSMT" w:eastAsia="TimesNewRomanPSMT" w:hAnsi="TimesNewRomanPS-ItalicMT" w:cs="TimesNewRomanPSMT"/>
          <w:sz w:val="20"/>
          <w:lang w:val="en-US" w:eastAsia="zh-CN"/>
        </w:rPr>
      </w:pPr>
    </w:p>
    <w:p w:rsidR="005D5370" w:rsidRPr="001B44C6" w:rsidRDefault="001B44C6">
      <w:pPr>
        <w:rPr>
          <w:rFonts w:asciiTheme="minorHAnsi" w:hAnsiTheme="minorHAnsi" w:cstheme="minorHAnsi"/>
          <w:szCs w:val="22"/>
          <w:lang w:val="en-US"/>
        </w:rPr>
      </w:pPr>
      <w:r w:rsidRPr="005F5457">
        <w:rPr>
          <w:rFonts w:asciiTheme="minorHAnsi" w:hAnsiTheme="minorHAnsi" w:cstheme="minorHAnsi"/>
          <w:szCs w:val="22"/>
          <w:highlight w:val="yellow"/>
          <w:lang w:val="en-US" w:eastAsia="zh-CN"/>
        </w:rPr>
        <w:t>NOTE---In the case of 40 MHz subchannels, the power over 40 MHz is converted to a power over 20 MHz by subtracting 3 dB."</w:t>
      </w:r>
    </w:p>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83" w:rsidRDefault="00556483">
      <w:r>
        <w:separator/>
      </w:r>
    </w:p>
  </w:endnote>
  <w:endnote w:type="continuationSeparator" w:id="0">
    <w:p w:rsidR="00556483" w:rsidRDefault="005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5F5457">
        <w:t>Submission</w:t>
      </w:r>
    </w:fldSimple>
    <w:r>
      <w:tab/>
      <w:t xml:space="preserve">page </w:t>
    </w:r>
    <w:r>
      <w:fldChar w:fldCharType="begin"/>
    </w:r>
    <w:r>
      <w:instrText xml:space="preserve">page </w:instrText>
    </w:r>
    <w:r>
      <w:fldChar w:fldCharType="separate"/>
    </w:r>
    <w:r w:rsidR="005F39A6">
      <w:rPr>
        <w:noProof/>
      </w:rPr>
      <w:t>1</w:t>
    </w:r>
    <w:r>
      <w:fldChar w:fldCharType="end"/>
    </w:r>
    <w:r>
      <w:tab/>
    </w:r>
    <w:r w:rsidR="005F39A6">
      <w:t xml:space="preserve">Osama Aboul-Magd (Huawei) </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83" w:rsidRDefault="00556483">
      <w:r>
        <w:separator/>
      </w:r>
    </w:p>
  </w:footnote>
  <w:footnote w:type="continuationSeparator" w:id="0">
    <w:p w:rsidR="00556483" w:rsidRDefault="00556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5F39A6">
        <w:t>October</w:t>
      </w:r>
      <w:r w:rsidR="005F5457">
        <w:t xml:space="preserve"> </w:t>
      </w:r>
      <w:r w:rsidR="005F39A6">
        <w:t>2020</w:t>
      </w:r>
    </w:fldSimple>
    <w:r>
      <w:tab/>
    </w:r>
    <w:r>
      <w:tab/>
    </w:r>
    <w:fldSimple w:instr=" TITLE  \* MERGEFORMAT ">
      <w:r w:rsidR="005F5457">
        <w:t>doc.: IEEE 802.11-</w:t>
      </w:r>
      <w:r w:rsidR="005F39A6">
        <w:t>20</w:t>
      </w:r>
      <w:r w:rsidR="005F5457">
        <w:t>/</w:t>
      </w:r>
      <w:r w:rsidR="005F39A6">
        <w:t>1673</w:t>
      </w:r>
      <w:r w:rsidR="005F5457">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8730A"/>
    <w:multiLevelType w:val="hybridMultilevel"/>
    <w:tmpl w:val="0EC26584"/>
    <w:lvl w:ilvl="0" w:tplc="039EFC8C">
      <w:start w:val="1"/>
      <w:numFmt w:val="bullet"/>
      <w:lvlText w:val="•"/>
      <w:lvlJc w:val="left"/>
      <w:pPr>
        <w:tabs>
          <w:tab w:val="num" w:pos="720"/>
        </w:tabs>
        <w:ind w:left="720" w:hanging="360"/>
      </w:pPr>
      <w:rPr>
        <w:rFonts w:ascii="Times New Roman" w:hAnsi="Times New Roman" w:hint="default"/>
      </w:rPr>
    </w:lvl>
    <w:lvl w:ilvl="1" w:tplc="0B18EC12" w:tentative="1">
      <w:start w:val="1"/>
      <w:numFmt w:val="bullet"/>
      <w:lvlText w:val="•"/>
      <w:lvlJc w:val="left"/>
      <w:pPr>
        <w:tabs>
          <w:tab w:val="num" w:pos="1440"/>
        </w:tabs>
        <w:ind w:left="1440" w:hanging="360"/>
      </w:pPr>
      <w:rPr>
        <w:rFonts w:ascii="Times New Roman" w:hAnsi="Times New Roman" w:hint="default"/>
      </w:rPr>
    </w:lvl>
    <w:lvl w:ilvl="2" w:tplc="28769A80" w:tentative="1">
      <w:start w:val="1"/>
      <w:numFmt w:val="bullet"/>
      <w:lvlText w:val="•"/>
      <w:lvlJc w:val="left"/>
      <w:pPr>
        <w:tabs>
          <w:tab w:val="num" w:pos="2160"/>
        </w:tabs>
        <w:ind w:left="2160" w:hanging="360"/>
      </w:pPr>
      <w:rPr>
        <w:rFonts w:ascii="Times New Roman" w:hAnsi="Times New Roman" w:hint="default"/>
      </w:rPr>
    </w:lvl>
    <w:lvl w:ilvl="3" w:tplc="C94C0C90" w:tentative="1">
      <w:start w:val="1"/>
      <w:numFmt w:val="bullet"/>
      <w:lvlText w:val="•"/>
      <w:lvlJc w:val="left"/>
      <w:pPr>
        <w:tabs>
          <w:tab w:val="num" w:pos="2880"/>
        </w:tabs>
        <w:ind w:left="2880" w:hanging="360"/>
      </w:pPr>
      <w:rPr>
        <w:rFonts w:ascii="Times New Roman" w:hAnsi="Times New Roman" w:hint="default"/>
      </w:rPr>
    </w:lvl>
    <w:lvl w:ilvl="4" w:tplc="6DB664E8" w:tentative="1">
      <w:start w:val="1"/>
      <w:numFmt w:val="bullet"/>
      <w:lvlText w:val="•"/>
      <w:lvlJc w:val="left"/>
      <w:pPr>
        <w:tabs>
          <w:tab w:val="num" w:pos="3600"/>
        </w:tabs>
        <w:ind w:left="3600" w:hanging="360"/>
      </w:pPr>
      <w:rPr>
        <w:rFonts w:ascii="Times New Roman" w:hAnsi="Times New Roman" w:hint="default"/>
      </w:rPr>
    </w:lvl>
    <w:lvl w:ilvl="5" w:tplc="AF305CF4" w:tentative="1">
      <w:start w:val="1"/>
      <w:numFmt w:val="bullet"/>
      <w:lvlText w:val="•"/>
      <w:lvlJc w:val="left"/>
      <w:pPr>
        <w:tabs>
          <w:tab w:val="num" w:pos="4320"/>
        </w:tabs>
        <w:ind w:left="4320" w:hanging="360"/>
      </w:pPr>
      <w:rPr>
        <w:rFonts w:ascii="Times New Roman" w:hAnsi="Times New Roman" w:hint="default"/>
      </w:rPr>
    </w:lvl>
    <w:lvl w:ilvl="6" w:tplc="9006B16E" w:tentative="1">
      <w:start w:val="1"/>
      <w:numFmt w:val="bullet"/>
      <w:lvlText w:val="•"/>
      <w:lvlJc w:val="left"/>
      <w:pPr>
        <w:tabs>
          <w:tab w:val="num" w:pos="5040"/>
        </w:tabs>
        <w:ind w:left="5040" w:hanging="360"/>
      </w:pPr>
      <w:rPr>
        <w:rFonts w:ascii="Times New Roman" w:hAnsi="Times New Roman" w:hint="default"/>
      </w:rPr>
    </w:lvl>
    <w:lvl w:ilvl="7" w:tplc="4F7A5942" w:tentative="1">
      <w:start w:val="1"/>
      <w:numFmt w:val="bullet"/>
      <w:lvlText w:val="•"/>
      <w:lvlJc w:val="left"/>
      <w:pPr>
        <w:tabs>
          <w:tab w:val="num" w:pos="5760"/>
        </w:tabs>
        <w:ind w:left="5760" w:hanging="360"/>
      </w:pPr>
      <w:rPr>
        <w:rFonts w:ascii="Times New Roman" w:hAnsi="Times New Roman" w:hint="default"/>
      </w:rPr>
    </w:lvl>
    <w:lvl w:ilvl="8" w:tplc="C8FAA0E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57"/>
    <w:rsid w:val="001B44C6"/>
    <w:rsid w:val="001D723B"/>
    <w:rsid w:val="0029020B"/>
    <w:rsid w:val="002D44BE"/>
    <w:rsid w:val="00442037"/>
    <w:rsid w:val="004B064B"/>
    <w:rsid w:val="00556483"/>
    <w:rsid w:val="005D07F7"/>
    <w:rsid w:val="005D5370"/>
    <w:rsid w:val="005F39A6"/>
    <w:rsid w:val="005F5457"/>
    <w:rsid w:val="0062440B"/>
    <w:rsid w:val="006C0727"/>
    <w:rsid w:val="006E145F"/>
    <w:rsid w:val="00770572"/>
    <w:rsid w:val="009F2FBC"/>
    <w:rsid w:val="00AA427C"/>
    <w:rsid w:val="00BE68C2"/>
    <w:rsid w:val="00CA09B2"/>
    <w:rsid w:val="00D62A2E"/>
    <w:rsid w:val="00DC5A7B"/>
    <w:rsid w:val="00F1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E920D4-C0CA-4C48-99AA-30AD40CF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2425">
      <w:bodyDiv w:val="1"/>
      <w:marLeft w:val="0"/>
      <w:marRight w:val="0"/>
      <w:marTop w:val="0"/>
      <w:marBottom w:val="0"/>
      <w:divBdr>
        <w:top w:val="none" w:sz="0" w:space="0" w:color="auto"/>
        <w:left w:val="none" w:sz="0" w:space="0" w:color="auto"/>
        <w:bottom w:val="none" w:sz="0" w:space="0" w:color="auto"/>
        <w:right w:val="none" w:sz="0" w:space="0" w:color="auto"/>
      </w:divBdr>
    </w:div>
    <w:div w:id="420300632">
      <w:bodyDiv w:val="1"/>
      <w:marLeft w:val="0"/>
      <w:marRight w:val="0"/>
      <w:marTop w:val="0"/>
      <w:marBottom w:val="0"/>
      <w:divBdr>
        <w:top w:val="none" w:sz="0" w:space="0" w:color="auto"/>
        <w:left w:val="none" w:sz="0" w:space="0" w:color="auto"/>
        <w:bottom w:val="none" w:sz="0" w:space="0" w:color="auto"/>
        <w:right w:val="none" w:sz="0" w:space="0" w:color="auto"/>
      </w:divBdr>
      <w:divsChild>
        <w:div w:id="28798884">
          <w:marLeft w:val="547"/>
          <w:marRight w:val="0"/>
          <w:marTop w:val="96"/>
          <w:marBottom w:val="0"/>
          <w:divBdr>
            <w:top w:val="none" w:sz="0" w:space="0" w:color="auto"/>
            <w:left w:val="none" w:sz="0" w:space="0" w:color="auto"/>
            <w:bottom w:val="none" w:sz="0" w:space="0" w:color="auto"/>
            <w:right w:val="none" w:sz="0" w:space="0" w:color="auto"/>
          </w:divBdr>
        </w:div>
      </w:divsChild>
    </w:div>
    <w:div w:id="15772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103</TotalTime>
  <Pages>6</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1</cp:revision>
  <cp:lastPrinted>1601-01-01T00:00:00Z</cp:lastPrinted>
  <dcterms:created xsi:type="dcterms:W3CDTF">2020-10-19T11:16:00Z</dcterms:created>
  <dcterms:modified xsi:type="dcterms:W3CDTF">2020-10-19T12:59:00Z</dcterms:modified>
</cp:coreProperties>
</file>