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49538A" w:rsidRDefault="00DD2B06" w:rsidP="00DD2B06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szCs w:val="28"/>
                <w:lang w:val="en-US" w:eastAsia="zh-CN"/>
              </w:rPr>
              <w:t>PHY CIDs</w:t>
            </w:r>
            <w:r w:rsidR="003B7646">
              <w:rPr>
                <w:szCs w:val="28"/>
                <w:lang w:val="en-US" w:eastAsia="zh-CN"/>
              </w:rPr>
              <w:t xml:space="preserve"> </w:t>
            </w:r>
            <w:r w:rsidR="00E86EA4">
              <w:rPr>
                <w:szCs w:val="28"/>
                <w:lang w:val="en-US" w:eastAsia="zh-CN"/>
              </w:rPr>
              <w:t xml:space="preserve">on DCM </w:t>
            </w:r>
            <w:r w:rsidR="007A4362">
              <w:rPr>
                <w:bCs/>
                <w:szCs w:val="28"/>
              </w:rPr>
              <w:t>for D</w:t>
            </w:r>
            <w:r w:rsidR="004E6A41">
              <w:rPr>
                <w:bCs/>
                <w:szCs w:val="28"/>
              </w:rPr>
              <w:t>7</w:t>
            </w:r>
            <w:r w:rsidR="007A4362">
              <w:rPr>
                <w:bCs/>
                <w:szCs w:val="28"/>
              </w:rPr>
              <w:t>.</w:t>
            </w:r>
            <w:r w:rsidR="003B7646">
              <w:rPr>
                <w:bCs/>
                <w:szCs w:val="28"/>
              </w:rPr>
              <w:t>0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F2509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733E9D">
              <w:rPr>
                <w:b w:val="0"/>
                <w:sz w:val="20"/>
              </w:rPr>
              <w:t>20</w:t>
            </w:r>
            <w:r w:rsidRPr="00FA777D">
              <w:rPr>
                <w:b w:val="0"/>
                <w:sz w:val="20"/>
              </w:rPr>
              <w:t>-</w:t>
            </w:r>
            <w:r w:rsidR="00F25099">
              <w:rPr>
                <w:b w:val="0"/>
                <w:sz w:val="20"/>
                <w:lang w:eastAsia="zh-CN"/>
              </w:rPr>
              <w:t>10</w:t>
            </w:r>
            <w:r>
              <w:rPr>
                <w:b w:val="0"/>
                <w:sz w:val="20"/>
                <w:lang w:eastAsia="zh-CN"/>
              </w:rPr>
              <w:t>-0</w:t>
            </w:r>
            <w:r w:rsidR="00AD1151">
              <w:rPr>
                <w:b w:val="0"/>
                <w:sz w:val="20"/>
                <w:lang w:eastAsia="zh-CN"/>
              </w:rPr>
              <w:t>7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FA37F2" w:rsidRDefault="00694F0A" w:rsidP="00BF5539">
      <w:pPr>
        <w:rPr>
          <w:rFonts w:ascii="Arial" w:hAnsi="Arial" w:cs="Arial"/>
          <w:sz w:val="20"/>
          <w:szCs w:val="20"/>
        </w:rPr>
      </w:pPr>
      <w:r w:rsidRPr="00356392">
        <w:rPr>
          <w:sz w:val="22"/>
          <w:szCs w:val="22"/>
        </w:rPr>
        <w:t>This document contains comment resolution</w:t>
      </w:r>
      <w:r w:rsidR="00FA37F2">
        <w:rPr>
          <w:sz w:val="22"/>
          <w:szCs w:val="22"/>
        </w:rPr>
        <w:t>s</w:t>
      </w:r>
      <w:r w:rsidRPr="00356392">
        <w:rPr>
          <w:sz w:val="22"/>
          <w:szCs w:val="22"/>
        </w:rPr>
        <w:t xml:space="preserve"> on the following CIDs </w:t>
      </w:r>
      <w:r w:rsidR="001D7986" w:rsidRPr="00356392">
        <w:rPr>
          <w:bCs/>
          <w:sz w:val="22"/>
          <w:szCs w:val="22"/>
        </w:rPr>
        <w:t xml:space="preserve">in draft </w:t>
      </w:r>
      <w:r w:rsidR="0023703C">
        <w:rPr>
          <w:bCs/>
          <w:sz w:val="22"/>
          <w:szCs w:val="22"/>
        </w:rPr>
        <w:t>7</w:t>
      </w:r>
      <w:r w:rsidR="007A4362">
        <w:rPr>
          <w:bCs/>
          <w:sz w:val="22"/>
          <w:szCs w:val="22"/>
        </w:rPr>
        <w:t>.</w:t>
      </w:r>
      <w:r w:rsidR="003B7646">
        <w:rPr>
          <w:bCs/>
          <w:sz w:val="22"/>
          <w:szCs w:val="22"/>
        </w:rPr>
        <w:t>0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EB2564" w:rsidRDefault="0023703C" w:rsidP="00EB2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25006,</w:t>
      </w:r>
      <w:r w:rsidR="00833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25007 and 25008.</w:t>
      </w:r>
    </w:p>
    <w:p w:rsidR="00EB2564" w:rsidRDefault="00EB2564" w:rsidP="00EB2564">
      <w:pPr>
        <w:rPr>
          <w:rFonts w:ascii="Arial" w:hAnsi="Arial" w:cs="Arial"/>
          <w:sz w:val="20"/>
          <w:szCs w:val="20"/>
        </w:rPr>
      </w:pPr>
    </w:p>
    <w:p w:rsidR="002928DB" w:rsidRDefault="002928DB" w:rsidP="002928DB">
      <w:pPr>
        <w:rPr>
          <w:rFonts w:ascii="Arial" w:hAnsi="Arial" w:cs="Arial"/>
          <w:sz w:val="20"/>
          <w:szCs w:val="20"/>
        </w:rPr>
      </w:pPr>
    </w:p>
    <w:p w:rsidR="009D2CE7" w:rsidRDefault="009D2CE7" w:rsidP="009D2CE7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1217"/>
        <w:gridCol w:w="892"/>
        <w:gridCol w:w="803"/>
        <w:gridCol w:w="2723"/>
        <w:gridCol w:w="1755"/>
        <w:gridCol w:w="1705"/>
      </w:tblGrid>
      <w:tr w:rsidR="00680276" w:rsidTr="00966BA4">
        <w:trPr>
          <w:trHeight w:val="485"/>
        </w:trPr>
        <w:tc>
          <w:tcPr>
            <w:tcW w:w="97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680276" w:rsidRPr="00370EA5" w:rsidRDefault="00680276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92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2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5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70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80276" w:rsidTr="003D077E">
        <w:tc>
          <w:tcPr>
            <w:tcW w:w="975" w:type="dxa"/>
          </w:tcPr>
          <w:p w:rsidR="00E8093B" w:rsidRDefault="004E6A41" w:rsidP="00E8093B">
            <w:pPr>
              <w:rPr>
                <w:rFonts w:ascii="Arial" w:hAnsi="Arial" w:cs="Arial"/>
                <w:sz w:val="20"/>
                <w:szCs w:val="20"/>
              </w:rPr>
            </w:pPr>
            <w:r w:rsidRPr="004E6A41">
              <w:rPr>
                <w:rFonts w:ascii="Arial" w:hAnsi="Arial" w:cs="Arial"/>
                <w:sz w:val="20"/>
                <w:szCs w:val="20"/>
              </w:rPr>
              <w:t>25006</w:t>
            </w:r>
          </w:p>
          <w:p w:rsidR="00680276" w:rsidRDefault="00680276" w:rsidP="0068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0276" w:rsidRPr="00833A33" w:rsidRDefault="004E6A41" w:rsidP="009D2CE7">
            <w:pPr>
              <w:rPr>
                <w:sz w:val="20"/>
                <w:highlight w:val="yellow"/>
              </w:rPr>
            </w:pPr>
            <w:r w:rsidRPr="004E6A41">
              <w:rPr>
                <w:sz w:val="20"/>
              </w:rPr>
              <w:t>27.3.9</w:t>
            </w:r>
          </w:p>
        </w:tc>
        <w:tc>
          <w:tcPr>
            <w:tcW w:w="892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566</w:t>
            </w:r>
          </w:p>
        </w:tc>
        <w:tc>
          <w:tcPr>
            <w:tcW w:w="803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12</w:t>
            </w:r>
          </w:p>
        </w:tc>
        <w:tc>
          <w:tcPr>
            <w:tcW w:w="2723" w:type="dxa"/>
          </w:tcPr>
          <w:p w:rsidR="004E6A41" w:rsidRPr="004E6A41" w:rsidRDefault="004E6A41" w:rsidP="004E6A41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>On behalf of Brian Hart:</w:t>
            </w:r>
          </w:p>
          <w:p w:rsidR="004E6A41" w:rsidRPr="004E6A41" w:rsidRDefault="004E6A41" w:rsidP="004E6A41">
            <w:pPr>
              <w:rPr>
                <w:sz w:val="20"/>
                <w:szCs w:val="20"/>
              </w:rPr>
            </w:pPr>
          </w:p>
          <w:p w:rsidR="00680276" w:rsidRPr="00E8093B" w:rsidRDefault="004E6A41" w:rsidP="006D78AA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 xml:space="preserve">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table 27-13 is different for 80+80 vs </w:t>
            </w:r>
            <w:r w:rsidR="006D78AA" w:rsidRPr="004E6A41">
              <w:rPr>
                <w:sz w:val="20"/>
                <w:szCs w:val="20"/>
              </w:rPr>
              <w:t>160 but</w:t>
            </w:r>
            <w:r w:rsidRPr="004E6A41">
              <w:rPr>
                <w:sz w:val="20"/>
                <w:szCs w:val="20"/>
              </w:rPr>
              <w:t xml:space="preserve"> the same for DCM for </w:t>
            </w:r>
            <w:r w:rsidR="006D78AA" w:rsidRPr="006D78AA">
              <w:rPr>
                <w:sz w:val="20"/>
                <w:szCs w:val="20"/>
              </w:rPr>
              <w:t xml:space="preserve">non-DCM and </w:t>
            </w:r>
            <w:r w:rsidRPr="004E6A41">
              <w:rPr>
                <w:sz w:val="20"/>
                <w:szCs w:val="20"/>
              </w:rPr>
              <w:t xml:space="preserve">all bandwidths (for non-OFDMA HE modulated portions) yet 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section 27.5.7, has no differentiation between 80+80 vs 160, but does have </w:t>
            </w:r>
            <w:proofErr w:type="spellStart"/>
            <w:r w:rsidRPr="004E6A41">
              <w:rPr>
                <w:sz w:val="20"/>
                <w:szCs w:val="20"/>
              </w:rPr>
              <w:t>differentation</w:t>
            </w:r>
            <w:proofErr w:type="spellEnd"/>
            <w:r w:rsidRPr="004E6A41">
              <w:rPr>
                <w:sz w:val="20"/>
                <w:szCs w:val="20"/>
              </w:rPr>
              <w:t xml:space="preserve"> for non-DCM vs DCM (including for non-OFDMA 160 and 80+80MHz).</w:t>
            </w:r>
          </w:p>
        </w:tc>
        <w:tc>
          <w:tcPr>
            <w:tcW w:w="1755" w:type="dxa"/>
          </w:tcPr>
          <w:p w:rsidR="00680276" w:rsidRPr="00E8093B" w:rsidRDefault="004E6A41" w:rsidP="004E6A41">
            <w:pPr>
              <w:rPr>
                <w:sz w:val="20"/>
              </w:rPr>
            </w:pPr>
            <w:r w:rsidRPr="004E6A41">
              <w:rPr>
                <w:sz w:val="20"/>
              </w:rPr>
              <w:t xml:space="preserve">Option A: Delete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from table 27-13 and refer to section 27.5 instead. But if this breaks things then Option B: Change the name of one or both of these </w:t>
            </w:r>
            <w:proofErr w:type="spellStart"/>
            <w:r w:rsidRPr="004E6A41">
              <w:rPr>
                <w:sz w:val="20"/>
              </w:rPr>
              <w:t>Nsd's</w:t>
            </w:r>
            <w:proofErr w:type="spellEnd"/>
            <w:r w:rsidRPr="004E6A41">
              <w:rPr>
                <w:sz w:val="20"/>
              </w:rPr>
              <w:t xml:space="preserve"> (</w:t>
            </w:r>
            <w:proofErr w:type="spellStart"/>
            <w:r w:rsidRPr="004E6A41">
              <w:rPr>
                <w:sz w:val="20"/>
              </w:rPr>
              <w:t>e.g</w:t>
            </w:r>
            <w:proofErr w:type="spellEnd"/>
            <w:r w:rsidRPr="004E6A41">
              <w:rPr>
                <w:sz w:val="20"/>
              </w:rPr>
              <w:t xml:space="preserve"> 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 xml:space="preserve"> and 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 xml:space="preserve">) and review each usage of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in the draft to determine if "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>" or "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>" is needed then make the change</w:t>
            </w:r>
          </w:p>
        </w:tc>
        <w:tc>
          <w:tcPr>
            <w:tcW w:w="1705" w:type="dxa"/>
          </w:tcPr>
          <w:p w:rsidR="00966BA4" w:rsidRDefault="003354A3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E8093B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F60936">
              <w:rPr>
                <w:rFonts w:eastAsiaTheme="minorEastAsia"/>
                <w:sz w:val="20"/>
                <w:szCs w:val="20"/>
                <w:lang w:eastAsia="ja-JP"/>
              </w:rPr>
              <w:t>d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:</w:t>
            </w:r>
          </w:p>
          <w:p w:rsidR="006D78AA" w:rsidRDefault="006D78AA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6D78AA" w:rsidRPr="00E8093B" w:rsidRDefault="006D78AA" w:rsidP="00C23CAD">
            <w:pPr>
              <w:rPr>
                <w:sz w:val="20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of CID 25006 in </w:t>
            </w:r>
            <w:r w:rsidR="00C23CAD" w:rsidRPr="00C23CAD">
              <w:rPr>
                <w:rFonts w:eastAsiaTheme="minorEastAsia"/>
                <w:sz w:val="20"/>
                <w:szCs w:val="20"/>
                <w:lang w:eastAsia="ja-JP"/>
              </w:rPr>
              <w:t>in doc IEEE</w:t>
            </w:r>
            <w:r w:rsidR="00C23CAD">
              <w:rPr>
                <w:rFonts w:eastAsiaTheme="minorEastAsia"/>
                <w:sz w:val="20"/>
                <w:szCs w:val="20"/>
                <w:lang w:eastAsia="ja-JP"/>
              </w:rPr>
              <w:t xml:space="preserve"> 802.11-20</w:t>
            </w:r>
            <w:r w:rsidR="00C23CAD" w:rsidRPr="00C23CAD">
              <w:rPr>
                <w:rFonts w:eastAsiaTheme="minorEastAsia"/>
                <w:sz w:val="20"/>
                <w:szCs w:val="20"/>
                <w:lang w:eastAsia="ja-JP"/>
              </w:rPr>
              <w:t>/</w:t>
            </w:r>
            <w:r w:rsidR="00A50565">
              <w:t xml:space="preserve"> </w:t>
            </w:r>
            <w:r w:rsidR="00A50565" w:rsidRPr="00A50565">
              <w:rPr>
                <w:rFonts w:eastAsiaTheme="minorEastAsia"/>
                <w:sz w:val="20"/>
                <w:szCs w:val="20"/>
                <w:lang w:eastAsia="ja-JP"/>
              </w:rPr>
              <w:t>1664</w:t>
            </w:r>
            <w:r w:rsidR="00C23CAD" w:rsidRPr="00C23CAD">
              <w:rPr>
                <w:rFonts w:eastAsiaTheme="minorEastAsia"/>
                <w:sz w:val="20"/>
                <w:szCs w:val="20"/>
                <w:lang w:eastAsia="ja-JP"/>
              </w:rPr>
              <w:t>r</w:t>
            </w:r>
            <w:r w:rsidR="00C23CAD">
              <w:rPr>
                <w:rFonts w:eastAsiaTheme="minorEastAsia"/>
                <w:sz w:val="20"/>
                <w:szCs w:val="20"/>
                <w:lang w:eastAsia="ja-JP"/>
              </w:rPr>
              <w:t>0.</w:t>
            </w:r>
          </w:p>
        </w:tc>
      </w:tr>
    </w:tbl>
    <w:p w:rsidR="00F14C8B" w:rsidRDefault="00F14C8B" w:rsidP="00F14C8B">
      <w:pPr>
        <w:rPr>
          <w:b/>
          <w:u w:val="single"/>
        </w:rPr>
      </w:pPr>
    </w:p>
    <w:p w:rsidR="00DA3C41" w:rsidRDefault="00DA3C41" w:rsidP="00F14C8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113"/>
        <w:gridCol w:w="767"/>
        <w:gridCol w:w="692"/>
        <w:gridCol w:w="1805"/>
        <w:gridCol w:w="3431"/>
        <w:gridCol w:w="1418"/>
      </w:tblGrid>
      <w:tr w:rsidR="000F735F" w:rsidTr="00F05296">
        <w:trPr>
          <w:trHeight w:val="485"/>
        </w:trPr>
        <w:tc>
          <w:tcPr>
            <w:tcW w:w="956" w:type="dxa"/>
          </w:tcPr>
          <w:p w:rsidR="00B870B8" w:rsidRDefault="00F14C8B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 w:rsidRPr="00893713">
              <w:rPr>
                <w:b/>
                <w:i/>
                <w:strike/>
                <w:color w:val="FF0000"/>
                <w:sz w:val="22"/>
                <w:szCs w:val="22"/>
                <w:highlight w:val="yellow"/>
              </w:rPr>
              <w:br w:type="page"/>
            </w:r>
            <w:r w:rsidR="00B870B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B870B8" w:rsidRPr="00370EA5" w:rsidRDefault="00B870B8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73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786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59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17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62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735F" w:rsidTr="00F05296">
        <w:tc>
          <w:tcPr>
            <w:tcW w:w="956" w:type="dxa"/>
          </w:tcPr>
          <w:p w:rsidR="00B870B8" w:rsidRPr="00335771" w:rsidRDefault="006551BB" w:rsidP="006551BB">
            <w:pPr>
              <w:rPr>
                <w:sz w:val="22"/>
                <w:szCs w:val="22"/>
              </w:rPr>
            </w:pPr>
            <w:r w:rsidRPr="006551BB">
              <w:rPr>
                <w:sz w:val="22"/>
                <w:szCs w:val="22"/>
              </w:rPr>
              <w:t>25007</w:t>
            </w:r>
          </w:p>
        </w:tc>
        <w:tc>
          <w:tcPr>
            <w:tcW w:w="1217" w:type="dxa"/>
          </w:tcPr>
          <w:p w:rsidR="00B870B8" w:rsidRPr="00335771" w:rsidRDefault="006551BB" w:rsidP="003D077E">
            <w:pPr>
              <w:rPr>
                <w:sz w:val="22"/>
                <w:szCs w:val="22"/>
                <w:highlight w:val="yellow"/>
              </w:rPr>
            </w:pPr>
            <w:r w:rsidRPr="006551BB">
              <w:rPr>
                <w:sz w:val="22"/>
                <w:szCs w:val="22"/>
              </w:rPr>
              <w:t>27.3.12.9</w:t>
            </w:r>
          </w:p>
        </w:tc>
        <w:tc>
          <w:tcPr>
            <w:tcW w:w="873" w:type="dxa"/>
          </w:tcPr>
          <w:p w:rsidR="00B870B8" w:rsidRPr="00EC22F1" w:rsidRDefault="006551BB" w:rsidP="00C3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B870B8" w:rsidRPr="00335771" w:rsidRDefault="00E8093B" w:rsidP="006551BB">
            <w:pPr>
              <w:rPr>
                <w:sz w:val="22"/>
                <w:szCs w:val="22"/>
              </w:rPr>
            </w:pPr>
            <w:r w:rsidRPr="00335771">
              <w:rPr>
                <w:sz w:val="22"/>
                <w:szCs w:val="22"/>
              </w:rPr>
              <w:t>2</w:t>
            </w:r>
            <w:r w:rsidR="006551BB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"Maximize frequency diversity" is not true for 2x996 because DCM modulation is per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</w:p>
        </w:tc>
        <w:tc>
          <w:tcPr>
            <w:tcW w:w="1917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Try "If DCM is employed, bit sequences are mapped to a pair of symbols </w:t>
            </w:r>
            <w:proofErr w:type="spellStart"/>
            <w:r w:rsidRPr="00E10C8E">
              <w:rPr>
                <w:sz w:val="22"/>
                <w:szCs w:val="22"/>
              </w:rPr>
              <w:t>d’k,d’qk</w:t>
            </w:r>
            <w:proofErr w:type="spellEnd"/>
            <w:r w:rsidRPr="00E10C8E">
              <w:rPr>
                <w:sz w:val="22"/>
                <w:szCs w:val="22"/>
              </w:rPr>
              <w:t xml:space="preserve"> where: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  <w:t xml:space="preserve">k is in the range of 0&lt;=k&lt;=Nsd-1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&lt;=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&lt;= 2Nsd-1 for a 996-tone or smaller RU, and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</w:r>
            <w:proofErr w:type="gramStart"/>
            <w:r w:rsidRPr="00E10C8E">
              <w:rPr>
                <w:sz w:val="22"/>
                <w:szCs w:val="22"/>
              </w:rPr>
              <w:t>k</w:t>
            </w:r>
            <w:proofErr w:type="gramEnd"/>
            <w:r w:rsidRPr="00E10C8E">
              <w:rPr>
                <w:sz w:val="22"/>
                <w:szCs w:val="22"/>
              </w:rPr>
              <w:t xml:space="preserve"> is in the range of 0&lt;=k&lt;=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/2-1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>/2&lt;=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&lt;=Nsd-1 for each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of a 2×996-tone RU. </w:t>
            </w: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To maximize the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 xml:space="preserve"> for a 996-tone or smaller RU. To provide a large measure of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>/2 for a 2×996-tone RU."</w:t>
            </w:r>
          </w:p>
        </w:tc>
        <w:tc>
          <w:tcPr>
            <w:tcW w:w="1662" w:type="dxa"/>
          </w:tcPr>
          <w:p w:rsidR="000B4DDD" w:rsidRDefault="000B4DDD" w:rsidP="008D03F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 w:rsidR="00F60936"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:</w:t>
            </w:r>
          </w:p>
          <w:p w:rsidR="000B4DDD" w:rsidRPr="000B4DDD" w:rsidRDefault="000B4DDD" w:rsidP="000B4D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0B4DDD" w:rsidRDefault="000B4DDD" w:rsidP="000B4DDD">
            <w:pPr>
              <w:rPr>
                <w:sz w:val="22"/>
                <w:szCs w:val="22"/>
                <w:lang w:eastAsia="ja-JP"/>
              </w:rPr>
            </w:pPr>
          </w:p>
          <w:p w:rsidR="00806AAE" w:rsidRPr="000B4DDD" w:rsidRDefault="000B4DDD" w:rsidP="000B4DDD">
            <w:pPr>
              <w:rPr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of CID 25007 in 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in doc IEEE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802.11-20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/</w:t>
            </w:r>
            <w:r w:rsidR="00A50565">
              <w:t xml:space="preserve"> </w:t>
            </w:r>
            <w:r w:rsidR="00A50565" w:rsidRPr="00A50565">
              <w:rPr>
                <w:rFonts w:eastAsiaTheme="minorEastAsia"/>
                <w:sz w:val="20"/>
                <w:szCs w:val="20"/>
                <w:lang w:eastAsia="ja-JP"/>
              </w:rPr>
              <w:t>1664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r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0.</w:t>
            </w:r>
          </w:p>
        </w:tc>
      </w:tr>
      <w:tr w:rsidR="000F735F" w:rsidTr="00F05296">
        <w:tc>
          <w:tcPr>
            <w:tcW w:w="956" w:type="dxa"/>
          </w:tcPr>
          <w:p w:rsidR="009F09CC" w:rsidRPr="00335771" w:rsidRDefault="00E10C8E" w:rsidP="009F09CC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>25008</w:t>
            </w:r>
          </w:p>
        </w:tc>
        <w:tc>
          <w:tcPr>
            <w:tcW w:w="1217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27.3.12.9</w:t>
            </w:r>
          </w:p>
          <w:p w:rsidR="009F09CC" w:rsidRPr="00335771" w:rsidRDefault="009F09CC" w:rsidP="009F09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9F09CC" w:rsidRPr="00EC22F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>DCM description does not extend to 160MHz.</w:t>
            </w:r>
          </w:p>
        </w:tc>
        <w:tc>
          <w:tcPr>
            <w:tcW w:w="1917" w:type="dxa"/>
          </w:tcPr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 xml:space="preserve">This affects the BPSK. QPSK and 16QAM paragraphs, each of which need to be fixed. As an example fix, just for BPSK, try: "Define 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as 1 for all RUs except 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 equals 2 for 2x996 tone </w:t>
            </w:r>
            <w:proofErr w:type="spellStart"/>
            <w:r w:rsidRPr="00E10C8E">
              <w:rPr>
                <w:sz w:val="22"/>
                <w:szCs w:val="22"/>
              </w:rPr>
              <w:t>RUs.</w:t>
            </w:r>
            <w:proofErr w:type="spellEnd"/>
            <w:r w:rsidRPr="00E10C8E">
              <w:rPr>
                <w:sz w:val="22"/>
                <w:szCs w:val="22"/>
              </w:rPr>
              <w:t xml:space="preserve"> For BPSK modulation with DCM, the input stream of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is </w:t>
            </w:r>
            <w:r w:rsidRPr="00E10C8E">
              <w:rPr>
                <w:sz w:val="22"/>
                <w:szCs w:val="22"/>
              </w:rPr>
              <w:lastRenderedPageBreak/>
              <w:t>broken into groups of N CBPS/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or N </w:t>
            </w:r>
            <w:proofErr w:type="spellStart"/>
            <w:r w:rsidRPr="00E10C8E">
              <w:rPr>
                <w:sz w:val="22"/>
                <w:szCs w:val="22"/>
              </w:rPr>
              <w:t>CBPS,u</w:t>
            </w:r>
            <w:proofErr w:type="spellEnd"/>
            <w:r w:rsidRPr="00E10C8E">
              <w:rPr>
                <w:sz w:val="22"/>
                <w:szCs w:val="22"/>
              </w:rPr>
              <w:t>/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bits (B0,B1,Bcbps,u/NfreqSubblocks,ru-1). Each bit </w:t>
            </w:r>
            <w:proofErr w:type="gramStart"/>
            <w:r w:rsidRPr="00E10C8E">
              <w:rPr>
                <w:sz w:val="22"/>
                <w:szCs w:val="22"/>
              </w:rPr>
              <w:t>Bk  is</w:t>
            </w:r>
            <w:proofErr w:type="gramEnd"/>
            <w:r w:rsidRPr="00E10C8E">
              <w:rPr>
                <w:sz w:val="22"/>
                <w:szCs w:val="22"/>
              </w:rPr>
              <w:t xml:space="preserve"> BPSK modulated to a sample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 xml:space="preserve">. This generates the samples for the lower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. For the upper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, the samples are generated as </w:t>
            </w:r>
            <w:proofErr w:type="spellStart"/>
            <w:proofErr w:type="gramStart"/>
            <w:r w:rsidRPr="00E10C8E">
              <w:rPr>
                <w:sz w:val="22"/>
                <w:szCs w:val="22"/>
              </w:rPr>
              <w:t>d’q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gramEnd"/>
            <w:r w:rsidRPr="00E10C8E">
              <w:rPr>
                <w:sz w:val="22"/>
                <w:szCs w:val="22"/>
              </w:rPr>
              <w:t xml:space="preserve">k) =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>*</w:t>
            </w:r>
            <w:proofErr w:type="spellStart"/>
            <w:r w:rsidRPr="00E10C8E">
              <w:rPr>
                <w:sz w:val="22"/>
                <w:szCs w:val="22"/>
              </w:rPr>
              <w:t>exp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spellStart"/>
            <w:r w:rsidRPr="00E10C8E">
              <w:rPr>
                <w:sz w:val="22"/>
                <w:szCs w:val="22"/>
              </w:rPr>
              <w:t>jq</w:t>
            </w:r>
            <w:proofErr w:type="spellEnd"/>
            <w:r w:rsidRPr="00E10C8E">
              <w:rPr>
                <w:sz w:val="22"/>
                <w:szCs w:val="22"/>
              </w:rPr>
              <w:t>(k)pi), k=0,1,..Nsd/NfreqSubblocks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gramEnd"/>
            <w:r w:rsidRPr="00E10C8E">
              <w:rPr>
                <w:sz w:val="22"/>
                <w:szCs w:val="22"/>
              </w:rPr>
              <w:t xml:space="preserve">-1.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here refers to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1, which is half the value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0 (see sections 27.5 and 27.6).  "</w:t>
            </w:r>
          </w:p>
        </w:tc>
        <w:tc>
          <w:tcPr>
            <w:tcW w:w="1662" w:type="dxa"/>
          </w:tcPr>
          <w:p w:rsidR="008D03F4" w:rsidRDefault="00401761" w:rsidP="00C6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</w:t>
            </w:r>
            <w:r w:rsidR="00162A0E">
              <w:rPr>
                <w:sz w:val="22"/>
                <w:szCs w:val="22"/>
              </w:rPr>
              <w:t>vised.</w:t>
            </w:r>
          </w:p>
          <w:p w:rsidR="00401761" w:rsidRDefault="00401761" w:rsidP="00C65BB1">
            <w:pPr>
              <w:rPr>
                <w:sz w:val="22"/>
                <w:szCs w:val="22"/>
              </w:rPr>
            </w:pPr>
          </w:p>
          <w:p w:rsidR="00401761" w:rsidRPr="00335771" w:rsidRDefault="00401761" w:rsidP="00401761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of CID 25008 in 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in doc IEEE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802.11-20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/</w:t>
            </w:r>
            <w:r w:rsidR="00A50565">
              <w:t xml:space="preserve"> </w:t>
            </w:r>
            <w:r w:rsidR="00A50565" w:rsidRPr="00A50565">
              <w:rPr>
                <w:rFonts w:eastAsiaTheme="minorEastAsia"/>
                <w:sz w:val="20"/>
                <w:szCs w:val="20"/>
                <w:lang w:eastAsia="ja-JP"/>
              </w:rPr>
              <w:t>1664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>r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0.</w:t>
            </w:r>
          </w:p>
        </w:tc>
        <w:bookmarkStart w:id="0" w:name="_GoBack"/>
        <w:bookmarkEnd w:id="0"/>
      </w:tr>
    </w:tbl>
    <w:p w:rsidR="00F14C8B" w:rsidRPr="00893713" w:rsidRDefault="00F14C8B" w:rsidP="00F14C8B">
      <w:pPr>
        <w:rPr>
          <w:b/>
          <w:i/>
          <w:strike/>
          <w:color w:val="FF0000"/>
          <w:sz w:val="22"/>
          <w:szCs w:val="22"/>
          <w:highlight w:val="yellow"/>
        </w:rPr>
      </w:pPr>
    </w:p>
    <w:p w:rsidR="002C11D7" w:rsidRPr="00C23CAD" w:rsidRDefault="007400AC">
      <w:pPr>
        <w:rPr>
          <w:color w:val="FF0000"/>
          <w:sz w:val="22"/>
          <w:szCs w:val="22"/>
          <w:highlight w:val="yellow"/>
        </w:rPr>
      </w:pPr>
      <w:r w:rsidRPr="00C23CAD">
        <w:rPr>
          <w:b/>
          <w:i/>
          <w:strike/>
          <w:color w:val="FF0000"/>
          <w:sz w:val="22"/>
          <w:szCs w:val="22"/>
          <w:highlight w:val="yellow"/>
        </w:rPr>
        <w:br w:type="page"/>
      </w:r>
    </w:p>
    <w:p w:rsidR="00335771" w:rsidRDefault="00335771" w:rsidP="00335771">
      <w:pPr>
        <w:rPr>
          <w:b/>
          <w:u w:val="single"/>
        </w:rPr>
      </w:pPr>
    </w:p>
    <w:p w:rsidR="00335771" w:rsidRDefault="00335771" w:rsidP="00335771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</w:t>
      </w:r>
      <w:r w:rsidR="003A7B42">
        <w:rPr>
          <w:b/>
          <w:bCs/>
          <w:u w:val="single"/>
        </w:rPr>
        <w:t>500</w:t>
      </w:r>
      <w:r w:rsidR="008E3AB8">
        <w:rPr>
          <w:b/>
          <w:bCs/>
          <w:u w:val="single"/>
        </w:rPr>
        <w:t>6</w:t>
      </w:r>
      <w:r w:rsidRPr="00C5453A">
        <w:rPr>
          <w:b/>
          <w:u w:val="single"/>
        </w:rPr>
        <w:t>:</w:t>
      </w:r>
    </w:p>
    <w:p w:rsidR="00C23CAD" w:rsidRDefault="00C23CAD" w:rsidP="00335771">
      <w:pPr>
        <w:rPr>
          <w:b/>
          <w:u w:val="single"/>
        </w:rPr>
      </w:pPr>
    </w:p>
    <w:p w:rsidR="00C23CAD" w:rsidRPr="00C23CAD" w:rsidRDefault="00C23CAD" w:rsidP="00335771">
      <w:r w:rsidRPr="00C23CAD">
        <w:t xml:space="preserve">Agree with the commenter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</m:oMath>
      <w:r w:rsidRPr="00C23CAD">
        <w:t xml:space="preserve"> described in section 27.3.9 only for the case DCM=0. </w:t>
      </w:r>
    </w:p>
    <w:p w:rsidR="00EA403C" w:rsidRPr="00C23CAD" w:rsidRDefault="00EA403C" w:rsidP="00335771">
      <w:pPr>
        <w:rPr>
          <w:b/>
          <w:u w:val="single"/>
        </w:rPr>
      </w:pPr>
    </w:p>
    <w:p w:rsidR="009F6831" w:rsidRPr="00C23CAD" w:rsidRDefault="00C23CAD" w:rsidP="00335771">
      <w:r w:rsidRPr="00C23CAD">
        <w:t xml:space="preserve">We can </w:t>
      </w:r>
      <w:r>
        <w:t xml:space="preserve">change the description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C23CAD">
        <w:t xml:space="preserve">in the table </w:t>
      </w:r>
      <w:proofErr w:type="spellStart"/>
      <w:r w:rsidRPr="00C23CAD">
        <w:rPr>
          <w:rFonts w:eastAsia="SimSun"/>
          <w:bCs/>
          <w:lang w:eastAsia="en-US"/>
        </w:rPr>
        <w:t>Table</w:t>
      </w:r>
      <w:proofErr w:type="spellEnd"/>
      <w:r w:rsidRPr="00C23CAD">
        <w:rPr>
          <w:rFonts w:eastAsia="SimSun"/>
          <w:bCs/>
          <w:lang w:eastAsia="en-US"/>
        </w:rPr>
        <w:t xml:space="preserve"> 27-13 and Table 27-14 for clarification.</w:t>
      </w:r>
    </w:p>
    <w:p w:rsidR="009F6831" w:rsidRPr="00C23CAD" w:rsidRDefault="009F6831" w:rsidP="00335771"/>
    <w:p w:rsidR="004B3814" w:rsidRPr="00EA403C" w:rsidRDefault="00335771" w:rsidP="00335771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12 on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>page 55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6 of D7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0</w:t>
      </w:r>
      <w:r w:rsidR="0025540B">
        <w:rPr>
          <w:b/>
          <w:i/>
          <w:color w:val="000000" w:themeColor="text1"/>
          <w:sz w:val="22"/>
          <w:szCs w:val="22"/>
          <w:highlight w:val="yellow"/>
        </w:rPr>
        <w:t xml:space="preserve"> (Table 27-13)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C23CAD" w:rsidRPr="00864C97" w:rsidRDefault="00C23CAD" w:rsidP="00C23CAD">
      <w:pPr>
        <w:spacing w:after="160" w:line="259" w:lineRule="auto"/>
        <w:rPr>
          <w:b/>
          <w:i/>
          <w:color w:val="FF0000"/>
          <w:sz w:val="22"/>
          <w:szCs w:val="22"/>
          <w:highlight w:val="yellow"/>
        </w:rPr>
      </w:pPr>
      <w:r w:rsidRPr="00C23CAD">
        <w:rPr>
          <w:b/>
          <w:i/>
          <w:color w:val="000000" w:themeColor="text1"/>
          <w:sz w:val="22"/>
          <w:szCs w:val="22"/>
        </w:rPr>
        <w:t>Number of data subcarriers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C23CAD">
        <w:rPr>
          <w:b/>
          <w:i/>
          <w:color w:val="000000" w:themeColor="text1"/>
          <w:sz w:val="22"/>
          <w:szCs w:val="22"/>
        </w:rPr>
        <w:t>per frequency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C23CAD">
        <w:rPr>
          <w:b/>
          <w:i/>
          <w:color w:val="000000" w:themeColor="text1"/>
          <w:sz w:val="22"/>
          <w:szCs w:val="22"/>
        </w:rPr>
        <w:t>segment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FF0000"/>
          <w:sz w:val="22"/>
          <w:szCs w:val="22"/>
        </w:rPr>
        <w:t xml:space="preserve">for </w:t>
      </w:r>
      <w:r w:rsidRPr="00C23CAD">
        <w:rPr>
          <w:b/>
          <w:i/>
          <w:color w:val="FF0000"/>
          <w:sz w:val="22"/>
          <w:szCs w:val="22"/>
        </w:rPr>
        <w:t xml:space="preserve">DCM=0. For DCM=1, please check section </w:t>
      </w:r>
      <w:r w:rsidRPr="00C23CAD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27.5.1</w:t>
      </w:r>
      <w:r w:rsid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 </w:t>
      </w:r>
      <w:r w:rsidR="00864C97" w:rsidRPr="00864C97">
        <w:rPr>
          <w:b/>
          <w:i/>
          <w:color w:val="FF0000"/>
          <w:sz w:val="22"/>
          <w:szCs w:val="22"/>
        </w:rPr>
        <w:t>Number of data subcarriers per frequency RU</w:t>
      </w:r>
      <w:r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.</w:t>
      </w:r>
    </w:p>
    <w:p w:rsidR="0025540B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</w:rPr>
      </w:pPr>
    </w:p>
    <w:p w:rsidR="0025540B" w:rsidRPr="00EA403C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49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page 55</w:t>
      </w:r>
      <w:r>
        <w:rPr>
          <w:b/>
          <w:i/>
          <w:color w:val="000000" w:themeColor="text1"/>
          <w:sz w:val="22"/>
          <w:szCs w:val="22"/>
          <w:highlight w:val="yellow"/>
        </w:rPr>
        <w:t>6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4B3814" w:rsidRPr="00864C97" w:rsidRDefault="0025540B" w:rsidP="0025540B">
      <w:pPr>
        <w:spacing w:after="160" w:line="259" w:lineRule="auto"/>
        <w:rPr>
          <w:b/>
          <w:i/>
          <w:color w:val="FF0000"/>
          <w:sz w:val="22"/>
          <w:szCs w:val="22"/>
        </w:rPr>
      </w:pPr>
      <w:r w:rsidRPr="0025540B">
        <w:rPr>
          <w:b/>
          <w:i/>
          <w:color w:val="000000" w:themeColor="text1"/>
          <w:sz w:val="22"/>
          <w:szCs w:val="22"/>
        </w:rPr>
        <w:t>Number of data subcarriers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000000" w:themeColor="text1"/>
          <w:sz w:val="22"/>
          <w:szCs w:val="22"/>
        </w:rPr>
        <w:t>per RU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FF0000"/>
          <w:sz w:val="22"/>
          <w:szCs w:val="22"/>
        </w:rPr>
        <w:t xml:space="preserve">for </w:t>
      </w:r>
      <w:r w:rsidRPr="00C23CAD">
        <w:rPr>
          <w:b/>
          <w:i/>
          <w:color w:val="FF0000"/>
          <w:sz w:val="22"/>
          <w:szCs w:val="22"/>
        </w:rPr>
        <w:t xml:space="preserve">DCM=0. For DCM=1, please check section </w:t>
      </w:r>
      <w:r w:rsidRPr="00C23CAD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27.5.1</w:t>
      </w:r>
      <w:r w:rsid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 </w:t>
      </w:r>
      <w:r w:rsidR="00864C97"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for </w:t>
      </w:r>
      <w:r w:rsidR="00864C97" w:rsidRPr="00864C97">
        <w:rPr>
          <w:b/>
          <w:i/>
          <w:color w:val="FF0000"/>
          <w:sz w:val="22"/>
          <w:szCs w:val="22"/>
        </w:rPr>
        <w:t>Number of data subcarriers per RU</w:t>
      </w:r>
      <w:r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.</w:t>
      </w:r>
    </w:p>
    <w:p w:rsidR="004B3814" w:rsidRPr="00EA403C" w:rsidRDefault="004B3814" w:rsidP="004B3814">
      <w:pPr>
        <w:autoSpaceDE w:val="0"/>
        <w:autoSpaceDN w:val="0"/>
        <w:adjustRightInd w:val="0"/>
        <w:rPr>
          <w:rFonts w:eastAsia="TimesNewRomanPSMT"/>
          <w:sz w:val="22"/>
          <w:szCs w:val="22"/>
          <w:lang w:eastAsia="en-US"/>
        </w:rPr>
      </w:pPr>
    </w:p>
    <w:p w:rsidR="004B3814" w:rsidRDefault="004B3814" w:rsidP="004B3814">
      <w:pPr>
        <w:rPr>
          <w:rFonts w:ascii="Arial" w:hAnsi="Arial" w:cs="Arial"/>
          <w:sz w:val="20"/>
          <w:szCs w:val="20"/>
        </w:rPr>
      </w:pPr>
    </w:p>
    <w:p w:rsidR="00335771" w:rsidRDefault="00335771" w:rsidP="00335771">
      <w:pPr>
        <w:rPr>
          <w:rFonts w:ascii="Arial" w:hAnsi="Arial" w:cs="Arial"/>
          <w:sz w:val="20"/>
          <w:szCs w:val="20"/>
        </w:rPr>
      </w:pPr>
    </w:p>
    <w:p w:rsidR="005D40EE" w:rsidRDefault="005D40EE" w:rsidP="005D40EE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25007</w:t>
      </w:r>
      <w:r w:rsidRPr="00C5453A">
        <w:rPr>
          <w:b/>
          <w:u w:val="single"/>
        </w:rPr>
        <w:t>:</w:t>
      </w:r>
    </w:p>
    <w:p w:rsidR="005D40EE" w:rsidRDefault="005D40EE" w:rsidP="00335771">
      <w:pPr>
        <w:rPr>
          <w:rFonts w:ascii="Arial" w:hAnsi="Arial" w:cs="Arial"/>
          <w:sz w:val="20"/>
          <w:szCs w:val="20"/>
        </w:rPr>
      </w:pPr>
    </w:p>
    <w:p w:rsidR="005D40EE" w:rsidRPr="00D41CAC" w:rsidRDefault="005D40EE" w:rsidP="00335771">
      <w:r w:rsidRPr="00D41CAC">
        <w:t xml:space="preserve">Agree with the commenter </w:t>
      </w:r>
      <w:r w:rsidR="00D41CAC" w:rsidRPr="00D41CAC">
        <w:t xml:space="preserve">in principle. For 2x996 RU, DCM implementation is to reduce the complexity and does not </w:t>
      </w:r>
      <w:r w:rsidR="00D41CAC" w:rsidRPr="00D41CAC">
        <w:rPr>
          <w:rFonts w:eastAsia="TimesNewRomanPSMT"/>
          <w:lang w:eastAsia="en-US"/>
        </w:rPr>
        <w:t>maximize the frequency diversity</w:t>
      </w:r>
      <w:r w:rsidR="00D41CAC" w:rsidRPr="00D41CAC">
        <w:t xml:space="preserve">. </w:t>
      </w:r>
    </w:p>
    <w:p w:rsidR="004B3814" w:rsidRDefault="004B3814" w:rsidP="00335771">
      <w:pPr>
        <w:rPr>
          <w:color w:val="FF0000"/>
          <w:sz w:val="20"/>
        </w:rPr>
      </w:pPr>
    </w:p>
    <w:p w:rsidR="00D41CAC" w:rsidRDefault="00D41CAC" w:rsidP="00335771">
      <w:pPr>
        <w:rPr>
          <w:color w:val="FF0000"/>
          <w:sz w:val="20"/>
        </w:rPr>
      </w:pPr>
    </w:p>
    <w:p w:rsidR="00D41CAC" w:rsidRPr="00EA403C" w:rsidRDefault="00D41CAC" w:rsidP="00D41CA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41CAC" w:rsidRDefault="00D41CAC" w:rsidP="00D41CAC">
      <w:pPr>
        <w:rPr>
          <w:sz w:val="20"/>
        </w:rPr>
      </w:pPr>
    </w:p>
    <w:p w:rsidR="00D41CAC" w:rsidRDefault="00D41CAC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To maximize the frequency diversity, the indices of a pair of DCM subcarriers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(k,q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is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996-tone or smaller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="00EB161D" w:rsidRPr="00EB161D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and</w:t>
      </w:r>
      <w:r w:rsidRPr="00EB161D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 </w:t>
      </w:r>
      <w:r w:rsidRPr="00D41CAC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to reduce the implementation complexity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, </w:t>
      </w:r>
      <w:r w:rsidRPr="00D41CAC">
        <w:rPr>
          <w:rFonts w:ascii="TimesNewRomanPSMT" w:eastAsia="TimesNewRomanPSMT" w:cs="TimesNewRomanPSMT"/>
          <w:strike/>
          <w:color w:val="FF0000"/>
          <w:sz w:val="20"/>
          <w:szCs w:val="20"/>
          <w:lang w:eastAsia="en-US"/>
        </w:rPr>
        <w:t>and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/2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2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×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996-tone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>.</w:t>
      </w: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5D7102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25008</w:t>
      </w:r>
      <w:r w:rsidRPr="00C5453A">
        <w:rPr>
          <w:b/>
          <w:u w:val="single"/>
        </w:rPr>
        <w:t>:</w:t>
      </w:r>
    </w:p>
    <w:p w:rsidR="005D7102" w:rsidRDefault="005D7102" w:rsidP="005D7102">
      <w:pPr>
        <w:rPr>
          <w:b/>
          <w:u w:val="single"/>
        </w:rPr>
      </w:pPr>
    </w:p>
    <w:p w:rsidR="005D7102" w:rsidRDefault="005D7102" w:rsidP="00D41CAC">
      <w:pPr>
        <w:autoSpaceDE w:val="0"/>
        <w:autoSpaceDN w:val="0"/>
        <w:adjustRightInd w:val="0"/>
        <w:rPr>
          <w:sz w:val="20"/>
        </w:rPr>
      </w:pPr>
      <w:r w:rsidRPr="005D7102">
        <w:rPr>
          <w:sz w:val="20"/>
        </w:rPr>
        <w:t>Agree with the commenter in principle. For 2x996 RU,</w:t>
      </w:r>
      <w:r>
        <w:rPr>
          <w:sz w:val="20"/>
        </w:rPr>
        <w:t xml:space="preserve"> DCM is different from DCM for </w:t>
      </w:r>
      <w:r w:rsidRPr="005D7102">
        <w:rPr>
          <w:sz w:val="20"/>
        </w:rPr>
        <w:t>a 996-tone or smaller RU</w:t>
      </w:r>
      <w:r>
        <w:rPr>
          <w:sz w:val="20"/>
        </w:rPr>
        <w:t>.</w:t>
      </w:r>
      <w:r w:rsidR="00241D18">
        <w:rPr>
          <w:sz w:val="20"/>
        </w:rPr>
        <w:t xml:space="preserve"> DCM is applied to </w:t>
      </w:r>
      <w:r w:rsidR="00EE6C33">
        <w:rPr>
          <w:sz w:val="20"/>
        </w:rPr>
        <w:t xml:space="preserve">each 996 RU of 2x996 RU separately. </w:t>
      </w:r>
    </w:p>
    <w:p w:rsidR="00EE6C33" w:rsidRDefault="00EE6C33" w:rsidP="00D41CAC">
      <w:pPr>
        <w:autoSpaceDE w:val="0"/>
        <w:autoSpaceDN w:val="0"/>
        <w:adjustRightInd w:val="0"/>
        <w:rPr>
          <w:sz w:val="20"/>
        </w:rPr>
      </w:pPr>
    </w:p>
    <w:p w:rsidR="007D495C" w:rsidRDefault="007D495C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62503A" w:rsidRDefault="0062503A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</w:p>
    <w:p w:rsidR="00F551E2" w:rsidRPr="00F551E2" w:rsidRDefault="00F551E2" w:rsidP="007D495C">
      <w:pPr>
        <w:spacing w:after="160" w:line="259" w:lineRule="auto"/>
        <w:rPr>
          <w:color w:val="FF0000"/>
          <w:sz w:val="22"/>
          <w:szCs w:val="22"/>
          <w:highlight w:val="yellow"/>
        </w:rPr>
      </w:pPr>
      <w:r w:rsidRPr="00F551E2">
        <w:rPr>
          <w:color w:val="FF0000"/>
          <w:sz w:val="22"/>
          <w:szCs w:val="22"/>
        </w:rPr>
        <w:t xml:space="preserve">Define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F551E2">
        <w:rPr>
          <w:color w:val="FF0000"/>
          <w:sz w:val="22"/>
          <w:szCs w:val="22"/>
        </w:rPr>
        <w:t xml:space="preserve"> as the number of 80MHz </w:t>
      </w:r>
      <w:proofErr w:type="spellStart"/>
      <w:r w:rsidRPr="00F551E2">
        <w:rPr>
          <w:color w:val="FF0000"/>
          <w:sz w:val="22"/>
          <w:szCs w:val="22"/>
        </w:rPr>
        <w:t>semement</w:t>
      </w:r>
      <w:proofErr w:type="spellEnd"/>
      <w:r w:rsidRPr="00F551E2">
        <w:rPr>
          <w:color w:val="FF0000"/>
          <w:sz w:val="22"/>
          <w:szCs w:val="22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=1</m:t>
        </m:r>
      </m:oMath>
      <w:r w:rsidRPr="00F551E2">
        <w:rPr>
          <w:color w:val="FF0000"/>
          <w:sz w:val="22"/>
          <w:szCs w:val="22"/>
        </w:rPr>
        <w:t xml:space="preserve"> </w:t>
      </w:r>
      <w:proofErr w:type="gramStart"/>
      <w:r w:rsidRPr="00F551E2">
        <w:rPr>
          <w:color w:val="FF0000"/>
          <w:sz w:val="22"/>
          <w:szCs w:val="22"/>
        </w:rPr>
        <w:t>for</w:t>
      </w:r>
      <w:proofErr w:type="gramEnd"/>
      <w:r w:rsidRPr="00F551E2">
        <w:rPr>
          <w:color w:val="FF0000"/>
          <w:sz w:val="22"/>
          <w:szCs w:val="22"/>
        </w:rPr>
        <w:t xml:space="preserve"> </w:t>
      </w:r>
      <w:r w:rsidRPr="00F551E2">
        <w:rPr>
          <w:rFonts w:eastAsia="TimesNewRomanPSMT"/>
          <w:color w:val="FF0000"/>
          <w:sz w:val="22"/>
          <w:szCs w:val="22"/>
          <w:lang w:eastAsia="en-US"/>
        </w:rPr>
        <w:t>a 996-tone or smaller RU</w:t>
      </w:r>
      <w:r w:rsidRPr="00F551E2">
        <w:rPr>
          <w:color w:val="FF0000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=2</m:t>
        </m:r>
      </m:oMath>
      <w:r w:rsidRPr="00F551E2">
        <w:rPr>
          <w:color w:val="FF0000"/>
          <w:sz w:val="22"/>
          <w:szCs w:val="22"/>
        </w:rPr>
        <w:t xml:space="preserve"> for a 2x996 tone RU.</w:t>
      </w:r>
    </w:p>
    <w:p w:rsidR="0062503A" w:rsidRPr="00F551E2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>For BPSK modulation with DCM, the input stream is broken into groups of</w:t>
      </w:r>
      <w:r w:rsidRPr="0062503A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551E2" w:rsidRPr="00F551E2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Pr="0062503A">
        <w:rPr>
          <w:rFonts w:eastAsia="SimSun"/>
          <w:color w:val="FF0000"/>
          <w:sz w:val="22"/>
          <w:szCs w:val="22"/>
        </w:rPr>
        <w:t xml:space="preserve"> 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 xml:space="preserve">). </w:t>
      </w:r>
      <w:r w:rsidRPr="0062503A">
        <w:rPr>
          <w:rFonts w:eastAsia="SimSun"/>
          <w:color w:val="000000"/>
          <w:sz w:val="22"/>
          <w:szCs w:val="22"/>
        </w:rPr>
        <w:t xml:space="preserve">Each bit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is BPSK modulated to a </w:t>
      </w:r>
      <w:r w:rsidR="00237B5C" w:rsidRPr="0062503A">
        <w:rPr>
          <w:rFonts w:eastAsia="SimSun"/>
          <w:color w:val="000000"/>
          <w:sz w:val="22"/>
          <w:szCs w:val="22"/>
        </w:rPr>
        <w:t>sample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. This generates the samples for the </w:t>
      </w:r>
      <w:r w:rsidRPr="0062503A">
        <w:rPr>
          <w:rFonts w:eastAsia="SimSun"/>
          <w:color w:val="000000"/>
          <w:sz w:val="22"/>
          <w:szCs w:val="22"/>
        </w:rPr>
        <w:lastRenderedPageBreak/>
        <w:t>lower half of the data subcarriers. For the upper half of the subcarriers, the samples are generated as</w:t>
      </w:r>
      <w:r w:rsidR="00FF6128">
        <w:rPr>
          <w:rFonts w:eastAsia="SimSun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×</m:t>
        </m:r>
        <m:sSup>
          <m:sSup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j(k+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)π</m:t>
            </m:r>
          </m:sup>
        </m:sSup>
        <m:r>
          <w:rPr>
            <w:rFonts w:ascii="Cambria Math" w:eastAsia="SimSun" w:hAnsi="Cambria Math"/>
            <w:color w:val="FF0000"/>
            <w:sz w:val="22"/>
            <w:szCs w:val="22"/>
          </w:rPr>
          <m:t>, k=0,1,</m:t>
        </m:r>
        <m:r>
          <w:rPr>
            <w:rFonts w:ascii="Cambria Math" w:eastAsia="SimSun" w:hAnsi="Cambria Math"/>
            <w:color w:val="FF0000"/>
          </w:rPr>
          <m:t xml:space="preserve">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</m:t>
        </m:r>
      </m:oMath>
      <w:r w:rsidR="00FF6128" w:rsidRPr="00FF6128">
        <w:rPr>
          <w:rFonts w:eastAsia="SimSun"/>
          <w:color w:val="FF0000"/>
          <w:sz w:val="22"/>
          <w:szCs w:val="22"/>
        </w:rPr>
        <w:t>1</w:t>
      </w:r>
      <w:r w:rsidRPr="0062503A">
        <w:rPr>
          <w:rFonts w:eastAsia="SimSun"/>
          <w:color w:val="FF0000"/>
          <w:sz w:val="22"/>
          <w:szCs w:val="22"/>
        </w:rPr>
        <w:t xml:space="preserve">. </w:t>
      </w:r>
      <w:r w:rsidRPr="0062503A">
        <w:rPr>
          <w:rFonts w:eastAsia="SimSun"/>
          <w:color w:val="000000"/>
          <w:sz w:val="22"/>
          <w:szCs w:val="22"/>
        </w:rPr>
        <w:t xml:space="preserve">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QPSK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-1)</m:t>
        </m:r>
      </m:oMath>
      <w:r w:rsidRPr="0062503A">
        <w:rPr>
          <w:rFonts w:eastAsia="SimSun"/>
          <w:color w:val="000000"/>
          <w:sz w:val="22"/>
          <w:szCs w:val="22"/>
        </w:rPr>
        <w:t xml:space="preserve">. Each pair of bits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685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is QPSK modulated to a 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symbol </w:t>
      </w:r>
      <w:proofErr w:type="gramEnd"/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constellation points for the lower half the data subcarriers in the RU. For the upper half of the data subcarriers in the RU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, </w:t>
      </w:r>
      <w:proofErr w:type="gramEnd"/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=conj(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)</m:t>
        </m:r>
      </m:oMath>
      <w:r w:rsidRPr="0062503A">
        <w:rPr>
          <w:rFonts w:eastAsia="SimSun"/>
          <w:color w:val="FF0000"/>
          <w:sz w:val="22"/>
          <w:szCs w:val="22"/>
        </w:rPr>
        <w:t xml:space="preserve">, </w:t>
      </w:r>
      <w:r w:rsidRPr="0062503A">
        <w:rPr>
          <w:rFonts w:eastAsia="SimSun"/>
          <w:color w:val="000000"/>
          <w:sz w:val="22"/>
          <w:szCs w:val="22"/>
        </w:rPr>
        <w:t xml:space="preserve">where </w:t>
      </w:r>
      <w:proofErr w:type="spellStart"/>
      <w:r w:rsidRPr="0062503A">
        <w:rPr>
          <w:rFonts w:eastAsia="SimSun"/>
          <w:i/>
          <w:iCs/>
          <w:color w:val="000000"/>
          <w:sz w:val="22"/>
          <w:szCs w:val="22"/>
        </w:rPr>
        <w:t>conj</w:t>
      </w:r>
      <w:proofErr w:type="spellEnd"/>
      <w:r w:rsidRPr="0062503A">
        <w:rPr>
          <w:rFonts w:eastAsia="SimSun"/>
          <w:color w:val="000000"/>
          <w:sz w:val="22"/>
          <w:szCs w:val="22"/>
        </w:rPr>
        <w:t xml:space="preserve">() represents the complex conjugate operation.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16-QAM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>)</w:t>
      </w:r>
      <w:r w:rsidRPr="0062503A">
        <w:rPr>
          <w:rFonts w:eastAsia="SimSun"/>
          <w:color w:val="000000"/>
          <w:sz w:val="22"/>
          <w:szCs w:val="22"/>
        </w:rPr>
        <w:t>. A group of 4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 is 16-QAM modulated to a sample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as described in 17.3.5.8 (Subcarrier modulation mapping). This is the sample on subcarrier </w:t>
      </w:r>
      <w:r w:rsidRPr="0062503A">
        <w:rPr>
          <w:rFonts w:eastAsia="SimSun"/>
          <w:i/>
          <w:iCs/>
          <w:color w:val="000000"/>
          <w:sz w:val="22"/>
          <w:szCs w:val="22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in the lower half. In the upper half, the sample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on subcarrier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k+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 xml:space="preserve">80seg,ru 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>is obtained by 16-QAM modulating a permutation of the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). Specifically,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is obtained by applying the 16-QAM modulation procedure in 18.3.5.8 to the bit group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color w:val="000000"/>
          <w:sz w:val="22"/>
          <w:szCs w:val="22"/>
        </w:rPr>
        <w:t xml:space="preserve">).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F551E2" w:rsidRDefault="0062503A" w:rsidP="007D495C">
      <w:pPr>
        <w:spacing w:after="160" w:line="259" w:lineRule="auto"/>
        <w:rPr>
          <w:color w:val="000000" w:themeColor="text1"/>
          <w:sz w:val="22"/>
          <w:szCs w:val="22"/>
          <w:highlight w:val="yellow"/>
        </w:rPr>
      </w:pPr>
    </w:p>
    <w:p w:rsidR="00162A0E" w:rsidRPr="00F551E2" w:rsidRDefault="00162A0E" w:rsidP="00D41CAC">
      <w:pPr>
        <w:autoSpaceDE w:val="0"/>
        <w:autoSpaceDN w:val="0"/>
        <w:adjustRightInd w:val="0"/>
        <w:rPr>
          <w:sz w:val="22"/>
          <w:szCs w:val="22"/>
        </w:rPr>
      </w:pPr>
    </w:p>
    <w:p w:rsidR="00EE6C33" w:rsidRPr="00F551E2" w:rsidRDefault="00EE6C33" w:rsidP="00162A0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EE6C33" w:rsidRPr="00F551E2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F4" w:rsidRDefault="00A254F4">
      <w:r>
        <w:separator/>
      </w:r>
    </w:p>
  </w:endnote>
  <w:endnote w:type="continuationSeparator" w:id="0">
    <w:p w:rsidR="00A254F4" w:rsidRDefault="00A2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1663D0">
    <w:pPr>
      <w:pStyle w:val="Footer"/>
      <w:tabs>
        <w:tab w:val="clear" w:pos="6480"/>
        <w:tab w:val="center" w:pos="4680"/>
        <w:tab w:val="right" w:pos="9360"/>
      </w:tabs>
      <w:ind w:right="120"/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1663D0">
    <w:pPr>
      <w:rPr>
        <w:lang w:val="fr-FR"/>
      </w:rPr>
    </w:pPr>
    <w:proofErr w:type="spellStart"/>
    <w:r>
      <w:rPr>
        <w:lang w:val="fr-FR"/>
      </w:rPr>
      <w:t>Submission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F4" w:rsidRDefault="00A254F4">
      <w:r>
        <w:separator/>
      </w:r>
    </w:p>
  </w:footnote>
  <w:footnote w:type="continuationSeparator" w:id="0">
    <w:p w:rsidR="00A254F4" w:rsidRDefault="00A2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4E6A41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October</w:t>
    </w:r>
    <w:r w:rsidR="0035661D">
      <w:rPr>
        <w:color w:val="000000" w:themeColor="text1"/>
        <w:szCs w:val="28"/>
        <w:lang w:eastAsia="zh-CN"/>
      </w:rPr>
      <w:t>, 2020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CD17AF">
      <w:rPr>
        <w:color w:val="000000" w:themeColor="text1"/>
        <w:szCs w:val="28"/>
      </w:rPr>
      <w:t xml:space="preserve">    </w:t>
    </w:r>
    <w:r w:rsidR="00F56090" w:rsidRPr="00E12241">
      <w:rPr>
        <w:szCs w:val="28"/>
      </w:rPr>
      <w:t>IEEE 802.11-1</w:t>
    </w:r>
    <w:r w:rsidR="00FA6887" w:rsidRPr="00E12241">
      <w:rPr>
        <w:szCs w:val="28"/>
      </w:rPr>
      <w:t>1-</w:t>
    </w:r>
    <w:r w:rsidR="0035661D">
      <w:rPr>
        <w:szCs w:val="28"/>
      </w:rPr>
      <w:t>20</w:t>
    </w:r>
    <w:r w:rsidR="00FA6887" w:rsidRPr="00E12241">
      <w:rPr>
        <w:szCs w:val="28"/>
      </w:rPr>
      <w:t>/</w:t>
    </w:r>
    <w:r w:rsidR="00A50565">
      <w:rPr>
        <w:bCs/>
        <w:szCs w:val="28"/>
        <w:shd w:val="clear" w:color="auto" w:fill="FFFFFF"/>
      </w:rPr>
      <w:t>1664</w:t>
    </w:r>
    <w:r w:rsidR="00FA6887" w:rsidRPr="00E12241">
      <w:rPr>
        <w:bCs/>
        <w:szCs w:val="28"/>
        <w:shd w:val="clear" w:color="auto" w:fill="FFFFFF"/>
      </w:rPr>
      <w:t>r</w:t>
    </w:r>
    <w:r>
      <w:rPr>
        <w:bCs/>
        <w:szCs w:val="28"/>
        <w:shd w:val="clear" w:color="auto" w:fill="FFFFFF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680D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E3F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DEF"/>
    <w:rsid w:val="00083244"/>
    <w:rsid w:val="00083C10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3529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4DDD"/>
    <w:rsid w:val="000B60F5"/>
    <w:rsid w:val="000B6278"/>
    <w:rsid w:val="000B6D2D"/>
    <w:rsid w:val="000B6DEA"/>
    <w:rsid w:val="000B7508"/>
    <w:rsid w:val="000B7E13"/>
    <w:rsid w:val="000C00B2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A15"/>
    <w:rsid w:val="000F3F9A"/>
    <w:rsid w:val="000F43DC"/>
    <w:rsid w:val="000F452F"/>
    <w:rsid w:val="000F4C31"/>
    <w:rsid w:val="000F565C"/>
    <w:rsid w:val="000F5B6B"/>
    <w:rsid w:val="000F735F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8C1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3B3"/>
    <w:rsid w:val="00113906"/>
    <w:rsid w:val="00113BDF"/>
    <w:rsid w:val="001140CC"/>
    <w:rsid w:val="001147BE"/>
    <w:rsid w:val="00114B46"/>
    <w:rsid w:val="00114C6D"/>
    <w:rsid w:val="00115007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9F3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328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A0E"/>
    <w:rsid w:val="00162EA7"/>
    <w:rsid w:val="001631E7"/>
    <w:rsid w:val="00163ABC"/>
    <w:rsid w:val="00163DFB"/>
    <w:rsid w:val="001646CD"/>
    <w:rsid w:val="00164B43"/>
    <w:rsid w:val="00166361"/>
    <w:rsid w:val="001663D0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68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BE1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D5F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B8"/>
    <w:rsid w:val="001E60EF"/>
    <w:rsid w:val="001E6210"/>
    <w:rsid w:val="001E6627"/>
    <w:rsid w:val="001E7477"/>
    <w:rsid w:val="001F03E2"/>
    <w:rsid w:val="001F041F"/>
    <w:rsid w:val="001F0B2F"/>
    <w:rsid w:val="001F1AB9"/>
    <w:rsid w:val="001F222A"/>
    <w:rsid w:val="001F263E"/>
    <w:rsid w:val="001F286D"/>
    <w:rsid w:val="001F2C2B"/>
    <w:rsid w:val="001F3370"/>
    <w:rsid w:val="001F4627"/>
    <w:rsid w:val="001F4A1B"/>
    <w:rsid w:val="001F4D42"/>
    <w:rsid w:val="001F504F"/>
    <w:rsid w:val="001F510A"/>
    <w:rsid w:val="001F57B6"/>
    <w:rsid w:val="001F65AC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79A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9A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03C"/>
    <w:rsid w:val="002372B1"/>
    <w:rsid w:val="002373C4"/>
    <w:rsid w:val="0023765C"/>
    <w:rsid w:val="00237948"/>
    <w:rsid w:val="00237ADA"/>
    <w:rsid w:val="00237B5C"/>
    <w:rsid w:val="00240012"/>
    <w:rsid w:val="002403F4"/>
    <w:rsid w:val="00240785"/>
    <w:rsid w:val="00240CAB"/>
    <w:rsid w:val="002410DA"/>
    <w:rsid w:val="00241D18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40B"/>
    <w:rsid w:val="002556A4"/>
    <w:rsid w:val="0025592B"/>
    <w:rsid w:val="00255CA4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247"/>
    <w:rsid w:val="002665F7"/>
    <w:rsid w:val="00266955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8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5FD"/>
    <w:rsid w:val="0029273E"/>
    <w:rsid w:val="002928DB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C27"/>
    <w:rsid w:val="002B54DD"/>
    <w:rsid w:val="002B55E6"/>
    <w:rsid w:val="002B5631"/>
    <w:rsid w:val="002B5722"/>
    <w:rsid w:val="002B5BFE"/>
    <w:rsid w:val="002B6840"/>
    <w:rsid w:val="002B7798"/>
    <w:rsid w:val="002B7CA4"/>
    <w:rsid w:val="002C024D"/>
    <w:rsid w:val="002C0A8C"/>
    <w:rsid w:val="002C1038"/>
    <w:rsid w:val="002C11D7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4A3"/>
    <w:rsid w:val="00335543"/>
    <w:rsid w:val="00335771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661D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429"/>
    <w:rsid w:val="003A6C75"/>
    <w:rsid w:val="003A7B42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4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457"/>
    <w:rsid w:val="003D04F0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3A2"/>
    <w:rsid w:val="003F7FD8"/>
    <w:rsid w:val="0040044E"/>
    <w:rsid w:val="00400C67"/>
    <w:rsid w:val="00400D14"/>
    <w:rsid w:val="00400DF3"/>
    <w:rsid w:val="00400EE2"/>
    <w:rsid w:val="004012CD"/>
    <w:rsid w:val="00401761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503"/>
    <w:rsid w:val="00410E14"/>
    <w:rsid w:val="00411C6E"/>
    <w:rsid w:val="004123BB"/>
    <w:rsid w:val="00414D86"/>
    <w:rsid w:val="0041516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27E65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3DDD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48"/>
    <w:rsid w:val="004857FD"/>
    <w:rsid w:val="00485DB8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8A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455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20"/>
    <w:rsid w:val="004B18D5"/>
    <w:rsid w:val="004B1C3B"/>
    <w:rsid w:val="004B2F07"/>
    <w:rsid w:val="004B3572"/>
    <w:rsid w:val="004B37F6"/>
    <w:rsid w:val="004B3814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92C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A41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3DB"/>
    <w:rsid w:val="005145D6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2E07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5BB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3EEA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0EE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102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C5A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986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03A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E09"/>
    <w:rsid w:val="00651FAA"/>
    <w:rsid w:val="00652E29"/>
    <w:rsid w:val="00652E64"/>
    <w:rsid w:val="006530B6"/>
    <w:rsid w:val="0065358A"/>
    <w:rsid w:val="006551BB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EFC"/>
    <w:rsid w:val="00677061"/>
    <w:rsid w:val="0067719E"/>
    <w:rsid w:val="0067748D"/>
    <w:rsid w:val="00680276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05F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8AA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0EC"/>
    <w:rsid w:val="006B380D"/>
    <w:rsid w:val="006B3C0B"/>
    <w:rsid w:val="006B4CA0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D78AA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294"/>
    <w:rsid w:val="006F1AD6"/>
    <w:rsid w:val="006F2E0F"/>
    <w:rsid w:val="006F2F0D"/>
    <w:rsid w:val="006F315D"/>
    <w:rsid w:val="006F38DB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1D7"/>
    <w:rsid w:val="007305B7"/>
    <w:rsid w:val="00730695"/>
    <w:rsid w:val="00730B15"/>
    <w:rsid w:val="00731BC0"/>
    <w:rsid w:val="00733DAA"/>
    <w:rsid w:val="00733E9D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0AC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958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B6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362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495C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41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AAE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1C9"/>
    <w:rsid w:val="00832F22"/>
    <w:rsid w:val="00832F93"/>
    <w:rsid w:val="008334F1"/>
    <w:rsid w:val="008335EA"/>
    <w:rsid w:val="008336BA"/>
    <w:rsid w:val="00833A33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0E92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C9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1E8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37B5"/>
    <w:rsid w:val="008845EC"/>
    <w:rsid w:val="00885182"/>
    <w:rsid w:val="00885256"/>
    <w:rsid w:val="00885638"/>
    <w:rsid w:val="00887124"/>
    <w:rsid w:val="00887149"/>
    <w:rsid w:val="0088774B"/>
    <w:rsid w:val="008878E8"/>
    <w:rsid w:val="00890152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713"/>
    <w:rsid w:val="00893CC2"/>
    <w:rsid w:val="00893ECC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3F4"/>
    <w:rsid w:val="008D0B6B"/>
    <w:rsid w:val="008D1385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AB8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2AA"/>
    <w:rsid w:val="0091745E"/>
    <w:rsid w:val="00917C75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D70"/>
    <w:rsid w:val="00927FC4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65"/>
    <w:rsid w:val="009556CF"/>
    <w:rsid w:val="00956524"/>
    <w:rsid w:val="00956A94"/>
    <w:rsid w:val="0095759F"/>
    <w:rsid w:val="009609D0"/>
    <w:rsid w:val="00960DB7"/>
    <w:rsid w:val="00960F9A"/>
    <w:rsid w:val="00961149"/>
    <w:rsid w:val="00961442"/>
    <w:rsid w:val="009614C9"/>
    <w:rsid w:val="0096164E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BA4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30A"/>
    <w:rsid w:val="009917FB"/>
    <w:rsid w:val="009925E7"/>
    <w:rsid w:val="009927D7"/>
    <w:rsid w:val="00992AE0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97806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920"/>
    <w:rsid w:val="009C72C4"/>
    <w:rsid w:val="009C7381"/>
    <w:rsid w:val="009C7A4B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2CE7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4BB"/>
    <w:rsid w:val="009E57E3"/>
    <w:rsid w:val="009E6269"/>
    <w:rsid w:val="009E6463"/>
    <w:rsid w:val="009E72A0"/>
    <w:rsid w:val="009E7AF3"/>
    <w:rsid w:val="009F02CA"/>
    <w:rsid w:val="009F02FF"/>
    <w:rsid w:val="009F09CC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831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B23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4F4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565"/>
    <w:rsid w:val="00A50903"/>
    <w:rsid w:val="00A50C52"/>
    <w:rsid w:val="00A50E26"/>
    <w:rsid w:val="00A50F44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0D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2C4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151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60D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2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21E"/>
    <w:rsid w:val="00B374EF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5D1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4A53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5EB5"/>
    <w:rsid w:val="00B76373"/>
    <w:rsid w:val="00B77780"/>
    <w:rsid w:val="00B77C1B"/>
    <w:rsid w:val="00B8053C"/>
    <w:rsid w:val="00B80674"/>
    <w:rsid w:val="00B80916"/>
    <w:rsid w:val="00B80F7D"/>
    <w:rsid w:val="00B81040"/>
    <w:rsid w:val="00B829D1"/>
    <w:rsid w:val="00B82CED"/>
    <w:rsid w:val="00B847FE"/>
    <w:rsid w:val="00B84BB4"/>
    <w:rsid w:val="00B851B4"/>
    <w:rsid w:val="00B852FC"/>
    <w:rsid w:val="00B859AA"/>
    <w:rsid w:val="00B8605E"/>
    <w:rsid w:val="00B8651E"/>
    <w:rsid w:val="00B87059"/>
    <w:rsid w:val="00B870B8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AEB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539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0BC1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CAD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2C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0A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5BB1"/>
    <w:rsid w:val="00C664A6"/>
    <w:rsid w:val="00C66CA9"/>
    <w:rsid w:val="00C67028"/>
    <w:rsid w:val="00C672AA"/>
    <w:rsid w:val="00C67985"/>
    <w:rsid w:val="00C70307"/>
    <w:rsid w:val="00C706F1"/>
    <w:rsid w:val="00C70A0E"/>
    <w:rsid w:val="00C70BA0"/>
    <w:rsid w:val="00C70DB9"/>
    <w:rsid w:val="00C7101A"/>
    <w:rsid w:val="00C72115"/>
    <w:rsid w:val="00C72DD5"/>
    <w:rsid w:val="00C72E2C"/>
    <w:rsid w:val="00C73716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420"/>
    <w:rsid w:val="00C76CB2"/>
    <w:rsid w:val="00C76EDC"/>
    <w:rsid w:val="00C776BC"/>
    <w:rsid w:val="00C77921"/>
    <w:rsid w:val="00C77C28"/>
    <w:rsid w:val="00C77D8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254"/>
    <w:rsid w:val="00C84512"/>
    <w:rsid w:val="00C854F2"/>
    <w:rsid w:val="00C855BB"/>
    <w:rsid w:val="00C85983"/>
    <w:rsid w:val="00C86D92"/>
    <w:rsid w:val="00C873A2"/>
    <w:rsid w:val="00C8743C"/>
    <w:rsid w:val="00C876B9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8B4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7AF"/>
    <w:rsid w:val="00CD1E13"/>
    <w:rsid w:val="00CD1F0E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30D"/>
    <w:rsid w:val="00CE0CD8"/>
    <w:rsid w:val="00CE105A"/>
    <w:rsid w:val="00CE1341"/>
    <w:rsid w:val="00CE134A"/>
    <w:rsid w:val="00CE1522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309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753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D12"/>
    <w:rsid w:val="00D27E27"/>
    <w:rsid w:val="00D301E1"/>
    <w:rsid w:val="00D304C6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CAC"/>
    <w:rsid w:val="00D41E08"/>
    <w:rsid w:val="00D4215E"/>
    <w:rsid w:val="00D42852"/>
    <w:rsid w:val="00D42A0E"/>
    <w:rsid w:val="00D42AE4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6A7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3C41"/>
    <w:rsid w:val="00DA406A"/>
    <w:rsid w:val="00DA42EF"/>
    <w:rsid w:val="00DA4898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BE2"/>
    <w:rsid w:val="00DD1D23"/>
    <w:rsid w:val="00DD1FA0"/>
    <w:rsid w:val="00DD2426"/>
    <w:rsid w:val="00DD25EC"/>
    <w:rsid w:val="00DD2B06"/>
    <w:rsid w:val="00DD2E72"/>
    <w:rsid w:val="00DD31C0"/>
    <w:rsid w:val="00DD3B49"/>
    <w:rsid w:val="00DD43DF"/>
    <w:rsid w:val="00DD46EF"/>
    <w:rsid w:val="00DD4B41"/>
    <w:rsid w:val="00DD4EAE"/>
    <w:rsid w:val="00DD58E3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C8E"/>
    <w:rsid w:val="00E10EDA"/>
    <w:rsid w:val="00E12241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2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0E88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4DEA"/>
    <w:rsid w:val="00E76535"/>
    <w:rsid w:val="00E76D54"/>
    <w:rsid w:val="00E77875"/>
    <w:rsid w:val="00E80093"/>
    <w:rsid w:val="00E8068E"/>
    <w:rsid w:val="00E807F0"/>
    <w:rsid w:val="00E8093B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6EA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03C"/>
    <w:rsid w:val="00EA4804"/>
    <w:rsid w:val="00EA4883"/>
    <w:rsid w:val="00EA49C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161D"/>
    <w:rsid w:val="00EB2091"/>
    <w:rsid w:val="00EB2371"/>
    <w:rsid w:val="00EB2564"/>
    <w:rsid w:val="00EB2CFB"/>
    <w:rsid w:val="00EB3248"/>
    <w:rsid w:val="00EB3ABF"/>
    <w:rsid w:val="00EB3D75"/>
    <w:rsid w:val="00EB40C2"/>
    <w:rsid w:val="00EB4269"/>
    <w:rsid w:val="00EB4599"/>
    <w:rsid w:val="00EB48C7"/>
    <w:rsid w:val="00EB57C0"/>
    <w:rsid w:val="00EB666A"/>
    <w:rsid w:val="00EB6A9E"/>
    <w:rsid w:val="00EB6D2C"/>
    <w:rsid w:val="00EB71FF"/>
    <w:rsid w:val="00EB74B2"/>
    <w:rsid w:val="00EC1402"/>
    <w:rsid w:val="00EC144F"/>
    <w:rsid w:val="00EC150D"/>
    <w:rsid w:val="00EC2090"/>
    <w:rsid w:val="00EC22F1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C33"/>
    <w:rsid w:val="00EE7BC9"/>
    <w:rsid w:val="00EF0C3F"/>
    <w:rsid w:val="00EF0D13"/>
    <w:rsid w:val="00EF0FA7"/>
    <w:rsid w:val="00EF1A28"/>
    <w:rsid w:val="00EF1D1C"/>
    <w:rsid w:val="00EF27D3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296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C8B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099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47936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1E2"/>
    <w:rsid w:val="00F557B0"/>
    <w:rsid w:val="00F55BA2"/>
    <w:rsid w:val="00F56090"/>
    <w:rsid w:val="00F5673C"/>
    <w:rsid w:val="00F56F95"/>
    <w:rsid w:val="00F57335"/>
    <w:rsid w:val="00F6028D"/>
    <w:rsid w:val="00F60936"/>
    <w:rsid w:val="00F614DC"/>
    <w:rsid w:val="00F61775"/>
    <w:rsid w:val="00F61A37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1AF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37F2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887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D2D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612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F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861C75E-57E8-4994-A864-6D2570F5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6911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4</cp:revision>
  <cp:lastPrinted>2013-12-02T17:26:00Z</cp:lastPrinted>
  <dcterms:created xsi:type="dcterms:W3CDTF">2020-10-15T21:06:00Z</dcterms:created>
  <dcterms:modified xsi:type="dcterms:W3CDTF">2020-10-15T21:10:00Z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