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D87F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1157DB7" w14:textId="77777777">
        <w:tblPrEx>
          <w:tblCellMar>
            <w:top w:w="0" w:type="dxa"/>
            <w:bottom w:w="0" w:type="dxa"/>
          </w:tblCellMar>
        </w:tblPrEx>
        <w:trPr>
          <w:trHeight w:val="485"/>
          <w:jc w:val="center"/>
        </w:trPr>
        <w:tc>
          <w:tcPr>
            <w:tcW w:w="9576" w:type="dxa"/>
            <w:gridSpan w:val="5"/>
            <w:vAlign w:val="center"/>
          </w:tcPr>
          <w:p w14:paraId="27F51AE5" w14:textId="37E6C69B" w:rsidR="00CA09B2" w:rsidRDefault="009B6BC6">
            <w:pPr>
              <w:pStyle w:val="T2"/>
            </w:pPr>
            <w:r>
              <w:t xml:space="preserve">Comment resolutions </w:t>
            </w:r>
            <w:r w:rsidR="00823C22">
              <w:t>for TOMI</w:t>
            </w:r>
          </w:p>
        </w:tc>
      </w:tr>
      <w:tr w:rsidR="00CA09B2" w14:paraId="66BAD9DB" w14:textId="77777777">
        <w:tblPrEx>
          <w:tblCellMar>
            <w:top w:w="0" w:type="dxa"/>
            <w:bottom w:w="0" w:type="dxa"/>
          </w:tblCellMar>
        </w:tblPrEx>
        <w:trPr>
          <w:trHeight w:val="359"/>
          <w:jc w:val="center"/>
        </w:trPr>
        <w:tc>
          <w:tcPr>
            <w:tcW w:w="9576" w:type="dxa"/>
            <w:gridSpan w:val="5"/>
            <w:vAlign w:val="center"/>
          </w:tcPr>
          <w:p w14:paraId="308483A3" w14:textId="46C2BE45" w:rsidR="00CA09B2" w:rsidRDefault="00CA09B2">
            <w:pPr>
              <w:pStyle w:val="T2"/>
              <w:ind w:left="0"/>
              <w:rPr>
                <w:sz w:val="20"/>
              </w:rPr>
            </w:pPr>
            <w:r>
              <w:rPr>
                <w:sz w:val="20"/>
              </w:rPr>
              <w:t>Date:</w:t>
            </w:r>
            <w:r>
              <w:rPr>
                <w:b w:val="0"/>
                <w:sz w:val="20"/>
              </w:rPr>
              <w:t xml:space="preserve">  </w:t>
            </w:r>
            <w:r w:rsidR="009B6BC6">
              <w:rPr>
                <w:b w:val="0"/>
                <w:sz w:val="20"/>
              </w:rPr>
              <w:t>2020-10-14</w:t>
            </w:r>
          </w:p>
        </w:tc>
      </w:tr>
      <w:tr w:rsidR="00CA09B2" w14:paraId="49414E1A" w14:textId="77777777">
        <w:tblPrEx>
          <w:tblCellMar>
            <w:top w:w="0" w:type="dxa"/>
            <w:bottom w:w="0" w:type="dxa"/>
          </w:tblCellMar>
        </w:tblPrEx>
        <w:trPr>
          <w:cantSplit/>
          <w:jc w:val="center"/>
        </w:trPr>
        <w:tc>
          <w:tcPr>
            <w:tcW w:w="9576" w:type="dxa"/>
            <w:gridSpan w:val="5"/>
            <w:vAlign w:val="center"/>
          </w:tcPr>
          <w:p w14:paraId="2944A381" w14:textId="77777777" w:rsidR="00CA09B2" w:rsidRDefault="00CA09B2">
            <w:pPr>
              <w:pStyle w:val="T2"/>
              <w:spacing w:after="0"/>
              <w:ind w:left="0" w:right="0"/>
              <w:jc w:val="left"/>
              <w:rPr>
                <w:sz w:val="20"/>
              </w:rPr>
            </w:pPr>
            <w:r>
              <w:rPr>
                <w:sz w:val="20"/>
              </w:rPr>
              <w:t>Author(s):</w:t>
            </w:r>
          </w:p>
        </w:tc>
      </w:tr>
      <w:tr w:rsidR="00CA09B2" w14:paraId="49D3C62B" w14:textId="77777777">
        <w:tblPrEx>
          <w:tblCellMar>
            <w:top w:w="0" w:type="dxa"/>
            <w:bottom w:w="0" w:type="dxa"/>
          </w:tblCellMar>
        </w:tblPrEx>
        <w:trPr>
          <w:jc w:val="center"/>
        </w:trPr>
        <w:tc>
          <w:tcPr>
            <w:tcW w:w="1336" w:type="dxa"/>
            <w:vAlign w:val="center"/>
          </w:tcPr>
          <w:p w14:paraId="695E04CC" w14:textId="77777777" w:rsidR="00CA09B2" w:rsidRDefault="00CA09B2">
            <w:pPr>
              <w:pStyle w:val="T2"/>
              <w:spacing w:after="0"/>
              <w:ind w:left="0" w:right="0"/>
              <w:jc w:val="left"/>
              <w:rPr>
                <w:sz w:val="20"/>
              </w:rPr>
            </w:pPr>
            <w:r>
              <w:rPr>
                <w:sz w:val="20"/>
              </w:rPr>
              <w:t>Name</w:t>
            </w:r>
          </w:p>
        </w:tc>
        <w:tc>
          <w:tcPr>
            <w:tcW w:w="2064" w:type="dxa"/>
            <w:vAlign w:val="center"/>
          </w:tcPr>
          <w:p w14:paraId="56EAFFA4" w14:textId="77777777" w:rsidR="00CA09B2" w:rsidRDefault="0062440B">
            <w:pPr>
              <w:pStyle w:val="T2"/>
              <w:spacing w:after="0"/>
              <w:ind w:left="0" w:right="0"/>
              <w:jc w:val="left"/>
              <w:rPr>
                <w:sz w:val="20"/>
              </w:rPr>
            </w:pPr>
            <w:r>
              <w:rPr>
                <w:sz w:val="20"/>
              </w:rPr>
              <w:t>Affiliation</w:t>
            </w:r>
          </w:p>
        </w:tc>
        <w:tc>
          <w:tcPr>
            <w:tcW w:w="2814" w:type="dxa"/>
            <w:vAlign w:val="center"/>
          </w:tcPr>
          <w:p w14:paraId="105E283F" w14:textId="77777777" w:rsidR="00CA09B2" w:rsidRDefault="00CA09B2">
            <w:pPr>
              <w:pStyle w:val="T2"/>
              <w:spacing w:after="0"/>
              <w:ind w:left="0" w:right="0"/>
              <w:jc w:val="left"/>
              <w:rPr>
                <w:sz w:val="20"/>
              </w:rPr>
            </w:pPr>
            <w:r>
              <w:rPr>
                <w:sz w:val="20"/>
              </w:rPr>
              <w:t>Address</w:t>
            </w:r>
          </w:p>
        </w:tc>
        <w:tc>
          <w:tcPr>
            <w:tcW w:w="1715" w:type="dxa"/>
            <w:vAlign w:val="center"/>
          </w:tcPr>
          <w:p w14:paraId="073AC16C" w14:textId="77777777" w:rsidR="00CA09B2" w:rsidRDefault="00CA09B2">
            <w:pPr>
              <w:pStyle w:val="T2"/>
              <w:spacing w:after="0"/>
              <w:ind w:left="0" w:right="0"/>
              <w:jc w:val="left"/>
              <w:rPr>
                <w:sz w:val="20"/>
              </w:rPr>
            </w:pPr>
            <w:r>
              <w:rPr>
                <w:sz w:val="20"/>
              </w:rPr>
              <w:t>Phone</w:t>
            </w:r>
          </w:p>
        </w:tc>
        <w:tc>
          <w:tcPr>
            <w:tcW w:w="1647" w:type="dxa"/>
            <w:vAlign w:val="center"/>
          </w:tcPr>
          <w:p w14:paraId="741AF91D" w14:textId="77777777" w:rsidR="00CA09B2" w:rsidRDefault="00CA09B2">
            <w:pPr>
              <w:pStyle w:val="T2"/>
              <w:spacing w:after="0"/>
              <w:ind w:left="0" w:right="0"/>
              <w:jc w:val="left"/>
              <w:rPr>
                <w:sz w:val="20"/>
              </w:rPr>
            </w:pPr>
            <w:r>
              <w:rPr>
                <w:sz w:val="20"/>
              </w:rPr>
              <w:t>email</w:t>
            </w:r>
          </w:p>
        </w:tc>
      </w:tr>
      <w:tr w:rsidR="00CA09B2" w14:paraId="797965EA" w14:textId="77777777">
        <w:tblPrEx>
          <w:tblCellMar>
            <w:top w:w="0" w:type="dxa"/>
            <w:bottom w:w="0" w:type="dxa"/>
          </w:tblCellMar>
        </w:tblPrEx>
        <w:trPr>
          <w:jc w:val="center"/>
        </w:trPr>
        <w:tc>
          <w:tcPr>
            <w:tcW w:w="1336" w:type="dxa"/>
            <w:vAlign w:val="center"/>
          </w:tcPr>
          <w:p w14:paraId="5C664A8B" w14:textId="544EBED0" w:rsidR="00CA09B2" w:rsidRDefault="009B6BC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5B46980D" w14:textId="47512BBF" w:rsidR="00CA09B2" w:rsidRDefault="009B6BC6">
            <w:pPr>
              <w:pStyle w:val="T2"/>
              <w:spacing w:after="0"/>
              <w:ind w:left="0" w:right="0"/>
              <w:rPr>
                <w:b w:val="0"/>
                <w:sz w:val="20"/>
              </w:rPr>
            </w:pPr>
            <w:r>
              <w:rPr>
                <w:b w:val="0"/>
                <w:sz w:val="20"/>
              </w:rPr>
              <w:t xml:space="preserve">Apple </w:t>
            </w:r>
            <w:proofErr w:type="spellStart"/>
            <w:r>
              <w:rPr>
                <w:b w:val="0"/>
                <w:sz w:val="20"/>
              </w:rPr>
              <w:t>inc</w:t>
            </w:r>
            <w:proofErr w:type="spellEnd"/>
          </w:p>
        </w:tc>
        <w:tc>
          <w:tcPr>
            <w:tcW w:w="2814" w:type="dxa"/>
            <w:vAlign w:val="center"/>
          </w:tcPr>
          <w:p w14:paraId="3E441798" w14:textId="77777777" w:rsidR="00CA09B2" w:rsidRDefault="00CA09B2">
            <w:pPr>
              <w:pStyle w:val="T2"/>
              <w:spacing w:after="0"/>
              <w:ind w:left="0" w:right="0"/>
              <w:rPr>
                <w:b w:val="0"/>
                <w:sz w:val="20"/>
              </w:rPr>
            </w:pPr>
          </w:p>
        </w:tc>
        <w:tc>
          <w:tcPr>
            <w:tcW w:w="1715" w:type="dxa"/>
            <w:vAlign w:val="center"/>
          </w:tcPr>
          <w:p w14:paraId="5549F922" w14:textId="77777777" w:rsidR="00CA09B2" w:rsidRDefault="00CA09B2">
            <w:pPr>
              <w:pStyle w:val="T2"/>
              <w:spacing w:after="0"/>
              <w:ind w:left="0" w:right="0"/>
              <w:rPr>
                <w:b w:val="0"/>
                <w:sz w:val="20"/>
              </w:rPr>
            </w:pPr>
          </w:p>
        </w:tc>
        <w:tc>
          <w:tcPr>
            <w:tcW w:w="1647" w:type="dxa"/>
            <w:vAlign w:val="center"/>
          </w:tcPr>
          <w:p w14:paraId="11E7822B" w14:textId="1D7FFA7A" w:rsidR="00CA09B2" w:rsidRDefault="009B6BC6">
            <w:pPr>
              <w:pStyle w:val="T2"/>
              <w:spacing w:after="0"/>
              <w:ind w:left="0" w:right="0"/>
              <w:rPr>
                <w:b w:val="0"/>
                <w:sz w:val="16"/>
              </w:rPr>
            </w:pPr>
            <w:r>
              <w:rPr>
                <w:b w:val="0"/>
                <w:sz w:val="16"/>
              </w:rPr>
              <w:t>jkneckt@apple.com</w:t>
            </w:r>
          </w:p>
        </w:tc>
      </w:tr>
      <w:tr w:rsidR="00CA09B2" w14:paraId="40EFC71D" w14:textId="77777777">
        <w:tblPrEx>
          <w:tblCellMar>
            <w:top w:w="0" w:type="dxa"/>
            <w:bottom w:w="0" w:type="dxa"/>
          </w:tblCellMar>
        </w:tblPrEx>
        <w:trPr>
          <w:jc w:val="center"/>
        </w:trPr>
        <w:tc>
          <w:tcPr>
            <w:tcW w:w="1336" w:type="dxa"/>
            <w:vAlign w:val="center"/>
          </w:tcPr>
          <w:p w14:paraId="4147A7FC" w14:textId="77777777" w:rsidR="00CA09B2" w:rsidRDefault="00CA09B2">
            <w:pPr>
              <w:pStyle w:val="T2"/>
              <w:spacing w:after="0"/>
              <w:ind w:left="0" w:right="0"/>
              <w:rPr>
                <w:b w:val="0"/>
                <w:sz w:val="20"/>
              </w:rPr>
            </w:pPr>
          </w:p>
        </w:tc>
        <w:tc>
          <w:tcPr>
            <w:tcW w:w="2064" w:type="dxa"/>
            <w:vAlign w:val="center"/>
          </w:tcPr>
          <w:p w14:paraId="750450A0" w14:textId="77777777" w:rsidR="00CA09B2" w:rsidRDefault="00CA09B2">
            <w:pPr>
              <w:pStyle w:val="T2"/>
              <w:spacing w:after="0"/>
              <w:ind w:left="0" w:right="0"/>
              <w:rPr>
                <w:b w:val="0"/>
                <w:sz w:val="20"/>
              </w:rPr>
            </w:pPr>
          </w:p>
        </w:tc>
        <w:tc>
          <w:tcPr>
            <w:tcW w:w="2814" w:type="dxa"/>
            <w:vAlign w:val="center"/>
          </w:tcPr>
          <w:p w14:paraId="41960169" w14:textId="77777777" w:rsidR="00CA09B2" w:rsidRDefault="00CA09B2">
            <w:pPr>
              <w:pStyle w:val="T2"/>
              <w:spacing w:after="0"/>
              <w:ind w:left="0" w:right="0"/>
              <w:rPr>
                <w:b w:val="0"/>
                <w:sz w:val="20"/>
              </w:rPr>
            </w:pPr>
          </w:p>
        </w:tc>
        <w:tc>
          <w:tcPr>
            <w:tcW w:w="1715" w:type="dxa"/>
            <w:vAlign w:val="center"/>
          </w:tcPr>
          <w:p w14:paraId="32C0F994" w14:textId="77777777" w:rsidR="00CA09B2" w:rsidRDefault="00CA09B2">
            <w:pPr>
              <w:pStyle w:val="T2"/>
              <w:spacing w:after="0"/>
              <w:ind w:left="0" w:right="0"/>
              <w:rPr>
                <w:b w:val="0"/>
                <w:sz w:val="20"/>
              </w:rPr>
            </w:pPr>
          </w:p>
        </w:tc>
        <w:tc>
          <w:tcPr>
            <w:tcW w:w="1647" w:type="dxa"/>
            <w:vAlign w:val="center"/>
          </w:tcPr>
          <w:p w14:paraId="303373D7" w14:textId="77777777" w:rsidR="00CA09B2" w:rsidRDefault="00CA09B2">
            <w:pPr>
              <w:pStyle w:val="T2"/>
              <w:spacing w:after="0"/>
              <w:ind w:left="0" w:right="0"/>
              <w:rPr>
                <w:b w:val="0"/>
                <w:sz w:val="16"/>
              </w:rPr>
            </w:pPr>
          </w:p>
        </w:tc>
      </w:tr>
    </w:tbl>
    <w:p w14:paraId="49B66C5D" w14:textId="77777777" w:rsidR="00CA09B2" w:rsidRDefault="00D221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FAACDC">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C21FB" w14:textId="77777777" w:rsidR="0029020B" w:rsidRDefault="0029020B">
                            <w:pPr>
                              <w:pStyle w:val="T1"/>
                              <w:spacing w:after="120"/>
                            </w:pPr>
                            <w:r>
                              <w:t>Abstract</w:t>
                            </w:r>
                          </w:p>
                          <w:p w14:paraId="13DA99FD" w14:textId="68279E4A" w:rsid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52F07D9C" w14:textId="6F0FA5C2" w:rsidR="00895C17" w:rsidRDefault="00895C17" w:rsidP="009B6BC6"/>
                          <w:p w14:paraId="4656E662" w14:textId="44676546" w:rsidR="00895C17" w:rsidRPr="009B6BC6" w:rsidRDefault="00393C34" w:rsidP="009B6BC6">
                            <w:r>
                              <w:t xml:space="preserve">Rev 1) Comments from 802.11ax telco 10/15 are incorporated. </w:t>
                            </w:r>
                          </w:p>
                          <w:p w14:paraId="46C05228" w14:textId="44522F3D"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ACD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pTs6LPQBAADZAwAADgAAAAAAAAAAAAAAAAAu&#13;&#10;AgAAZHJzL2Uyb0RvYy54bWxQSwECLQAUAAYACAAAACEA2Eomv+MAAAAOAQAADwAAAAAAAAAAAAAA&#13;&#10;AABOBAAAZHJzL2Rvd25yZXYueG1sUEsFBgAAAAAEAAQA8wAAAF4FAAAAAA==&#13;&#10;" o:allowincell="f" stroked="f">
                <v:path arrowok="t"/>
                <v:textbox>
                  <w:txbxContent>
                    <w:p w14:paraId="1F4C21FB" w14:textId="77777777" w:rsidR="0029020B" w:rsidRDefault="0029020B">
                      <w:pPr>
                        <w:pStyle w:val="T1"/>
                        <w:spacing w:after="120"/>
                      </w:pPr>
                      <w:r>
                        <w:t>Abstract</w:t>
                      </w:r>
                    </w:p>
                    <w:p w14:paraId="13DA99FD" w14:textId="68279E4A" w:rsid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52F07D9C" w14:textId="6F0FA5C2" w:rsidR="00895C17" w:rsidRDefault="00895C17" w:rsidP="009B6BC6"/>
                    <w:p w14:paraId="4656E662" w14:textId="44676546" w:rsidR="00895C17" w:rsidRPr="009B6BC6" w:rsidRDefault="00393C34" w:rsidP="009B6BC6">
                      <w:r>
                        <w:t xml:space="preserve">Rev 1) Comments from 802.11ax telco 10/15 are incorporated. </w:t>
                      </w:r>
                    </w:p>
                    <w:p w14:paraId="46C05228" w14:textId="44522F3D" w:rsidR="0029020B" w:rsidRDefault="0029020B">
                      <w:pPr>
                        <w:jc w:val="both"/>
                      </w:pPr>
                    </w:p>
                  </w:txbxContent>
                </v:textbox>
              </v:shape>
            </w:pict>
          </mc:Fallback>
        </mc:AlternateContent>
      </w:r>
    </w:p>
    <w:p w14:paraId="44C9A0A2" w14:textId="06243920" w:rsidR="009B6BC6" w:rsidRPr="009B6BC6" w:rsidRDefault="00CA09B2" w:rsidP="009B6BC6">
      <w:pPr>
        <w:pStyle w:val="Heading2"/>
        <w:rPr>
          <w:lang w:val="en-US"/>
        </w:rPr>
      </w:pPr>
      <w:r>
        <w:br w:type="page"/>
      </w:r>
      <w:r w:rsidR="009B6BC6">
        <w:lastRenderedPageBreak/>
        <w:t xml:space="preserve">CID </w:t>
      </w:r>
      <w:r w:rsidR="009B6BC6" w:rsidRPr="009B6BC6">
        <w:rPr>
          <w:lang w:val="en-US"/>
        </w:rPr>
        <w:t>25071</w:t>
      </w:r>
    </w:p>
    <w:p w14:paraId="5C7E2056" w14:textId="43DE5716" w:rsidR="00CA09B2" w:rsidRDefault="009B6BC6" w:rsidP="009B6BC6">
      <w:pPr>
        <w:pStyle w:val="Heading3"/>
      </w:pPr>
      <w:r>
        <w:t>Comment</w:t>
      </w:r>
    </w:p>
    <w:p w14:paraId="4E5C6B1C" w14:textId="2267F6ED" w:rsidR="009B6BC6" w:rsidRDefault="009B6BC6" w:rsidP="009B6BC6">
      <w:r w:rsidRPr="009B6BC6">
        <w:t>Tx NSTS only applies to non-AP STAs</w:t>
      </w:r>
    </w:p>
    <w:p w14:paraId="0F36B387" w14:textId="745E6E7B" w:rsidR="009B6BC6" w:rsidRDefault="009B6BC6" w:rsidP="009B6BC6">
      <w:pPr>
        <w:pStyle w:val="Heading3"/>
      </w:pPr>
      <w:r>
        <w:t>Proposed Change</w:t>
      </w:r>
    </w:p>
    <w:p w14:paraId="457F1F0D" w14:textId="0978A790" w:rsidR="009B6BC6" w:rsidRDefault="009B6BC6" w:rsidP="009B6BC6">
      <w:r w:rsidRPr="009B6BC6">
        <w:t>At 93.1 change "that the STA supports" to "that a non-AP STA supports" and at the end of the para add "The Tx NSTS subfield is reserved for an AP.".  At 440.48 change "Tx NSTS" to "Tx NSTS (non-AP STA only)".</w:t>
      </w:r>
    </w:p>
    <w:p w14:paraId="2E62CEA4" w14:textId="45B38E38" w:rsidR="009B6BC6" w:rsidRDefault="009B6BC6" w:rsidP="009B6BC6">
      <w:pPr>
        <w:pStyle w:val="Heading3"/>
      </w:pPr>
      <w:r>
        <w:t>Discussion:</w:t>
      </w:r>
    </w:p>
    <w:p w14:paraId="27590634" w14:textId="3AE5DBB8" w:rsidR="009B6BC6" w:rsidRDefault="009B6BC6" w:rsidP="009B6BC6">
      <w:r>
        <w:t xml:space="preserve">It is true that TX NSTS is the maximum NSTS that AP may trigger a STA. The AP needs to know the value of the field in order to allocate the correct number of </w:t>
      </w:r>
      <w:proofErr w:type="spellStart"/>
      <w:r>
        <w:t>of</w:t>
      </w:r>
      <w:proofErr w:type="spellEnd"/>
      <w:r>
        <w:t xml:space="preserve"> NSTS to a STA in a Tigger frame. </w:t>
      </w:r>
    </w:p>
    <w:p w14:paraId="1F2AEBCD" w14:textId="4CA4D5AA" w:rsidR="00523178" w:rsidRDefault="00523178" w:rsidP="009B6BC6"/>
    <w:p w14:paraId="6AA5AB74" w14:textId="5BD14C3A" w:rsidR="00523178" w:rsidRDefault="00523178" w:rsidP="009B6BC6">
      <w:r>
        <w:t>The OM Control field definition can be improved for Tx NSTS subfield. On clause 26.9.3 we have in page 440 line 14 the following NOTE that makes it clear that AP does not transmit TOM fields:</w:t>
      </w:r>
    </w:p>
    <w:p w14:paraId="50BCCCC0" w14:textId="73D80FD1" w:rsidR="009B6BC6" w:rsidRPr="00823C22" w:rsidRDefault="00523178" w:rsidP="00823C22">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18"/>
          <w:szCs w:val="18"/>
          <w:lang w:val="en-US"/>
        </w:rPr>
        <w:t xml:space="preserve">NOTE—TOM indication does not relate to transmissions in PPDUs other than HE TB PPDUs. An AP does not perform TOM indication as an OMI initiator. </w:t>
      </w:r>
    </w:p>
    <w:p w14:paraId="22275C5B" w14:textId="166CEA62" w:rsidR="009B6BC6" w:rsidRDefault="009B6BC6" w:rsidP="009B6BC6">
      <w:pPr>
        <w:pStyle w:val="Heading3"/>
      </w:pPr>
      <w:r>
        <w:t>Proposed Resolution</w:t>
      </w:r>
    </w:p>
    <w:p w14:paraId="6B68714A" w14:textId="221C5D90" w:rsidR="009B6BC6" w:rsidRDefault="009B6BC6" w:rsidP="009B6BC6">
      <w:r>
        <w:t xml:space="preserve">REVISED. Accept in principle with the comment. </w:t>
      </w:r>
    </w:p>
    <w:p w14:paraId="7C211350" w14:textId="458DD045" w:rsidR="00895C17" w:rsidRDefault="00895C17" w:rsidP="009B6BC6">
      <w:r>
        <w:t xml:space="preserve">Please </w:t>
      </w:r>
      <w:r w:rsidR="00393C34">
        <w:t xml:space="preserve">adopt the changes shown in the </w:t>
      </w:r>
      <w:r>
        <w:t xml:space="preserve">submission </w:t>
      </w:r>
      <w:r w:rsidR="00393C34">
        <w:t xml:space="preserve">1-20-1658r1 identified for the CID 25071.  </w:t>
      </w:r>
    </w:p>
    <w:p w14:paraId="757E9852" w14:textId="42E3BBB0" w:rsidR="00523178" w:rsidRPr="00523178" w:rsidRDefault="00523178" w:rsidP="00823C22">
      <w:pPr>
        <w:pStyle w:val="Heading2"/>
        <w:rPr>
          <w:lang w:val="en-US"/>
        </w:rPr>
      </w:pPr>
      <w:r>
        <w:t xml:space="preserve">CID </w:t>
      </w:r>
      <w:r w:rsidRPr="009B6BC6">
        <w:rPr>
          <w:lang w:val="en-US"/>
        </w:rPr>
        <w:t>250</w:t>
      </w:r>
      <w:r>
        <w:rPr>
          <w:lang w:val="en-US"/>
        </w:rPr>
        <w:t>95</w:t>
      </w:r>
    </w:p>
    <w:p w14:paraId="33FE80EC" w14:textId="47298B4C" w:rsidR="00523178" w:rsidRDefault="00523178" w:rsidP="00523178">
      <w:pPr>
        <w:pStyle w:val="Heading3"/>
      </w:pPr>
      <w:r>
        <w:t>Comment</w:t>
      </w:r>
    </w:p>
    <w:p w14:paraId="1FD1BC4D" w14:textId="25E29663" w:rsidR="00523178" w:rsidRPr="00523178" w:rsidRDefault="00523178" w:rsidP="00523178">
      <w:r w:rsidRPr="00523178">
        <w:t>"The UL MU Disable subfield to 1 to indicate suspension to response to a triggering frame" -- weird grammar, not clear what it's trying to say</w:t>
      </w:r>
    </w:p>
    <w:p w14:paraId="5A45FE08" w14:textId="00B02172" w:rsidR="00523178" w:rsidRDefault="00523178" w:rsidP="00523178">
      <w:pPr>
        <w:pStyle w:val="Heading3"/>
      </w:pPr>
      <w:r>
        <w:t>Proposed Change</w:t>
      </w:r>
    </w:p>
    <w:p w14:paraId="7FFFBED8" w14:textId="3F677214" w:rsidR="00523178" w:rsidRPr="00523178" w:rsidRDefault="00523178" w:rsidP="00523178">
      <w:r w:rsidRPr="00523178">
        <w:t>Change to "The UL MU Disable subfield to 1, to suspend responding to triggering frames"</w:t>
      </w:r>
    </w:p>
    <w:p w14:paraId="57FBD687" w14:textId="77777777" w:rsidR="00823C22" w:rsidRDefault="00823C22" w:rsidP="00823C22">
      <w:pPr>
        <w:pStyle w:val="Heading3"/>
      </w:pPr>
      <w:r>
        <w:t>Proposed Resolution</w:t>
      </w:r>
    </w:p>
    <w:p w14:paraId="10D2A18F" w14:textId="564DA2E1" w:rsidR="00523178" w:rsidRDefault="00895C17" w:rsidP="009B6BC6">
      <w:r>
        <w:t>REVISED</w:t>
      </w:r>
      <w:r w:rsidR="00523178">
        <w:t xml:space="preserve">. </w:t>
      </w:r>
    </w:p>
    <w:p w14:paraId="593E1A9D" w14:textId="4620F24F" w:rsidR="00393C34" w:rsidRDefault="00393C34" w:rsidP="00393C34">
      <w:r>
        <w:t>Please adopt the changes shown in the submission 1-20-1658r1 identified for the CID 250</w:t>
      </w:r>
      <w:r>
        <w:t>95</w:t>
      </w:r>
      <w:r>
        <w:t xml:space="preserve">.  </w:t>
      </w:r>
    </w:p>
    <w:p w14:paraId="7B6E8054" w14:textId="77777777" w:rsidR="00393C34" w:rsidRDefault="00393C34" w:rsidP="009B6BC6"/>
    <w:p w14:paraId="7C4B9981" w14:textId="35A42508" w:rsidR="00823C22" w:rsidRPr="00523178" w:rsidRDefault="00823C22" w:rsidP="00823C22">
      <w:pPr>
        <w:pStyle w:val="Heading2"/>
        <w:rPr>
          <w:lang w:val="en-US"/>
        </w:rPr>
      </w:pPr>
      <w:r>
        <w:t xml:space="preserve">CID </w:t>
      </w:r>
      <w:r w:rsidRPr="009B6BC6">
        <w:rPr>
          <w:lang w:val="en-US"/>
        </w:rPr>
        <w:t>250</w:t>
      </w:r>
      <w:r>
        <w:rPr>
          <w:lang w:val="en-US"/>
        </w:rPr>
        <w:t>96</w:t>
      </w:r>
    </w:p>
    <w:p w14:paraId="7B4CDA07" w14:textId="77777777" w:rsidR="00823C22" w:rsidRDefault="00823C22" w:rsidP="00823C22">
      <w:pPr>
        <w:pStyle w:val="Heading3"/>
      </w:pPr>
      <w:r>
        <w:t>Comment</w:t>
      </w:r>
    </w:p>
    <w:p w14:paraId="662A78A3" w14:textId="77777777" w:rsidR="00823C22" w:rsidRDefault="00823C22" w:rsidP="00823C22">
      <w:r w:rsidRPr="00523178">
        <w:t>"</w:t>
      </w:r>
      <w:r w:rsidRPr="00823C22">
        <w:t xml:space="preserve"> "The UL MU Disable subfield to 1 to indicate suspension to response to a triggering frame" -- not clear whether this applies to MU-RTS and NFRP Trigger frames</w:t>
      </w:r>
    </w:p>
    <w:p w14:paraId="36DC3C91" w14:textId="0DB29972" w:rsidR="00823C22" w:rsidRDefault="00823C22" w:rsidP="00823C22">
      <w:pPr>
        <w:pStyle w:val="Heading3"/>
      </w:pPr>
      <w:r>
        <w:t>Proposed Change</w:t>
      </w:r>
    </w:p>
    <w:p w14:paraId="17B562FD" w14:textId="255CB975" w:rsidR="00823C22" w:rsidRPr="00823C22" w:rsidRDefault="00823C22" w:rsidP="00823C22">
      <w:r w:rsidRPr="00823C22">
        <w:t>Add "NOTE---Responses to MU-RTS Trigger frames and NFRP Trigger frames are also suspended."</w:t>
      </w:r>
    </w:p>
    <w:p w14:paraId="7361E59C" w14:textId="77777777" w:rsidR="00823C22" w:rsidRDefault="00823C22" w:rsidP="00823C22">
      <w:pPr>
        <w:pStyle w:val="Heading3"/>
      </w:pPr>
      <w:r>
        <w:t>Proposed Resolution</w:t>
      </w:r>
    </w:p>
    <w:p w14:paraId="3AE86BCF" w14:textId="60FBB271" w:rsidR="00823C22" w:rsidRDefault="00823C22" w:rsidP="009B6BC6">
      <w:r>
        <w:t xml:space="preserve">REVISED. </w:t>
      </w:r>
    </w:p>
    <w:p w14:paraId="41A98461" w14:textId="5F661522" w:rsidR="00DF24A0" w:rsidRDefault="00393C34" w:rsidP="00DF24A0">
      <w:r>
        <w:lastRenderedPageBreak/>
        <w:t>Please adopt the changes shown in the submission 1-20-1658r1 identified for the CID 25095</w:t>
      </w:r>
      <w:r w:rsidR="00DF24A0" w:rsidRPr="00DF24A0">
        <w:t xml:space="preserve"> </w:t>
      </w:r>
      <w:r w:rsidR="00DF24A0">
        <w:t>Please adopt the changes shown in the submission 1-20-1658r1 identified for the CID 2509</w:t>
      </w:r>
      <w:r w:rsidR="00DF24A0">
        <w:t>6</w:t>
      </w:r>
      <w:r w:rsidR="00DF24A0">
        <w:t xml:space="preserve">.  </w:t>
      </w:r>
    </w:p>
    <w:p w14:paraId="0CCDC582" w14:textId="1F484E8A" w:rsidR="00393C34" w:rsidRDefault="00393C34" w:rsidP="00393C34">
      <w:r>
        <w:t xml:space="preserve">.  </w:t>
      </w:r>
    </w:p>
    <w:p w14:paraId="5863EED2" w14:textId="77777777" w:rsidR="00393C34" w:rsidRDefault="00393C34" w:rsidP="009B6BC6"/>
    <w:p w14:paraId="4BEC872B" w14:textId="64E65858" w:rsidR="00823C22" w:rsidRDefault="00823C22" w:rsidP="00823C22">
      <w:pPr>
        <w:pStyle w:val="Heading2"/>
      </w:pPr>
      <w:r>
        <w:t xml:space="preserve">Updated Normative Text </w:t>
      </w:r>
    </w:p>
    <w:p w14:paraId="46E838E8" w14:textId="77777777" w:rsidR="00823C22" w:rsidRDefault="00823C22" w:rsidP="009B6BC6"/>
    <w:p w14:paraId="265C6682" w14:textId="72A5F637" w:rsidR="00523178" w:rsidRDefault="00523178" w:rsidP="00523178">
      <w:pPr>
        <w:spacing w:before="100" w:beforeAutospacing="1" w:after="100" w:afterAutospacing="1"/>
        <w:rPr>
          <w:rFonts w:ascii="Arial" w:hAnsi="Arial" w:cs="Arial"/>
          <w:b/>
          <w:bCs/>
          <w:sz w:val="20"/>
          <w:lang w:val="en-US"/>
        </w:rPr>
      </w:pPr>
      <w:r w:rsidRPr="00523178">
        <w:rPr>
          <w:rFonts w:ascii="Arial" w:hAnsi="Arial" w:cs="Arial"/>
          <w:b/>
          <w:bCs/>
          <w:sz w:val="20"/>
          <w:lang w:val="en-US"/>
        </w:rPr>
        <w:t xml:space="preserve">9.2.4.6a.2 OM Control </w:t>
      </w:r>
    </w:p>
    <w:p w14:paraId="63E38241" w14:textId="452F192E"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Instructions to the Editor, please change the third last paragraph as shown:</w:t>
      </w:r>
      <w:r>
        <w:rPr>
          <w:rFonts w:ascii="Arial" w:hAnsi="Arial" w:cs="Arial"/>
          <w:b/>
          <w:bCs/>
          <w:sz w:val="20"/>
          <w:lang w:val="en-US"/>
        </w:rPr>
        <w:t xml:space="preserve"> </w:t>
      </w:r>
    </w:p>
    <w:p w14:paraId="501B2D25" w14:textId="3D9FB357" w:rsidR="00523178" w:rsidRDefault="00523178" w:rsidP="009B6BC6">
      <w:pPr>
        <w:rPr>
          <w:lang w:val="en-US"/>
        </w:rPr>
      </w:pPr>
    </w:p>
    <w:p w14:paraId="400A6453" w14:textId="5974D897" w:rsidR="00523178" w:rsidRPr="00523178" w:rsidRDefault="00523178" w:rsidP="00523178">
      <w:pPr>
        <w:rPr>
          <w:color w:val="0070C0"/>
        </w:rPr>
      </w:pPr>
      <w:r w:rsidRPr="00523178">
        <w:rPr>
          <w:rFonts w:hint="eastAsia"/>
          <w:lang w:val="en-US"/>
        </w:rPr>
        <w:t xml:space="preserve">The Tx NSTS subfield indicates the maximum number of space-time streams, </w:t>
      </w:r>
      <w:r w:rsidRPr="00523178">
        <w:rPr>
          <w:i/>
          <w:iCs/>
          <w:lang w:val="en-US"/>
        </w:rPr>
        <w:t>NSTS</w:t>
      </w:r>
      <w:r w:rsidRPr="00523178">
        <w:rPr>
          <w:rFonts w:hint="eastAsia"/>
          <w:lang w:val="en-US"/>
        </w:rPr>
        <w:t xml:space="preserve">, that </w:t>
      </w:r>
      <w:proofErr w:type="gramStart"/>
      <w:r w:rsidRPr="00523178">
        <w:rPr>
          <w:rFonts w:hint="eastAsia"/>
          <w:strike/>
          <w:color w:val="FF0000"/>
          <w:lang w:val="en-US"/>
        </w:rPr>
        <w:t>the</w:t>
      </w:r>
      <w:r w:rsidRPr="00523178">
        <w:rPr>
          <w:strike/>
          <w:color w:val="FF0000"/>
        </w:rPr>
        <w:t xml:space="preserve"> </w:t>
      </w:r>
      <w:r w:rsidRPr="00523178">
        <w:rPr>
          <w:color w:val="0070C0"/>
          <w:u w:val="single"/>
        </w:rPr>
        <w:t>a</w:t>
      </w:r>
      <w:proofErr w:type="gramEnd"/>
      <w:r w:rsidRPr="00523178">
        <w:rPr>
          <w:color w:val="0070C0"/>
          <w:u w:val="single"/>
        </w:rPr>
        <w:t xml:space="preserve"> non-AP</w:t>
      </w:r>
      <w:r w:rsidRPr="00523178">
        <w:rPr>
          <w:rFonts w:hint="eastAsia"/>
          <w:lang w:val="en-US"/>
        </w:rPr>
        <w:t xml:space="preserve"> STA supports in transmission and is set to </w:t>
      </w:r>
      <w:r w:rsidRPr="00523178">
        <w:rPr>
          <w:i/>
          <w:iCs/>
          <w:lang w:val="en-US"/>
        </w:rPr>
        <w:t xml:space="preserve">NSTS </w:t>
      </w:r>
      <w:r w:rsidRPr="00523178">
        <w:rPr>
          <w:rFonts w:hint="eastAsia"/>
          <w:lang w:val="en-US"/>
        </w:rPr>
        <w:t xml:space="preserve">– 1. </w:t>
      </w:r>
      <w:r w:rsidRPr="00523178">
        <w:rPr>
          <w:rFonts w:hint="eastAsia"/>
          <w:color w:val="0070C0"/>
          <w:u w:val="single"/>
        </w:rPr>
        <w:t xml:space="preserve">If the OM Control field is transmitted by an HE AP, then the </w:t>
      </w:r>
      <w:r w:rsidRPr="00523178">
        <w:rPr>
          <w:color w:val="0070C0"/>
          <w:u w:val="single"/>
        </w:rPr>
        <w:t xml:space="preserve">Tx NSTS </w:t>
      </w:r>
      <w:r w:rsidRPr="00523178">
        <w:rPr>
          <w:rFonts w:hint="eastAsia"/>
          <w:color w:val="0070C0"/>
          <w:u w:val="single"/>
        </w:rPr>
        <w:t>subfield is reserved.</w:t>
      </w:r>
      <w:r>
        <w:rPr>
          <w:color w:val="0070C0"/>
          <w:u w:val="single"/>
        </w:rPr>
        <w:t xml:space="preserve"> </w:t>
      </w:r>
      <w:r w:rsidRPr="00523178">
        <w:rPr>
          <w:color w:val="00B050"/>
        </w:rPr>
        <w:t>[25071]</w:t>
      </w:r>
    </w:p>
    <w:p w14:paraId="61FA8C51" w14:textId="77777777" w:rsidR="00523178" w:rsidRPr="00523178" w:rsidRDefault="00523178" w:rsidP="00523178">
      <w:pPr>
        <w:rPr>
          <w:lang w:val="en-US"/>
        </w:rPr>
      </w:pPr>
    </w:p>
    <w:p w14:paraId="69B79945" w14:textId="77777777" w:rsidR="00523178" w:rsidRPr="00523178" w:rsidRDefault="00523178" w:rsidP="00523178">
      <w:pPr>
        <w:rPr>
          <w:lang w:val="en-US"/>
        </w:rPr>
      </w:pPr>
      <w:r w:rsidRPr="00523178">
        <w:rPr>
          <w:rFonts w:hint="eastAsia"/>
          <w:lang w:val="en-US"/>
        </w:rPr>
        <w:t xml:space="preserve">A non-AP HE STA sets the ER SU Disable subfield to 1 to indicate that 242-tone HE ER SU PPDU </w:t>
      </w:r>
      <w:proofErr w:type="spellStart"/>
      <w:r w:rsidRPr="00523178">
        <w:rPr>
          <w:rFonts w:hint="eastAsia"/>
          <w:lang w:val="en-US"/>
        </w:rPr>
        <w:t>recep</w:t>
      </w:r>
      <w:proofErr w:type="spellEnd"/>
      <w:r w:rsidRPr="00523178">
        <w:rPr>
          <w:rFonts w:hint="eastAsia"/>
          <w:lang w:val="en-US"/>
        </w:rPr>
        <w:t xml:space="preserve">- </w:t>
      </w:r>
      <w:proofErr w:type="spellStart"/>
      <w:r w:rsidRPr="00523178">
        <w:rPr>
          <w:rFonts w:hint="eastAsia"/>
          <w:lang w:val="en-US"/>
        </w:rPr>
        <w:t>tion</w:t>
      </w:r>
      <w:proofErr w:type="spellEnd"/>
      <w:r w:rsidRPr="00523178">
        <w:rPr>
          <w:rFonts w:hint="eastAsia"/>
          <w:lang w:val="en-US"/>
        </w:rPr>
        <w:t xml:space="preserve"> is disabled and to 0 to indicate that 242-tone HE ER SU PPDU reception is enabled. If the OM Control field is transmitted by an HE AP, then the ER SU Disable subfield is reserved. </w:t>
      </w:r>
    </w:p>
    <w:p w14:paraId="32AFF4B6" w14:textId="77777777" w:rsidR="00523178" w:rsidRPr="009B6BC6" w:rsidRDefault="00523178" w:rsidP="009B6BC6">
      <w:pPr>
        <w:rPr>
          <w:lang w:val="en-US"/>
        </w:rPr>
      </w:pPr>
    </w:p>
    <w:p w14:paraId="00F06BE6" w14:textId="77777777" w:rsidR="009B6BC6" w:rsidRPr="009B6BC6" w:rsidRDefault="009B6BC6" w:rsidP="009B6BC6"/>
    <w:p w14:paraId="33E7F53C"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lang w:val="en-US"/>
        </w:rPr>
        <w:t xml:space="preserve">26.9.3 Transmit operating mode (TOM) indication </w:t>
      </w:r>
    </w:p>
    <w:p w14:paraId="4A1BBCBB" w14:textId="73E674E5"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 xml:space="preserve">Instructions to the Editor, please change the </w:t>
      </w:r>
      <w:r>
        <w:rPr>
          <w:rFonts w:ascii="Arial" w:hAnsi="Arial" w:cs="Arial"/>
          <w:b/>
          <w:bCs/>
          <w:sz w:val="20"/>
          <w:highlight w:val="yellow"/>
          <w:lang w:val="en-US"/>
        </w:rPr>
        <w:t>second</w:t>
      </w:r>
      <w:r w:rsidRPr="00523178">
        <w:rPr>
          <w:rFonts w:ascii="Arial" w:hAnsi="Arial" w:cs="Arial"/>
          <w:b/>
          <w:bCs/>
          <w:sz w:val="20"/>
          <w:highlight w:val="yellow"/>
          <w:lang w:val="en-US"/>
        </w:rPr>
        <w:t xml:space="preserve"> paragraph as shown:</w:t>
      </w:r>
      <w:r>
        <w:rPr>
          <w:rFonts w:ascii="Arial" w:hAnsi="Arial" w:cs="Arial"/>
          <w:b/>
          <w:bCs/>
          <w:sz w:val="20"/>
          <w:lang w:val="en-US"/>
        </w:rPr>
        <w:t xml:space="preserve"> </w:t>
      </w:r>
    </w:p>
    <w:p w14:paraId="634FC20F" w14:textId="77777777" w:rsidR="00523178" w:rsidRPr="00523178" w:rsidRDefault="00523178" w:rsidP="00523178">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20"/>
          <w:lang w:val="en-US"/>
        </w:rPr>
        <w:t xml:space="preserve">An OMI initiator that is a non-AP STA may indicate changes in </w:t>
      </w:r>
      <w:proofErr w:type="gramStart"/>
      <w:r w:rsidRPr="00523178">
        <w:rPr>
          <w:rFonts w:ascii="TimesNewRomanPSMT" w:eastAsia="TimesNewRomanPSMT" w:hAnsi="TimesNewRomanPSMT" w:cs="TimesNewRomanPSMT" w:hint="eastAsia"/>
          <w:sz w:val="20"/>
          <w:lang w:val="en-US"/>
        </w:rPr>
        <w:t>its</w:t>
      </w:r>
      <w:proofErr w:type="gramEnd"/>
      <w:r w:rsidRPr="00523178">
        <w:rPr>
          <w:rFonts w:ascii="TimesNewRomanPSMT" w:eastAsia="TimesNewRomanPSMT" w:hAnsi="TimesNewRomanPSMT" w:cs="TimesNewRomanPSMT" w:hint="eastAsia"/>
          <w:sz w:val="20"/>
          <w:lang w:val="en-US"/>
        </w:rPr>
        <w:t xml:space="preserve"> transmit parameters by sending a frame that contains the OM Control subfield to the OMI responder. The OMI initiator shall set: </w:t>
      </w:r>
    </w:p>
    <w:p w14:paraId="746D4377" w14:textId="7FE8C90F" w:rsidR="00523178" w:rsidRPr="00895C17" w:rsidRDefault="00523178" w:rsidP="00895C17">
      <w:pPr>
        <w:spacing w:before="100" w:beforeAutospacing="1" w:after="100" w:afterAutospacing="1"/>
        <w:ind w:left="720"/>
        <w:rPr>
          <w:rFonts w:ascii="TimesNewRomanPSMT" w:eastAsia="TimesNewRomanPSMT" w:hAnsi="TimesNewRomanPSMT" w:cs="TimesNewRomanPSMT"/>
          <w:color w:val="0070C0"/>
          <w:sz w:val="20"/>
          <w:u w:val="single"/>
          <w:lang w:val="en-US"/>
        </w:rPr>
      </w:pPr>
      <w:r>
        <w:rPr>
          <w:rFonts w:ascii="ArialMT" w:hAnsi="ArialMT"/>
          <w:sz w:val="16"/>
          <w:szCs w:val="16"/>
          <w:lang w:val="en-US"/>
        </w:rPr>
        <w:t xml:space="preserve">–  </w:t>
      </w:r>
      <w:r w:rsidRPr="00523178">
        <w:rPr>
          <w:rFonts w:ascii="TimesNewRomanPSMT" w:eastAsia="TimesNewRomanPSMT" w:hAnsi="TimesNewRomanPSMT" w:cs="TimesNewRomanPSMT" w:hint="eastAsia"/>
          <w:sz w:val="20"/>
          <w:lang w:val="en-US"/>
        </w:rPr>
        <w:t>The UL MU Disable subfield to 1</w:t>
      </w:r>
      <w:r w:rsidR="00895C17" w:rsidRPr="00895C17">
        <w:rPr>
          <w:rFonts w:ascii="TimesNewRomanPSMT" w:eastAsia="TimesNewRomanPSMT" w:hAnsi="TimesNewRomanPSMT" w:cs="TimesNewRomanPSMT"/>
          <w:color w:val="0070C0"/>
          <w:sz w:val="20"/>
          <w:u w:val="single"/>
          <w:lang w:val="en-US"/>
        </w:rPr>
        <w:t>,</w:t>
      </w:r>
      <w:r w:rsidRPr="00523178">
        <w:rPr>
          <w:rFonts w:ascii="TimesNewRomanPSMT" w:eastAsia="TimesNewRomanPSMT" w:hAnsi="TimesNewRomanPSMT" w:cs="TimesNewRomanPSMT" w:hint="eastAsia"/>
          <w:sz w:val="20"/>
          <w:lang w:val="en-US"/>
        </w:rPr>
        <w:t xml:space="preserve"> </w:t>
      </w:r>
      <w:r w:rsidRPr="00895C17">
        <w:rPr>
          <w:rFonts w:ascii="TimesNewRomanPSMT" w:eastAsia="TimesNewRomanPSMT" w:hAnsi="TimesNewRomanPSMT" w:cs="TimesNewRomanPSMT" w:hint="eastAsia"/>
          <w:color w:val="0070C0"/>
          <w:sz w:val="20"/>
          <w:u w:val="single"/>
          <w:lang w:val="en-US"/>
        </w:rPr>
        <w:t>to</w:t>
      </w:r>
      <w:r w:rsidR="00823C22" w:rsidRPr="00895C17">
        <w:rPr>
          <w:rFonts w:ascii="TimesNewRomanPSMT" w:eastAsia="TimesNewRomanPSMT" w:hAnsi="TimesNewRomanPSMT" w:cs="TimesNewRomanPSMT"/>
          <w:color w:val="0070C0"/>
          <w:sz w:val="20"/>
          <w:u w:val="single"/>
          <w:lang w:val="en-US"/>
        </w:rPr>
        <w:t xml:space="preserve"> </w:t>
      </w:r>
      <w:r w:rsidR="00895C17" w:rsidRPr="00895C17">
        <w:rPr>
          <w:rFonts w:ascii="TimesNewRomanPSMT" w:eastAsia="TimesNewRomanPSMT" w:hAnsi="TimesNewRomanPSMT" w:cs="TimesNewRomanPSMT"/>
          <w:color w:val="0070C0"/>
          <w:sz w:val="20"/>
          <w:u w:val="single"/>
          <w:lang w:val="en-US"/>
        </w:rPr>
        <w:t xml:space="preserve">indicate suspension of responding to a </w:t>
      </w:r>
      <w:r w:rsidR="00895C17" w:rsidRPr="00895C17">
        <w:rPr>
          <w:rFonts w:ascii="TimesNewRomanPSMT" w:eastAsia="TimesNewRomanPSMT" w:hAnsi="TimesNewRomanPSMT" w:cs="TimesNewRomanPSMT" w:hint="eastAsia"/>
          <w:color w:val="0070C0"/>
          <w:sz w:val="20"/>
          <w:u w:val="single"/>
          <w:lang w:val="en-US"/>
        </w:rPr>
        <w:t>triggering frame</w:t>
      </w:r>
      <w:r w:rsidR="00895C17">
        <w:rPr>
          <w:rFonts w:ascii="TimesNewRomanPSMT" w:eastAsia="TimesNewRomanPSMT" w:hAnsi="TimesNewRomanPSMT" w:cs="TimesNewRomanPSMT"/>
          <w:color w:val="0070C0"/>
          <w:sz w:val="20"/>
          <w:u w:val="single"/>
          <w:lang w:val="en-US"/>
        </w:rPr>
        <w:t xml:space="preserve"> </w:t>
      </w:r>
      <w:r w:rsidRPr="00523178">
        <w:rPr>
          <w:rFonts w:ascii="TimesNewRomanPSMT" w:eastAsia="TimesNewRomanPSMT" w:hAnsi="TimesNewRomanPSMT" w:cs="TimesNewRomanPSMT" w:hint="eastAsia"/>
          <w:strike/>
          <w:color w:val="FF0000"/>
          <w:sz w:val="20"/>
          <w:lang w:val="en-US"/>
        </w:rPr>
        <w:t>indicate suspension to response to a</w:t>
      </w:r>
      <w:r w:rsidRPr="00523178">
        <w:rPr>
          <w:rFonts w:ascii="TimesNewRomanPSMT" w:eastAsia="TimesNewRomanPSMT" w:hAnsi="TimesNewRomanPSMT" w:cs="TimesNewRomanPSMT" w:hint="eastAsia"/>
          <w:sz w:val="20"/>
          <w:lang w:val="en-US"/>
        </w:rPr>
        <w:t xml:space="preserve"> </w:t>
      </w:r>
      <w:r w:rsidRPr="00523178">
        <w:rPr>
          <w:rFonts w:ascii="TimesNewRomanPSMT" w:eastAsia="TimesNewRomanPSMT" w:hAnsi="TimesNewRomanPSMT" w:cs="TimesNewRomanPSMT" w:hint="eastAsia"/>
          <w:strike/>
          <w:color w:val="FF0000"/>
          <w:sz w:val="20"/>
          <w:lang w:val="en-US"/>
        </w:rPr>
        <w:t>triggering frame</w:t>
      </w:r>
      <w:r w:rsidRPr="00523178">
        <w:rPr>
          <w:rFonts w:ascii="TimesNewRomanPSMT" w:eastAsia="TimesNewRomanPSMT" w:hAnsi="TimesNewRomanPSMT" w:cs="TimesNewRomanPSMT" w:hint="eastAsia"/>
          <w:sz w:val="20"/>
          <w:lang w:val="en-US"/>
        </w:rPr>
        <w:t xml:space="preserve"> (see 26.5.2 (UL MU operation). </w:t>
      </w:r>
      <w:r w:rsidR="00823C22" w:rsidRPr="00823C22">
        <w:rPr>
          <w:rFonts w:ascii="TimesNewRomanPSMT" w:eastAsia="TimesNewRomanPSMT" w:hAnsi="TimesNewRomanPSMT" w:cs="TimesNewRomanPSMT"/>
          <w:color w:val="00B050"/>
          <w:sz w:val="20"/>
          <w:lang w:val="en-US"/>
        </w:rPr>
        <w:t>[25095]</w:t>
      </w:r>
    </w:p>
    <w:p w14:paraId="6DAB6F49" w14:textId="73D9AAE0" w:rsidR="00CA09B2" w:rsidRPr="00823C22" w:rsidRDefault="00823C22" w:rsidP="00823C22">
      <w:pPr>
        <w:spacing w:before="100" w:beforeAutospacing="1" w:after="100" w:afterAutospacing="1"/>
        <w:ind w:left="720" w:firstLine="720"/>
        <w:rPr>
          <w:sz w:val="24"/>
          <w:szCs w:val="24"/>
          <w:lang w:val="en-US"/>
        </w:rPr>
      </w:pPr>
      <w:r w:rsidRPr="00823C22">
        <w:rPr>
          <w:rFonts w:ascii="TimesNewRomanPSMT" w:eastAsia="TimesNewRomanPSMT" w:hAnsi="TimesNewRomanPSMT" w:cs="TimesNewRomanPSMT" w:hint="eastAsia"/>
          <w:sz w:val="20"/>
          <w:lang w:val="en-US"/>
        </w:rPr>
        <w:t xml:space="preserve">• An AP that is an OMI initiator shall set the UL MU Disable subfield to 0. </w:t>
      </w:r>
    </w:p>
    <w:p w14:paraId="53CC1D47" w14:textId="2AACD298" w:rsidR="00823C22" w:rsidRPr="00823C22" w:rsidRDefault="00823C22">
      <w:pPr>
        <w:rPr>
          <w:color w:val="00B050"/>
        </w:rPr>
      </w:pPr>
      <w:r w:rsidRPr="00823C22">
        <w:rPr>
          <w:color w:val="0070C0"/>
          <w:u w:val="single"/>
        </w:rPr>
        <w:t>NOTE---Responses to all Trigger frame</w:t>
      </w:r>
      <w:r w:rsidR="00895C17">
        <w:rPr>
          <w:color w:val="0070C0"/>
          <w:u w:val="single"/>
        </w:rPr>
        <w:t xml:space="preserve"> variant</w:t>
      </w:r>
      <w:r w:rsidRPr="00823C22">
        <w:rPr>
          <w:color w:val="0070C0"/>
          <w:u w:val="single"/>
        </w:rPr>
        <w:t>s, including MU-RTS Trigger frames and NFRP Trigger frames</w:t>
      </w:r>
      <w:r w:rsidR="00895C17">
        <w:rPr>
          <w:color w:val="0070C0"/>
          <w:u w:val="single"/>
        </w:rPr>
        <w:t>,</w:t>
      </w:r>
      <w:r w:rsidRPr="00823C22">
        <w:rPr>
          <w:color w:val="0070C0"/>
          <w:u w:val="single"/>
        </w:rPr>
        <w:t xml:space="preserve"> are suspended</w:t>
      </w:r>
      <w:r w:rsidR="00895C17">
        <w:rPr>
          <w:color w:val="0070C0"/>
          <w:u w:val="single"/>
        </w:rPr>
        <w:t>.</w:t>
      </w:r>
      <w:r>
        <w:rPr>
          <w:color w:val="0070C0"/>
          <w:u w:val="single"/>
        </w:rPr>
        <w:t xml:space="preserve"> [</w:t>
      </w:r>
      <w:r>
        <w:rPr>
          <w:color w:val="00B050"/>
        </w:rPr>
        <w:t>25096]</w:t>
      </w:r>
    </w:p>
    <w:sectPr w:rsidR="00823C22" w:rsidRPr="00823C2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8A06F" w14:textId="77777777" w:rsidR="00CB0664" w:rsidRDefault="00CB0664">
      <w:r>
        <w:separator/>
      </w:r>
    </w:p>
  </w:endnote>
  <w:endnote w:type="continuationSeparator" w:id="0">
    <w:p w14:paraId="018E1EEB" w14:textId="77777777" w:rsidR="00CB0664" w:rsidRDefault="00CB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pitch w:val="default"/>
    <w:sig w:usb0="00002A87" w:usb1="080F0000" w:usb2="00000010" w:usb3="00000000" w:csb0="001201FF" w:csb1="00000000"/>
  </w:font>
  <w:font w:name="Arial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FDF1" w14:textId="7DF02352" w:rsidR="0029020B" w:rsidRDefault="0029020B">
    <w:pPr>
      <w:pStyle w:val="Footer"/>
      <w:tabs>
        <w:tab w:val="clear" w:pos="6480"/>
        <w:tab w:val="center" w:pos="4680"/>
        <w:tab w:val="right" w:pos="9360"/>
      </w:tabs>
    </w:pPr>
    <w:fldSimple w:instr=" SUBJECT  \* MERGEFORMAT ">
      <w:r w:rsidR="009B6BC6">
        <w:t>Submission</w:t>
      </w:r>
    </w:fldSimple>
    <w:r>
      <w:tab/>
      <w:t xml:space="preserve">page </w:t>
    </w:r>
    <w:r>
      <w:fldChar w:fldCharType="begin"/>
    </w:r>
    <w:r>
      <w:instrText xml:space="preserve">page </w:instrText>
    </w:r>
    <w:r>
      <w:fldChar w:fldCharType="separate"/>
    </w:r>
    <w:r w:rsidR="009F2FBC">
      <w:rPr>
        <w:noProof/>
      </w:rPr>
      <w:t>2</w:t>
    </w:r>
    <w:r>
      <w:fldChar w:fldCharType="end"/>
    </w:r>
    <w:r>
      <w:tab/>
    </w:r>
    <w:r>
      <w:fldChar w:fldCharType="begin"/>
    </w:r>
    <w:r>
      <w:instrText xml:space="preserve"> COMMENTS  \* MERGEFORMAT </w:instrText>
    </w:r>
    <w:r>
      <w:fldChar w:fldCharType="separate"/>
    </w:r>
    <w:r w:rsidR="00823C22">
      <w:t xml:space="preserve">Jarkko </w:t>
    </w:r>
    <w:proofErr w:type="spellStart"/>
    <w:r w:rsidR="00823C22">
      <w:t>Kneckt</w:t>
    </w:r>
    <w:proofErr w:type="spellEnd"/>
    <w:r w:rsidR="00823C22">
      <w:t>, Apple</w:t>
    </w:r>
    <w:r>
      <w:fldChar w:fldCharType="end"/>
    </w:r>
  </w:p>
  <w:p w14:paraId="332FD63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EA62" w14:textId="77777777" w:rsidR="00CB0664" w:rsidRDefault="00CB0664">
      <w:r>
        <w:separator/>
      </w:r>
    </w:p>
  </w:footnote>
  <w:footnote w:type="continuationSeparator" w:id="0">
    <w:p w14:paraId="37B5C8A9" w14:textId="77777777" w:rsidR="00CB0664" w:rsidRDefault="00CB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0F59" w14:textId="6B5469BF"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823C22">
      <w:t>October 2020</w:t>
    </w:r>
    <w:r>
      <w:fldChar w:fldCharType="end"/>
    </w:r>
    <w:r>
      <w:tab/>
    </w:r>
    <w:r>
      <w:tab/>
    </w:r>
    <w:fldSimple w:instr=" TITLE  \* MERGEFORMAT ">
      <w:r w:rsidR="00895C17">
        <w:t>doc.: IEEE 802.11-20/1658r1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C6"/>
    <w:rsid w:val="001D723B"/>
    <w:rsid w:val="0029020B"/>
    <w:rsid w:val="002D44BE"/>
    <w:rsid w:val="00393C34"/>
    <w:rsid w:val="00442037"/>
    <w:rsid w:val="004B064B"/>
    <w:rsid w:val="00523178"/>
    <w:rsid w:val="0062440B"/>
    <w:rsid w:val="006C0727"/>
    <w:rsid w:val="006E145F"/>
    <w:rsid w:val="00770572"/>
    <w:rsid w:val="00823C22"/>
    <w:rsid w:val="00895C17"/>
    <w:rsid w:val="008A6580"/>
    <w:rsid w:val="009B6BC6"/>
    <w:rsid w:val="009F2FBC"/>
    <w:rsid w:val="00AA427C"/>
    <w:rsid w:val="00BE68C2"/>
    <w:rsid w:val="00CA09B2"/>
    <w:rsid w:val="00CB0664"/>
    <w:rsid w:val="00D221BF"/>
    <w:rsid w:val="00D974E6"/>
    <w:rsid w:val="00DC5A7B"/>
    <w:rsid w:val="00D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52ED0"/>
  <w15:chartTrackingRefBased/>
  <w15:docId w15:val="{44087391-700E-7E4C-BDF7-A0624EE3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apple-converted-space">
    <w:name w:val="apple-converted-space"/>
    <w:basedOn w:val="DefaultParagraphFont"/>
    <w:rsid w:val="009B6BC6"/>
  </w:style>
  <w:style w:type="paragraph" w:styleId="NormalWeb">
    <w:name w:val="Normal (Web)"/>
    <w:basedOn w:val="Normal"/>
    <w:uiPriority w:val="99"/>
    <w:rsid w:val="009B6BC6"/>
    <w:rPr>
      <w:sz w:val="24"/>
      <w:szCs w:val="24"/>
    </w:rPr>
  </w:style>
  <w:style w:type="paragraph" w:styleId="BalloonText">
    <w:name w:val="Balloon Text"/>
    <w:basedOn w:val="Normal"/>
    <w:link w:val="BalloonTextChar"/>
    <w:rsid w:val="00D221BF"/>
    <w:rPr>
      <w:sz w:val="18"/>
      <w:szCs w:val="18"/>
    </w:rPr>
  </w:style>
  <w:style w:type="character" w:customStyle="1" w:styleId="BalloonTextChar">
    <w:name w:val="Balloon Text Char"/>
    <w:basedOn w:val="DefaultParagraphFont"/>
    <w:link w:val="BalloonText"/>
    <w:rsid w:val="00D221BF"/>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9700">
      <w:bodyDiv w:val="1"/>
      <w:marLeft w:val="0"/>
      <w:marRight w:val="0"/>
      <w:marTop w:val="0"/>
      <w:marBottom w:val="0"/>
      <w:divBdr>
        <w:top w:val="none" w:sz="0" w:space="0" w:color="auto"/>
        <w:left w:val="none" w:sz="0" w:space="0" w:color="auto"/>
        <w:bottom w:val="none" w:sz="0" w:space="0" w:color="auto"/>
        <w:right w:val="none" w:sz="0" w:space="0" w:color="auto"/>
      </w:divBdr>
    </w:div>
    <w:div w:id="215246309">
      <w:bodyDiv w:val="1"/>
      <w:marLeft w:val="0"/>
      <w:marRight w:val="0"/>
      <w:marTop w:val="0"/>
      <w:marBottom w:val="0"/>
      <w:divBdr>
        <w:top w:val="none" w:sz="0" w:space="0" w:color="auto"/>
        <w:left w:val="none" w:sz="0" w:space="0" w:color="auto"/>
        <w:bottom w:val="none" w:sz="0" w:space="0" w:color="auto"/>
        <w:right w:val="none" w:sz="0" w:space="0" w:color="auto"/>
      </w:divBdr>
      <w:divsChild>
        <w:div w:id="60951563">
          <w:marLeft w:val="0"/>
          <w:marRight w:val="0"/>
          <w:marTop w:val="0"/>
          <w:marBottom w:val="0"/>
          <w:divBdr>
            <w:top w:val="none" w:sz="0" w:space="0" w:color="auto"/>
            <w:left w:val="none" w:sz="0" w:space="0" w:color="auto"/>
            <w:bottom w:val="none" w:sz="0" w:space="0" w:color="auto"/>
            <w:right w:val="none" w:sz="0" w:space="0" w:color="auto"/>
          </w:divBdr>
          <w:divsChild>
            <w:div w:id="365956107">
              <w:marLeft w:val="0"/>
              <w:marRight w:val="0"/>
              <w:marTop w:val="0"/>
              <w:marBottom w:val="0"/>
              <w:divBdr>
                <w:top w:val="none" w:sz="0" w:space="0" w:color="auto"/>
                <w:left w:val="none" w:sz="0" w:space="0" w:color="auto"/>
                <w:bottom w:val="none" w:sz="0" w:space="0" w:color="auto"/>
                <w:right w:val="none" w:sz="0" w:space="0" w:color="auto"/>
              </w:divBdr>
              <w:divsChild>
                <w:div w:id="2685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380">
      <w:bodyDiv w:val="1"/>
      <w:marLeft w:val="0"/>
      <w:marRight w:val="0"/>
      <w:marTop w:val="0"/>
      <w:marBottom w:val="0"/>
      <w:divBdr>
        <w:top w:val="none" w:sz="0" w:space="0" w:color="auto"/>
        <w:left w:val="none" w:sz="0" w:space="0" w:color="auto"/>
        <w:bottom w:val="none" w:sz="0" w:space="0" w:color="auto"/>
        <w:right w:val="none" w:sz="0" w:space="0" w:color="auto"/>
      </w:divBdr>
      <w:divsChild>
        <w:div w:id="231157320">
          <w:marLeft w:val="0"/>
          <w:marRight w:val="0"/>
          <w:marTop w:val="0"/>
          <w:marBottom w:val="0"/>
          <w:divBdr>
            <w:top w:val="none" w:sz="0" w:space="0" w:color="auto"/>
            <w:left w:val="none" w:sz="0" w:space="0" w:color="auto"/>
            <w:bottom w:val="none" w:sz="0" w:space="0" w:color="auto"/>
            <w:right w:val="none" w:sz="0" w:space="0" w:color="auto"/>
          </w:divBdr>
          <w:divsChild>
            <w:div w:id="1886259925">
              <w:marLeft w:val="0"/>
              <w:marRight w:val="0"/>
              <w:marTop w:val="0"/>
              <w:marBottom w:val="0"/>
              <w:divBdr>
                <w:top w:val="none" w:sz="0" w:space="0" w:color="auto"/>
                <w:left w:val="none" w:sz="0" w:space="0" w:color="auto"/>
                <w:bottom w:val="none" w:sz="0" w:space="0" w:color="auto"/>
                <w:right w:val="none" w:sz="0" w:space="0" w:color="auto"/>
              </w:divBdr>
              <w:divsChild>
                <w:div w:id="451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079">
      <w:bodyDiv w:val="1"/>
      <w:marLeft w:val="0"/>
      <w:marRight w:val="0"/>
      <w:marTop w:val="0"/>
      <w:marBottom w:val="0"/>
      <w:divBdr>
        <w:top w:val="none" w:sz="0" w:space="0" w:color="auto"/>
        <w:left w:val="none" w:sz="0" w:space="0" w:color="auto"/>
        <w:bottom w:val="none" w:sz="0" w:space="0" w:color="auto"/>
        <w:right w:val="none" w:sz="0" w:space="0" w:color="auto"/>
      </w:divBdr>
      <w:divsChild>
        <w:div w:id="1459881441">
          <w:marLeft w:val="0"/>
          <w:marRight w:val="0"/>
          <w:marTop w:val="0"/>
          <w:marBottom w:val="0"/>
          <w:divBdr>
            <w:top w:val="none" w:sz="0" w:space="0" w:color="auto"/>
            <w:left w:val="none" w:sz="0" w:space="0" w:color="auto"/>
            <w:bottom w:val="none" w:sz="0" w:space="0" w:color="auto"/>
            <w:right w:val="none" w:sz="0" w:space="0" w:color="auto"/>
          </w:divBdr>
          <w:divsChild>
            <w:div w:id="75639356">
              <w:marLeft w:val="0"/>
              <w:marRight w:val="0"/>
              <w:marTop w:val="0"/>
              <w:marBottom w:val="0"/>
              <w:divBdr>
                <w:top w:val="none" w:sz="0" w:space="0" w:color="auto"/>
                <w:left w:val="none" w:sz="0" w:space="0" w:color="auto"/>
                <w:bottom w:val="none" w:sz="0" w:space="0" w:color="auto"/>
                <w:right w:val="none" w:sz="0" w:space="0" w:color="auto"/>
              </w:divBdr>
              <w:divsChild>
                <w:div w:id="12499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4311">
      <w:bodyDiv w:val="1"/>
      <w:marLeft w:val="0"/>
      <w:marRight w:val="0"/>
      <w:marTop w:val="0"/>
      <w:marBottom w:val="0"/>
      <w:divBdr>
        <w:top w:val="none" w:sz="0" w:space="0" w:color="auto"/>
        <w:left w:val="none" w:sz="0" w:space="0" w:color="auto"/>
        <w:bottom w:val="none" w:sz="0" w:space="0" w:color="auto"/>
        <w:right w:val="none" w:sz="0" w:space="0" w:color="auto"/>
      </w:divBdr>
      <w:divsChild>
        <w:div w:id="950042260">
          <w:marLeft w:val="0"/>
          <w:marRight w:val="0"/>
          <w:marTop w:val="0"/>
          <w:marBottom w:val="0"/>
          <w:divBdr>
            <w:top w:val="none" w:sz="0" w:space="0" w:color="auto"/>
            <w:left w:val="none" w:sz="0" w:space="0" w:color="auto"/>
            <w:bottom w:val="none" w:sz="0" w:space="0" w:color="auto"/>
            <w:right w:val="none" w:sz="0" w:space="0" w:color="auto"/>
          </w:divBdr>
          <w:divsChild>
            <w:div w:id="1112357533">
              <w:marLeft w:val="0"/>
              <w:marRight w:val="0"/>
              <w:marTop w:val="0"/>
              <w:marBottom w:val="0"/>
              <w:divBdr>
                <w:top w:val="none" w:sz="0" w:space="0" w:color="auto"/>
                <w:left w:val="none" w:sz="0" w:space="0" w:color="auto"/>
                <w:bottom w:val="none" w:sz="0" w:space="0" w:color="auto"/>
                <w:right w:val="none" w:sz="0" w:space="0" w:color="auto"/>
              </w:divBdr>
              <w:divsChild>
                <w:div w:id="16783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8518">
      <w:bodyDiv w:val="1"/>
      <w:marLeft w:val="0"/>
      <w:marRight w:val="0"/>
      <w:marTop w:val="0"/>
      <w:marBottom w:val="0"/>
      <w:divBdr>
        <w:top w:val="none" w:sz="0" w:space="0" w:color="auto"/>
        <w:left w:val="none" w:sz="0" w:space="0" w:color="auto"/>
        <w:bottom w:val="none" w:sz="0" w:space="0" w:color="auto"/>
        <w:right w:val="none" w:sz="0" w:space="0" w:color="auto"/>
      </w:divBdr>
      <w:divsChild>
        <w:div w:id="163328715">
          <w:marLeft w:val="0"/>
          <w:marRight w:val="0"/>
          <w:marTop w:val="0"/>
          <w:marBottom w:val="0"/>
          <w:divBdr>
            <w:top w:val="none" w:sz="0" w:space="0" w:color="auto"/>
            <w:left w:val="none" w:sz="0" w:space="0" w:color="auto"/>
            <w:bottom w:val="none" w:sz="0" w:space="0" w:color="auto"/>
            <w:right w:val="none" w:sz="0" w:space="0" w:color="auto"/>
          </w:divBdr>
          <w:divsChild>
            <w:div w:id="1501042680">
              <w:marLeft w:val="0"/>
              <w:marRight w:val="0"/>
              <w:marTop w:val="0"/>
              <w:marBottom w:val="0"/>
              <w:divBdr>
                <w:top w:val="none" w:sz="0" w:space="0" w:color="auto"/>
                <w:left w:val="none" w:sz="0" w:space="0" w:color="auto"/>
                <w:bottom w:val="none" w:sz="0" w:space="0" w:color="auto"/>
                <w:right w:val="none" w:sz="0" w:space="0" w:color="auto"/>
              </w:divBdr>
              <w:divsChild>
                <w:div w:id="16854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1998">
      <w:bodyDiv w:val="1"/>
      <w:marLeft w:val="0"/>
      <w:marRight w:val="0"/>
      <w:marTop w:val="0"/>
      <w:marBottom w:val="0"/>
      <w:divBdr>
        <w:top w:val="none" w:sz="0" w:space="0" w:color="auto"/>
        <w:left w:val="none" w:sz="0" w:space="0" w:color="auto"/>
        <w:bottom w:val="none" w:sz="0" w:space="0" w:color="auto"/>
        <w:right w:val="none" w:sz="0" w:space="0" w:color="auto"/>
      </w:divBdr>
    </w:div>
    <w:div w:id="1301228473">
      <w:bodyDiv w:val="1"/>
      <w:marLeft w:val="0"/>
      <w:marRight w:val="0"/>
      <w:marTop w:val="0"/>
      <w:marBottom w:val="0"/>
      <w:divBdr>
        <w:top w:val="none" w:sz="0" w:space="0" w:color="auto"/>
        <w:left w:val="none" w:sz="0" w:space="0" w:color="auto"/>
        <w:bottom w:val="none" w:sz="0" w:space="0" w:color="auto"/>
        <w:right w:val="none" w:sz="0" w:space="0" w:color="auto"/>
      </w:divBdr>
      <w:divsChild>
        <w:div w:id="1647009550">
          <w:marLeft w:val="0"/>
          <w:marRight w:val="0"/>
          <w:marTop w:val="0"/>
          <w:marBottom w:val="0"/>
          <w:divBdr>
            <w:top w:val="none" w:sz="0" w:space="0" w:color="auto"/>
            <w:left w:val="none" w:sz="0" w:space="0" w:color="auto"/>
            <w:bottom w:val="none" w:sz="0" w:space="0" w:color="auto"/>
            <w:right w:val="none" w:sz="0" w:space="0" w:color="auto"/>
          </w:divBdr>
          <w:divsChild>
            <w:div w:id="1746487937">
              <w:marLeft w:val="0"/>
              <w:marRight w:val="0"/>
              <w:marTop w:val="0"/>
              <w:marBottom w:val="0"/>
              <w:divBdr>
                <w:top w:val="none" w:sz="0" w:space="0" w:color="auto"/>
                <w:left w:val="none" w:sz="0" w:space="0" w:color="auto"/>
                <w:bottom w:val="none" w:sz="0" w:space="0" w:color="auto"/>
                <w:right w:val="none" w:sz="0" w:space="0" w:color="auto"/>
              </w:divBdr>
              <w:divsChild>
                <w:div w:id="264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304">
      <w:bodyDiv w:val="1"/>
      <w:marLeft w:val="0"/>
      <w:marRight w:val="0"/>
      <w:marTop w:val="0"/>
      <w:marBottom w:val="0"/>
      <w:divBdr>
        <w:top w:val="none" w:sz="0" w:space="0" w:color="auto"/>
        <w:left w:val="none" w:sz="0" w:space="0" w:color="auto"/>
        <w:bottom w:val="none" w:sz="0" w:space="0" w:color="auto"/>
        <w:right w:val="none" w:sz="0" w:space="0" w:color="auto"/>
      </w:divBdr>
      <w:divsChild>
        <w:div w:id="1953588730">
          <w:marLeft w:val="0"/>
          <w:marRight w:val="0"/>
          <w:marTop w:val="0"/>
          <w:marBottom w:val="0"/>
          <w:divBdr>
            <w:top w:val="none" w:sz="0" w:space="0" w:color="auto"/>
            <w:left w:val="none" w:sz="0" w:space="0" w:color="auto"/>
            <w:bottom w:val="none" w:sz="0" w:space="0" w:color="auto"/>
            <w:right w:val="none" w:sz="0" w:space="0" w:color="auto"/>
          </w:divBdr>
          <w:divsChild>
            <w:div w:id="904753947">
              <w:marLeft w:val="0"/>
              <w:marRight w:val="0"/>
              <w:marTop w:val="0"/>
              <w:marBottom w:val="0"/>
              <w:divBdr>
                <w:top w:val="none" w:sz="0" w:space="0" w:color="auto"/>
                <w:left w:val="none" w:sz="0" w:space="0" w:color="auto"/>
                <w:bottom w:val="none" w:sz="0" w:space="0" w:color="auto"/>
                <w:right w:val="none" w:sz="0" w:space="0" w:color="auto"/>
              </w:divBdr>
              <w:divsChild>
                <w:div w:id="1267348495">
                  <w:marLeft w:val="0"/>
                  <w:marRight w:val="0"/>
                  <w:marTop w:val="0"/>
                  <w:marBottom w:val="0"/>
                  <w:divBdr>
                    <w:top w:val="none" w:sz="0" w:space="0" w:color="auto"/>
                    <w:left w:val="none" w:sz="0" w:space="0" w:color="auto"/>
                    <w:bottom w:val="none" w:sz="0" w:space="0" w:color="auto"/>
                    <w:right w:val="none" w:sz="0" w:space="0" w:color="auto"/>
                  </w:divBdr>
                </w:div>
              </w:divsChild>
            </w:div>
            <w:div w:id="1221091209">
              <w:marLeft w:val="0"/>
              <w:marRight w:val="0"/>
              <w:marTop w:val="0"/>
              <w:marBottom w:val="0"/>
              <w:divBdr>
                <w:top w:val="none" w:sz="0" w:space="0" w:color="auto"/>
                <w:left w:val="none" w:sz="0" w:space="0" w:color="auto"/>
                <w:bottom w:val="none" w:sz="0" w:space="0" w:color="auto"/>
                <w:right w:val="none" w:sz="0" w:space="0" w:color="auto"/>
              </w:divBdr>
              <w:divsChild>
                <w:div w:id="2048795352">
                  <w:marLeft w:val="0"/>
                  <w:marRight w:val="0"/>
                  <w:marTop w:val="0"/>
                  <w:marBottom w:val="0"/>
                  <w:divBdr>
                    <w:top w:val="none" w:sz="0" w:space="0" w:color="auto"/>
                    <w:left w:val="none" w:sz="0" w:space="0" w:color="auto"/>
                    <w:bottom w:val="none" w:sz="0" w:space="0" w:color="auto"/>
                    <w:right w:val="none" w:sz="0" w:space="0" w:color="auto"/>
                  </w:divBdr>
                </w:div>
              </w:divsChild>
            </w:div>
            <w:div w:id="1689016726">
              <w:marLeft w:val="0"/>
              <w:marRight w:val="0"/>
              <w:marTop w:val="0"/>
              <w:marBottom w:val="0"/>
              <w:divBdr>
                <w:top w:val="none" w:sz="0" w:space="0" w:color="auto"/>
                <w:left w:val="none" w:sz="0" w:space="0" w:color="auto"/>
                <w:bottom w:val="none" w:sz="0" w:space="0" w:color="auto"/>
                <w:right w:val="none" w:sz="0" w:space="0" w:color="auto"/>
              </w:divBdr>
              <w:divsChild>
                <w:div w:id="248348053">
                  <w:marLeft w:val="0"/>
                  <w:marRight w:val="0"/>
                  <w:marTop w:val="0"/>
                  <w:marBottom w:val="0"/>
                  <w:divBdr>
                    <w:top w:val="none" w:sz="0" w:space="0" w:color="auto"/>
                    <w:left w:val="none" w:sz="0" w:space="0" w:color="auto"/>
                    <w:bottom w:val="none" w:sz="0" w:space="0" w:color="auto"/>
                    <w:right w:val="none" w:sz="0" w:space="0" w:color="auto"/>
                  </w:divBdr>
                </w:div>
                <w:div w:id="9639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1663">
      <w:bodyDiv w:val="1"/>
      <w:marLeft w:val="0"/>
      <w:marRight w:val="0"/>
      <w:marTop w:val="0"/>
      <w:marBottom w:val="0"/>
      <w:divBdr>
        <w:top w:val="none" w:sz="0" w:space="0" w:color="auto"/>
        <w:left w:val="none" w:sz="0" w:space="0" w:color="auto"/>
        <w:bottom w:val="none" w:sz="0" w:space="0" w:color="auto"/>
        <w:right w:val="none" w:sz="0" w:space="0" w:color="auto"/>
      </w:divBdr>
      <w:divsChild>
        <w:div w:id="1914312151">
          <w:marLeft w:val="0"/>
          <w:marRight w:val="0"/>
          <w:marTop w:val="0"/>
          <w:marBottom w:val="0"/>
          <w:divBdr>
            <w:top w:val="none" w:sz="0" w:space="0" w:color="auto"/>
            <w:left w:val="none" w:sz="0" w:space="0" w:color="auto"/>
            <w:bottom w:val="none" w:sz="0" w:space="0" w:color="auto"/>
            <w:right w:val="none" w:sz="0" w:space="0" w:color="auto"/>
          </w:divBdr>
          <w:divsChild>
            <w:div w:id="77140179">
              <w:marLeft w:val="0"/>
              <w:marRight w:val="0"/>
              <w:marTop w:val="0"/>
              <w:marBottom w:val="0"/>
              <w:divBdr>
                <w:top w:val="none" w:sz="0" w:space="0" w:color="auto"/>
                <w:left w:val="none" w:sz="0" w:space="0" w:color="auto"/>
                <w:bottom w:val="none" w:sz="0" w:space="0" w:color="auto"/>
                <w:right w:val="none" w:sz="0" w:space="0" w:color="auto"/>
              </w:divBdr>
              <w:divsChild>
                <w:div w:id="4457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321">
      <w:bodyDiv w:val="1"/>
      <w:marLeft w:val="0"/>
      <w:marRight w:val="0"/>
      <w:marTop w:val="0"/>
      <w:marBottom w:val="0"/>
      <w:divBdr>
        <w:top w:val="none" w:sz="0" w:space="0" w:color="auto"/>
        <w:left w:val="none" w:sz="0" w:space="0" w:color="auto"/>
        <w:bottom w:val="none" w:sz="0" w:space="0" w:color="auto"/>
        <w:right w:val="none" w:sz="0" w:space="0" w:color="auto"/>
      </w:divBdr>
    </w:div>
    <w:div w:id="2121951622">
      <w:bodyDiv w:val="1"/>
      <w:marLeft w:val="0"/>
      <w:marRight w:val="0"/>
      <w:marTop w:val="0"/>
      <w:marBottom w:val="0"/>
      <w:divBdr>
        <w:top w:val="none" w:sz="0" w:space="0" w:color="auto"/>
        <w:left w:val="none" w:sz="0" w:space="0" w:color="auto"/>
        <w:bottom w:val="none" w:sz="0" w:space="0" w:color="auto"/>
        <w:right w:val="none" w:sz="0" w:space="0" w:color="auto"/>
      </w:divBdr>
      <w:divsChild>
        <w:div w:id="2057922240">
          <w:marLeft w:val="0"/>
          <w:marRight w:val="0"/>
          <w:marTop w:val="0"/>
          <w:marBottom w:val="0"/>
          <w:divBdr>
            <w:top w:val="none" w:sz="0" w:space="0" w:color="auto"/>
            <w:left w:val="none" w:sz="0" w:space="0" w:color="auto"/>
            <w:bottom w:val="none" w:sz="0" w:space="0" w:color="auto"/>
            <w:right w:val="none" w:sz="0" w:space="0" w:color="auto"/>
          </w:divBdr>
          <w:divsChild>
            <w:div w:id="673990717">
              <w:marLeft w:val="0"/>
              <w:marRight w:val="0"/>
              <w:marTop w:val="0"/>
              <w:marBottom w:val="0"/>
              <w:divBdr>
                <w:top w:val="none" w:sz="0" w:space="0" w:color="auto"/>
                <w:left w:val="none" w:sz="0" w:space="0" w:color="auto"/>
                <w:bottom w:val="none" w:sz="0" w:space="0" w:color="auto"/>
                <w:right w:val="none" w:sz="0" w:space="0" w:color="auto"/>
              </w:divBdr>
              <w:divsChild>
                <w:div w:id="15459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2693">
      <w:bodyDiv w:val="1"/>
      <w:marLeft w:val="0"/>
      <w:marRight w:val="0"/>
      <w:marTop w:val="0"/>
      <w:marBottom w:val="0"/>
      <w:divBdr>
        <w:top w:val="none" w:sz="0" w:space="0" w:color="auto"/>
        <w:left w:val="none" w:sz="0" w:space="0" w:color="auto"/>
        <w:bottom w:val="none" w:sz="0" w:space="0" w:color="auto"/>
        <w:right w:val="none" w:sz="0" w:space="0" w:color="auto"/>
      </w:divBdr>
      <w:divsChild>
        <w:div w:id="1509177962">
          <w:marLeft w:val="0"/>
          <w:marRight w:val="0"/>
          <w:marTop w:val="0"/>
          <w:marBottom w:val="0"/>
          <w:divBdr>
            <w:top w:val="none" w:sz="0" w:space="0" w:color="auto"/>
            <w:left w:val="none" w:sz="0" w:space="0" w:color="auto"/>
            <w:bottom w:val="none" w:sz="0" w:space="0" w:color="auto"/>
            <w:right w:val="none" w:sz="0" w:space="0" w:color="auto"/>
          </w:divBdr>
          <w:divsChild>
            <w:div w:id="1191987437">
              <w:marLeft w:val="0"/>
              <w:marRight w:val="0"/>
              <w:marTop w:val="0"/>
              <w:marBottom w:val="0"/>
              <w:divBdr>
                <w:top w:val="none" w:sz="0" w:space="0" w:color="auto"/>
                <w:left w:val="none" w:sz="0" w:space="0" w:color="auto"/>
                <w:bottom w:val="none" w:sz="0" w:space="0" w:color="auto"/>
                <w:right w:val="none" w:sz="0" w:space="0" w:color="auto"/>
              </w:divBdr>
              <w:divsChild>
                <w:div w:id="526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3</Pages>
  <Words>597</Words>
  <Characters>2839</Characters>
  <Application>Microsoft Office Word</Application>
  <DocSecurity>0</DocSecurity>
  <Lines>86</Lines>
  <Paragraphs>62</Paragraphs>
  <ScaleCrop>false</ScaleCrop>
  <HeadingPairs>
    <vt:vector size="2" baseType="variant">
      <vt:variant>
        <vt:lpstr>Title</vt:lpstr>
      </vt:variant>
      <vt:variant>
        <vt:i4>1</vt:i4>
      </vt:variant>
    </vt:vector>
  </HeadingPairs>
  <TitlesOfParts>
    <vt:vector size="1" baseType="lpstr">
      <vt:lpstr>doc.: IEEE 802.11-20/1658r1</vt:lpstr>
    </vt:vector>
  </TitlesOfParts>
  <Manager/>
  <Company>Some Company</Company>
  <LinksUpToDate>false</LinksUpToDate>
  <CharactersWithSpaces>3374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802.11-20/1658r1</dc:title>
  <dc:subject>Submission</dc:subject>
  <dc:creator>Microsoft Office User</dc:creator>
  <cp:keywords>October 2020</cp:keywords>
  <dc:description>John Doe, Somwhere Company</dc:description>
  <cp:lastModifiedBy>Jarkko Kneckt</cp:lastModifiedBy>
  <cp:revision>3</cp:revision>
  <dcterms:created xsi:type="dcterms:W3CDTF">2020-10-16T00:33:00Z</dcterms:created>
  <dcterms:modified xsi:type="dcterms:W3CDTF">2020-10-16T00:34:00Z</dcterms:modified>
  <cp:category/>
</cp:coreProperties>
</file>