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63412289"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36B09DC" w14:textId="281DA7E3" w:rsidR="00121203" w:rsidRPr="00E71A95" w:rsidRDefault="00121203" w:rsidP="00121203">
            <w:pPr>
              <w:rPr>
                <w:ins w:id="5" w:author="Liwen Chu" w:date="2020-10-05T09:59:00Z"/>
                <w:rFonts w:eastAsia="Times New Roman"/>
                <w:color w:val="000000"/>
                <w:sz w:val="20"/>
                <w:lang w:val="en-US"/>
              </w:rPr>
            </w:pPr>
            <w:r w:rsidRPr="00E71A95">
              <w:rPr>
                <w:rFonts w:eastAsia="Times New Roman"/>
                <w:color w:val="000000"/>
                <w:sz w:val="20"/>
                <w:szCs w:val="22"/>
                <w:lang w:val="en-US"/>
              </w:rPr>
              <w:t xml:space="preserve">Discussion: The paragraph that the commenter cited is about frame selection from related AC in MU PPDU. </w:t>
            </w:r>
            <w:r w:rsidR="00E71A95">
              <w:rPr>
                <w:rFonts w:eastAsia="Times New Roman"/>
                <w:color w:val="000000"/>
                <w:sz w:val="20"/>
                <w:szCs w:val="22"/>
                <w:lang w:val="en-US"/>
              </w:rPr>
              <w:t xml:space="preserve">The first bullet already covers the </w:t>
            </w:r>
            <w:r w:rsidR="00E71A95" w:rsidRPr="00E71A95">
              <w:rPr>
                <w:rFonts w:eastAsia="Times New Roman"/>
                <w:color w:val="000000"/>
                <w:sz w:val="20"/>
                <w:szCs w:val="22"/>
                <w:lang w:val="en-US"/>
              </w:rPr>
              <w:t>SU PPDU case</w:t>
            </w:r>
            <w:r w:rsidRPr="00E71A95">
              <w:rPr>
                <w:rFonts w:eastAsia="Times New Roman"/>
                <w:color w:val="000000"/>
                <w:sz w:val="20"/>
                <w:szCs w:val="22"/>
                <w:lang w:val="en-US"/>
              </w:rPr>
              <w:t xml:space="preserve">. </w:t>
            </w:r>
            <w:r w:rsidR="00AB3EAA" w:rsidRPr="00E71A95">
              <w:rPr>
                <w:rFonts w:eastAsia="Times New Roman"/>
                <w:color w:val="000000"/>
                <w:sz w:val="20"/>
                <w:szCs w:val="22"/>
                <w:lang w:val="en-US"/>
              </w:rPr>
              <w:t xml:space="preserve">One observation is that </w:t>
            </w:r>
            <w:r w:rsidR="00E71A95" w:rsidRPr="00E71A95">
              <w:rPr>
                <w:rFonts w:eastAsia="Times New Roman"/>
                <w:color w:val="000000"/>
                <w:sz w:val="20"/>
                <w:szCs w:val="22"/>
                <w:lang w:val="en-US"/>
              </w:rPr>
              <w:t>the</w:t>
            </w:r>
            <w:r w:rsidR="00094E66" w:rsidRPr="00E71A95">
              <w:rPr>
                <w:rFonts w:eastAsia="Times New Roman"/>
                <w:color w:val="000000"/>
                <w:sz w:val="20"/>
                <w:szCs w:val="22"/>
                <w:lang w:val="en-US"/>
              </w:rPr>
              <w:t xml:space="preserve"> frames transmitted by the TXOP responder follows the other rules, i.e. in TB PPDU and in RD operation.</w:t>
            </w:r>
            <w:r w:rsidR="00E71A95" w:rsidRPr="00E71A95">
              <w:rPr>
                <w:rFonts w:eastAsia="Times New Roman"/>
                <w:color w:val="000000"/>
                <w:sz w:val="20"/>
                <w:szCs w:val="22"/>
                <w:lang w:val="en-US"/>
              </w:rPr>
              <w:t xml:space="preserve"> This is missing in baseline and </w:t>
            </w:r>
            <w:r w:rsidR="00E71A95" w:rsidRPr="00E71A95">
              <w:rPr>
                <w:rFonts w:eastAsia="Times New Roman"/>
                <w:color w:val="000000"/>
                <w:sz w:val="20"/>
                <w:lang w:val="en-US"/>
              </w:rPr>
              <w:t>11ax D7.0. I</w:t>
            </w:r>
            <w:r w:rsidR="00E71A95" w:rsidRPr="00E71A95">
              <w:rPr>
                <w:rFonts w:eastAsia="Times New Roman"/>
                <w:color w:val="000000"/>
                <w:sz w:val="20"/>
                <w:lang w:val="en-US"/>
              </w:rPr>
              <w:t>n TB PPDU there is no primary AC associated with the frames being transmitted</w:t>
            </w:r>
            <w:r w:rsidR="00E71A95" w:rsidRPr="00E71A95">
              <w:rPr>
                <w:rFonts w:eastAsia="Times New Roman"/>
                <w:color w:val="000000"/>
                <w:sz w:val="20"/>
                <w:lang w:val="en-US"/>
              </w:rPr>
              <w:t>. In RD operation, the TXOP holder can tell the TXOP responder whether any AC can be transmitted.</w:t>
            </w:r>
          </w:p>
          <w:p w14:paraId="292707AB" w14:textId="77777777" w:rsidR="005E24A1" w:rsidRPr="00E71A95" w:rsidRDefault="005E24A1" w:rsidP="00121203">
            <w:pPr>
              <w:rPr>
                <w:ins w:id="6" w:author="Liwen Chu" w:date="2020-10-05T09:59:00Z"/>
                <w:rFonts w:eastAsia="Times New Roman"/>
                <w:color w:val="000000"/>
                <w:sz w:val="20"/>
                <w:szCs w:val="22"/>
                <w:lang w:val="en-US"/>
              </w:rPr>
            </w:pPr>
          </w:p>
          <w:p w14:paraId="4B150EF2" w14:textId="42A49092" w:rsidR="005E24A1" w:rsidRPr="00E71A95" w:rsidRDefault="005E24A1" w:rsidP="00121203">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11-20/</w:t>
            </w:r>
            <w:r w:rsidR="00833D45" w:rsidRPr="00E71A95">
              <w:rPr>
                <w:rFonts w:eastAsia="Times New Roman"/>
                <w:color w:val="000000"/>
                <w:sz w:val="20"/>
                <w:szCs w:val="22"/>
                <w:lang w:val="en-US"/>
              </w:rPr>
              <w:t>1571</w:t>
            </w:r>
            <w:r w:rsidRPr="00E71A95">
              <w:rPr>
                <w:rFonts w:eastAsia="Times New Roman"/>
                <w:color w:val="000000"/>
                <w:sz w:val="20"/>
                <w:szCs w:val="22"/>
                <w:lang w:val="en-US"/>
              </w:rPr>
              <w:t>r0 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64E8914E" w14:textId="6C300AEA" w:rsidR="00121203" w:rsidRPr="00E71A95" w:rsidRDefault="00557C9F" w:rsidP="00121203">
            <w:pPr>
              <w:rPr>
                <w:rFonts w:eastAsia="Times New Roman"/>
                <w:color w:val="000000"/>
                <w:sz w:val="20"/>
                <w:szCs w:val="22"/>
                <w:lang w:val="en-US"/>
              </w:rPr>
            </w:pPr>
            <w:r w:rsidRPr="00E71A95">
              <w:rPr>
                <w:rFonts w:eastAsia="Times New Roman"/>
                <w:color w:val="000000"/>
                <w:sz w:val="20"/>
                <w:szCs w:val="22"/>
                <w:lang w:val="en-US"/>
              </w:rPr>
              <w:t>Accepted</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3FCCE77C"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editor:Change</w:t>
      </w:r>
      <w:proofErr w:type="spellEnd"/>
      <w:r w:rsidRPr="00094E66">
        <w:rPr>
          <w:rFonts w:ascii="Arial-BoldMT" w:hAnsi="Arial-BoldMT" w:cs="Arial-BoldMT"/>
          <w:b/>
          <w:bCs/>
          <w:i/>
          <w:iCs/>
          <w:sz w:val="20"/>
          <w:highlight w:val="yellow"/>
          <w:lang w:val="en-US" w:eastAsia="ko-KR"/>
        </w:rPr>
        <w:t xml:space="preserve"> the first paragraph in 10.23.2.7 as follows</w:t>
      </w:r>
      <w:r w:rsidR="00C1337E">
        <w:rPr>
          <w:rFonts w:ascii="Arial-BoldMT" w:hAnsi="Arial-BoldMT" w:cs="Arial-BoldMT"/>
          <w:b/>
          <w:bCs/>
          <w:i/>
          <w:iCs/>
          <w:sz w:val="20"/>
          <w:highlight w:val="yellow"/>
          <w:lang w:val="en-US" w:eastAsia="ko-KR"/>
        </w:rPr>
        <w:t>(#25076</w:t>
      </w:r>
      <w:bookmarkStart w:id="7" w:name="_GoBack"/>
      <w:bookmarkEnd w:id="7"/>
      <w:r w:rsidR="00C1337E">
        <w:rPr>
          <w:rFonts w:ascii="Arial-BoldMT" w:hAnsi="Arial-BoldMT" w:cs="Arial-BoldMT"/>
          <w:b/>
          <w:bCs/>
          <w:i/>
          <w:iCs/>
          <w:sz w:val="20"/>
          <w:highlight w:val="yellow"/>
          <w:lang w:val="en-US" w:eastAsia="ko-KR"/>
        </w:rPr>
        <w:t>)</w:t>
      </w:r>
      <w:r w:rsidRPr="00094E66">
        <w:rPr>
          <w:rFonts w:ascii="Arial-BoldMT" w:hAnsi="Arial-BoldMT" w:cs="Arial-BoldMT"/>
          <w:b/>
          <w:bCs/>
          <w:i/>
          <w:iCs/>
          <w:sz w:val="20"/>
          <w:highlight w:val="yellow"/>
          <w:lang w:val="en-US" w:eastAsia="ko-KR"/>
        </w:rPr>
        <w:t>:</w:t>
      </w:r>
    </w:p>
    <w:p w14:paraId="402DEA43" w14:textId="69457EEA" w:rsidR="00094E66" w:rsidRDefault="00094E66" w:rsidP="00094E66">
      <w:pPr>
        <w:pStyle w:val="T"/>
        <w:rPr>
          <w:w w:val="100"/>
        </w:rPr>
      </w:pPr>
      <w:r>
        <w:rPr>
          <w:w w:val="100"/>
        </w:rPr>
        <w:t xml:space="preserve">The AC associated with the EDCAF that gains an EDCA TXOP is referred to as the primary AC. Frames </w:t>
      </w:r>
      <w:ins w:id="8" w:author="Liwen Chu" w:date="2020-10-05T09:04:00Z">
        <w:r>
          <w:rPr>
            <w:w w:val="100"/>
          </w:rPr>
          <w:t xml:space="preserve">transmitted by the TXOP holder </w:t>
        </w:r>
      </w:ins>
      <w:r>
        <w:rPr>
          <w:w w:val="100"/>
        </w:rPr>
        <w:t>from ACs other than the primary AC shall not be included in the TXOP, with the following exceptions (TXOP sharing):</w:t>
      </w:r>
    </w:p>
    <w:p w14:paraId="3C80DF70" w14:textId="26D3C0FD" w:rsidR="00094E66" w:rsidRDefault="005E24A1" w:rsidP="00094E66">
      <w:pPr>
        <w:pStyle w:val="DL"/>
        <w:numPr>
          <w:ilvl w:val="0"/>
          <w:numId w:val="31"/>
        </w:numPr>
        <w:tabs>
          <w:tab w:val="clear" w:pos="640"/>
          <w:tab w:val="left" w:pos="600"/>
        </w:tabs>
        <w:suppressAutoHyphens w:val="0"/>
        <w:ind w:left="600" w:hanging="400"/>
        <w:rPr>
          <w:w w:val="100"/>
        </w:rPr>
      </w:pPr>
      <w:ins w:id="9" w:author="Liwen Chu" w:date="2020-10-05T09:57:00Z">
        <w:r>
          <w:rPr>
            <w:w w:val="100"/>
          </w:rPr>
          <w:t xml:space="preserve">In a PPDU other than </w:t>
        </w:r>
      </w:ins>
      <w:ins w:id="10" w:author="Liwen Chu" w:date="2020-10-05T09:58:00Z">
        <w:r>
          <w:rPr>
            <w:w w:val="100"/>
          </w:rPr>
          <w:t>MU PPDU, f</w:t>
        </w:r>
      </w:ins>
      <w:del w:id="11" w:author="Liwen Chu" w:date="2020-10-05T09:58:00Z">
        <w:r w:rsidR="00094E66" w:rsidDel="005E24A1">
          <w:rPr>
            <w:w w:val="100"/>
          </w:rPr>
          <w:delText>F</w:delText>
        </w:r>
      </w:del>
      <w:r w:rsidR="00094E66">
        <w:rPr>
          <w:w w:val="100"/>
        </w:rPr>
        <w:t xml:space="preserve">rames from a higher priority AC may be included when at least one frame from the primary AC has been transmitted and all frames from the primary AC have been transmitted </w:t>
      </w:r>
      <w:r w:rsidR="00094E66">
        <w:rPr>
          <w:w w:val="100"/>
          <w:u w:val="thick"/>
        </w:rPr>
        <w:t>and frames from the AC(s) defined in 26.6.3 (Multi-TID A-MPDU and ack-enabled single-TID A-MPDU) for HE PPDUs.</w:t>
      </w:r>
      <w:r w:rsidR="00094E66">
        <w:rPr>
          <w:w w:val="100"/>
        </w:rPr>
        <w:t xml:space="preserve"> </w:t>
      </w:r>
    </w:p>
    <w:p w14:paraId="37089006" w14:textId="77777777" w:rsidR="00094E66" w:rsidRDefault="00094E66" w:rsidP="00094E66">
      <w:pPr>
        <w:pStyle w:val="DL"/>
        <w:numPr>
          <w:ilvl w:val="0"/>
          <w:numId w:val="31"/>
        </w:numPr>
        <w:tabs>
          <w:tab w:val="clear" w:pos="640"/>
          <w:tab w:val="left" w:pos="600"/>
        </w:tabs>
        <w:suppressAutoHyphens w:val="0"/>
        <w:ind w:left="600" w:hanging="400"/>
        <w:rPr>
          <w:w w:val="100"/>
          <w:u w:val="thick"/>
        </w:rPr>
      </w:pPr>
      <w:r>
        <w:rPr>
          <w:w w:val="100"/>
        </w:rPr>
        <w:t xml:space="preserve">When an AP supports </w:t>
      </w:r>
      <w:r>
        <w:rPr>
          <w:strike/>
          <w:w w:val="100"/>
        </w:rPr>
        <w:t xml:space="preserve">DL-MU-MIMO </w:t>
      </w:r>
      <w:r>
        <w:rPr>
          <w:w w:val="100"/>
          <w:u w:val="thick"/>
        </w:rPr>
        <w:t>MU PPDUs</w:t>
      </w:r>
      <w:r>
        <w:rPr>
          <w:w w:val="100"/>
        </w:rPr>
        <w:t xml:space="preserve">, frames from a higher or lower priority AC may be included in a VHT or S1G MU PPDU with the TXVECTOR parameter NUM_USERS &gt; 1 </w:t>
      </w:r>
      <w:r>
        <w:rPr>
          <w:w w:val="100"/>
          <w:u w:val="thick"/>
        </w:rPr>
        <w:t xml:space="preserve">or an HE MU PPDU, </w:t>
      </w:r>
      <w:r>
        <w:rPr>
          <w:w w:val="100"/>
        </w:rPr>
        <w:t>when these frames do not increase the duration of the VHT or S1G beyond that required for the transmissions of the frames of the primary AC, targeting up to four STAs</w:t>
      </w:r>
      <w:r>
        <w:rPr>
          <w:w w:val="100"/>
          <w:u w:val="thick"/>
        </w:rPr>
        <w:t xml:space="preserve"> if it is transmitted in a VHT MU PPDU</w:t>
      </w:r>
      <w:r>
        <w:rPr>
          <w:w w:val="100"/>
        </w:rPr>
        <w:t xml:space="preserve">. </w:t>
      </w:r>
      <w:r>
        <w:rPr>
          <w:w w:val="100"/>
          <w:u w:val="thick"/>
        </w:rPr>
        <w:t xml:space="preserve">In a non-HE MU PPDU, </w:t>
      </w:r>
      <w:proofErr w:type="spellStart"/>
      <w:r>
        <w:rPr>
          <w:strike/>
          <w:w w:val="100"/>
        </w:rPr>
        <w:t>F</w:t>
      </w:r>
      <w:r>
        <w:rPr>
          <w:w w:val="100"/>
          <w:u w:val="thick"/>
        </w:rPr>
        <w:t>f</w:t>
      </w:r>
      <w:r>
        <w:rPr>
          <w:w w:val="100"/>
        </w:rPr>
        <w:t>rames</w:t>
      </w:r>
      <w:proofErr w:type="spellEnd"/>
      <w:r>
        <w:rPr>
          <w:w w:val="100"/>
        </w:rPr>
        <w:t xml:space="preserve"> from the primary AC shall be transmitted first. </w:t>
      </w:r>
      <w:r>
        <w:rPr>
          <w:w w:val="100"/>
          <w:u w:val="thick"/>
        </w:rPr>
        <w:t xml:space="preserve">The inclusion of secondary AC traffic in an HE MU PPDU is described in </w:t>
      </w:r>
      <w:r>
        <w:rPr>
          <w:w w:val="100"/>
          <w:u w:val="thick"/>
        </w:rPr>
        <w:fldChar w:fldCharType="begin"/>
      </w:r>
      <w:r>
        <w:rPr>
          <w:w w:val="100"/>
          <w:u w:val="thick"/>
        </w:rPr>
        <w:instrText xml:space="preserve"> REF  RTF36353132353a2048342c312e \h</w:instrText>
      </w:r>
      <w:r>
        <w:rPr>
          <w:w w:val="100"/>
          <w:u w:val="thick"/>
        </w:rPr>
        <w:fldChar w:fldCharType="separate"/>
      </w:r>
      <w:r>
        <w:rPr>
          <w:w w:val="100"/>
          <w:u w:val="thick"/>
        </w:rPr>
        <w:t>10.23.2.8 (Multiple frame transmission in an EDCA TXOP)</w:t>
      </w:r>
      <w:r>
        <w:rPr>
          <w:w w:val="100"/>
          <w:u w:val="thick"/>
        </w:rPr>
        <w:fldChar w:fldCharType="end"/>
      </w:r>
      <w:r>
        <w:rPr>
          <w:w w:val="100"/>
          <w:u w:val="thick"/>
        </w:rPr>
        <w:t>. Secondary AC traffic shall not be included in an HE MU PPDU if it would cause the TXOP limit of the primary AC to be exceeded.</w:t>
      </w:r>
      <w:r>
        <w:rPr>
          <w:vanish/>
          <w:w w:val="100"/>
          <w:u w:val="thick"/>
        </w:rPr>
        <w:t>(#24136, #Ed)</w:t>
      </w:r>
    </w:p>
    <w:p w14:paraId="0330F31D" w14:textId="2E5D3A02" w:rsidR="00094E66" w:rsidRPr="00094E66" w:rsidRDefault="00094E66" w:rsidP="00094E66">
      <w:pPr>
        <w:rPr>
          <w:lang w:val="en-US" w:eastAsia="ko-KR"/>
        </w:rPr>
      </w:pPr>
      <w:ins w:id="12" w:author="Liwen Chu" w:date="2020-10-05T09:05:00Z">
        <w:r>
          <w:rPr>
            <w:lang w:val="en-US" w:eastAsia="ko-KR"/>
          </w:rPr>
          <w:t>The TXOP responder follo</w:t>
        </w:r>
      </w:ins>
      <w:ins w:id="13" w:author="Liwen Chu" w:date="2020-10-05T09:06:00Z">
        <w:r>
          <w:rPr>
            <w:lang w:val="en-US" w:eastAsia="ko-KR"/>
          </w:rPr>
          <w:t xml:space="preserve">ws </w:t>
        </w:r>
      </w:ins>
      <w:ins w:id="14" w:author="Liwen Chu" w:date="2020-10-05T09:08:00Z">
        <w:r w:rsidR="00A8315E">
          <w:rPr>
            <w:lang w:val="en-US" w:eastAsia="ko-KR"/>
          </w:rPr>
          <w:t xml:space="preserve">the indication in </w:t>
        </w:r>
        <w:r w:rsidR="00A8315E">
          <w:rPr>
            <w:rFonts w:ascii="TimesNewRomanPSMT" w:eastAsia="TimesNewRomanPSMT" w:cs="TimesNewRomanPSMT"/>
            <w:sz w:val="20"/>
            <w:lang w:val="en-US" w:eastAsia="ko-KR"/>
          </w:rPr>
          <w:t>AC Constraint subfield</w:t>
        </w:r>
        <w:r w:rsidR="00A8315E">
          <w:rPr>
            <w:rFonts w:ascii="TimesNewRomanPSMT" w:eastAsia="TimesNewRomanPSMT" w:cs="TimesNewRomanPSMT"/>
            <w:sz w:val="20"/>
            <w:lang w:val="en-US" w:eastAsia="ko-KR"/>
          </w:rPr>
          <w:t xml:space="preserve"> to decide </w:t>
        </w:r>
      </w:ins>
      <w:ins w:id="15" w:author="Liwen Chu" w:date="2020-10-05T09:09:00Z">
        <w:r w:rsidR="00A8315E">
          <w:rPr>
            <w:rFonts w:ascii="TimesNewRomanPSMT" w:eastAsia="TimesNewRomanPSMT" w:cs="TimesNewRomanPSMT"/>
            <w:sz w:val="20"/>
            <w:lang w:val="en-US" w:eastAsia="ko-KR"/>
          </w:rPr>
          <w:t xml:space="preserve">the AC  whose frames are transmitted as described in </w:t>
        </w:r>
      </w:ins>
      <w:ins w:id="16" w:author="Liwen Chu" w:date="2020-10-05T09:10:00Z">
        <w:r w:rsidR="00A8315E">
          <w:rPr>
            <w:rFonts w:ascii="Arial-BoldMT" w:hAnsi="Arial-BoldMT" w:cs="Arial-BoldMT"/>
            <w:b/>
            <w:bCs/>
            <w:sz w:val="22"/>
            <w:szCs w:val="22"/>
            <w:lang w:val="en-US" w:eastAsia="ko-KR"/>
          </w:rPr>
          <w:t xml:space="preserve">10.29 </w:t>
        </w:r>
        <w:r w:rsidR="00A8315E">
          <w:rPr>
            <w:rFonts w:ascii="Arial-BoldMT" w:hAnsi="Arial-BoldMT" w:cs="Arial-BoldMT"/>
            <w:b/>
            <w:bCs/>
            <w:sz w:val="22"/>
            <w:szCs w:val="22"/>
            <w:lang w:val="en-US" w:eastAsia="ko-KR"/>
          </w:rPr>
          <w:t>(</w:t>
        </w:r>
        <w:r w:rsidR="00A8315E">
          <w:rPr>
            <w:rFonts w:ascii="Arial-BoldMT" w:hAnsi="Arial-BoldMT" w:cs="Arial-BoldMT"/>
            <w:b/>
            <w:bCs/>
            <w:sz w:val="22"/>
            <w:szCs w:val="22"/>
            <w:lang w:val="en-US" w:eastAsia="ko-KR"/>
          </w:rPr>
          <w:t>Reverse direction protocol</w:t>
        </w:r>
        <w:r w:rsidR="00A8315E">
          <w:rPr>
            <w:rFonts w:ascii="Arial-BoldMT" w:hAnsi="Arial-BoldMT" w:cs="Arial-BoldMT"/>
            <w:b/>
            <w:bCs/>
            <w:sz w:val="22"/>
            <w:szCs w:val="22"/>
            <w:lang w:val="en-US" w:eastAsia="ko-KR"/>
          </w:rPr>
          <w:t>)</w:t>
        </w:r>
        <w:r w:rsidR="00A8315E">
          <w:rPr>
            <w:rFonts w:ascii="TimesNewRomanPSMT" w:eastAsia="TimesNewRomanPSMT" w:cs="TimesNewRomanPSMT"/>
            <w:sz w:val="20"/>
            <w:lang w:val="en-US" w:eastAsia="ko-KR"/>
          </w:rPr>
          <w:t>.</w:t>
        </w:r>
      </w:ins>
      <w:ins w:id="17" w:author="Liwen Chu" w:date="2020-10-05T09:11:00Z">
        <w:r w:rsidR="00A8315E">
          <w:rPr>
            <w:rFonts w:ascii="TimesNewRomanPSMT" w:eastAsia="TimesNewRomanPSMT" w:cs="TimesNewRomanPSMT"/>
            <w:sz w:val="20"/>
            <w:lang w:val="en-US" w:eastAsia="ko-KR"/>
          </w:rPr>
          <w:t xml:space="preserve"> The TXOP responder follows the rules in </w:t>
        </w:r>
      </w:ins>
      <w:ins w:id="18" w:author="Liwen Chu" w:date="2020-10-05T09:53:00Z">
        <w:r w:rsidR="005E24A1">
          <w:rPr>
            <w:rFonts w:ascii="Arial-BoldMT" w:hAnsi="Arial-BoldMT" w:cs="Arial-BoldMT"/>
            <w:b/>
            <w:bCs/>
            <w:sz w:val="20"/>
            <w:lang w:val="en-US" w:eastAsia="ko-KR"/>
          </w:rPr>
          <w:t xml:space="preserve">26.6.3 </w:t>
        </w:r>
        <w:r w:rsidR="005E24A1">
          <w:rPr>
            <w:rFonts w:ascii="Arial-BoldMT" w:hAnsi="Arial-BoldMT" w:cs="Arial-BoldMT"/>
            <w:b/>
            <w:bCs/>
            <w:sz w:val="20"/>
            <w:lang w:val="en-US" w:eastAsia="ko-KR"/>
          </w:rPr>
          <w:t>(</w:t>
        </w:r>
        <w:r w:rsidR="005E24A1">
          <w:rPr>
            <w:rFonts w:ascii="Arial-BoldMT" w:hAnsi="Arial-BoldMT" w:cs="Arial-BoldMT"/>
            <w:b/>
            <w:bCs/>
            <w:sz w:val="20"/>
            <w:lang w:val="en-US" w:eastAsia="ko-KR"/>
          </w:rPr>
          <w:t>Multi-TID A-MPDU and ack-enabled single-TID A-MPDU</w:t>
        </w:r>
        <w:r w:rsidR="005E24A1">
          <w:rPr>
            <w:rFonts w:ascii="Arial-BoldMT" w:hAnsi="Arial-BoldMT" w:cs="Arial-BoldMT"/>
            <w:b/>
            <w:bCs/>
            <w:sz w:val="20"/>
            <w:lang w:val="en-US" w:eastAsia="ko-KR"/>
          </w:rPr>
          <w:t xml:space="preserve">) </w:t>
        </w:r>
        <w:r w:rsidR="005E24A1">
          <w:rPr>
            <w:rFonts w:ascii="TimesNewRomanPSMT" w:eastAsia="TimesNewRomanPSMT" w:cs="TimesNewRomanPSMT"/>
            <w:sz w:val="20"/>
            <w:lang w:val="en-US" w:eastAsia="ko-KR"/>
          </w:rPr>
          <w:t>to decide the AC  whose frames are transmitted</w:t>
        </w:r>
        <w:r w:rsidR="005E24A1">
          <w:rPr>
            <w:rFonts w:ascii="TimesNewRomanPSMT" w:eastAsia="TimesNewRomanPSMT" w:cs="TimesNewRomanPSMT"/>
            <w:sz w:val="20"/>
            <w:lang w:val="en-US" w:eastAsia="ko-KR"/>
          </w:rPr>
          <w:t>.</w:t>
        </w:r>
      </w:ins>
    </w:p>
    <w:sectPr w:rsidR="00094E66" w:rsidRPr="00094E66"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5101" w14:textId="77777777" w:rsidR="003962FF" w:rsidRDefault="003962FF">
      <w:r>
        <w:separator/>
      </w:r>
    </w:p>
  </w:endnote>
  <w:endnote w:type="continuationSeparator" w:id="0">
    <w:p w14:paraId="3186F445" w14:textId="77777777" w:rsidR="003962FF" w:rsidRDefault="0039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3E25B" w14:textId="77777777" w:rsidR="003962FF" w:rsidRDefault="003962FF">
      <w:r>
        <w:separator/>
      </w:r>
    </w:p>
  </w:footnote>
  <w:footnote w:type="continuationSeparator" w:id="0">
    <w:p w14:paraId="16924CCF" w14:textId="77777777" w:rsidR="003962FF" w:rsidRDefault="0039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76730AC"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833D45">
        <w:t>1571</w:t>
      </w:r>
      <w:r w:rsidR="00761FF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128BD-4DBA-49F7-8885-FF19A212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3947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2020-10-05T17:35:00Z</dcterms:created>
  <dcterms:modified xsi:type="dcterms:W3CDTF">2020-10-05T17:49:00Z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