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23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173CCA" w14:textId="77777777">
        <w:trPr>
          <w:trHeight w:val="485"/>
          <w:jc w:val="center"/>
        </w:trPr>
        <w:tc>
          <w:tcPr>
            <w:tcW w:w="9576" w:type="dxa"/>
            <w:gridSpan w:val="5"/>
            <w:vAlign w:val="center"/>
          </w:tcPr>
          <w:p w14:paraId="08A96869" w14:textId="77777777" w:rsidR="00CA09B2" w:rsidRDefault="007A41EF">
            <w:pPr>
              <w:pStyle w:val="T2"/>
            </w:pPr>
            <w:r>
              <w:t>SA2 Clause 10 Comment Resolution</w:t>
            </w:r>
          </w:p>
        </w:tc>
      </w:tr>
      <w:tr w:rsidR="00CA09B2" w14:paraId="75BB262B" w14:textId="77777777">
        <w:trPr>
          <w:trHeight w:val="359"/>
          <w:jc w:val="center"/>
        </w:trPr>
        <w:tc>
          <w:tcPr>
            <w:tcW w:w="9576" w:type="dxa"/>
            <w:gridSpan w:val="5"/>
            <w:vAlign w:val="center"/>
          </w:tcPr>
          <w:p w14:paraId="2483F783" w14:textId="146D5A7A" w:rsidR="00CA09B2" w:rsidRDefault="00CA09B2">
            <w:pPr>
              <w:pStyle w:val="T2"/>
              <w:ind w:left="0"/>
              <w:rPr>
                <w:sz w:val="20"/>
              </w:rPr>
            </w:pPr>
            <w:r>
              <w:rPr>
                <w:sz w:val="20"/>
              </w:rPr>
              <w:t>Date:</w:t>
            </w:r>
            <w:r>
              <w:rPr>
                <w:b w:val="0"/>
                <w:sz w:val="20"/>
              </w:rPr>
              <w:t xml:space="preserve">  </w:t>
            </w:r>
            <w:r w:rsidR="00DC7788">
              <w:rPr>
                <w:b w:val="0"/>
                <w:sz w:val="20"/>
              </w:rPr>
              <w:t>2020</w:t>
            </w:r>
            <w:r>
              <w:rPr>
                <w:b w:val="0"/>
                <w:sz w:val="20"/>
              </w:rPr>
              <w:t>-</w:t>
            </w:r>
            <w:r w:rsidR="00DC7788">
              <w:rPr>
                <w:b w:val="0"/>
                <w:sz w:val="20"/>
              </w:rPr>
              <w:t>09</w:t>
            </w:r>
            <w:r>
              <w:rPr>
                <w:b w:val="0"/>
                <w:sz w:val="20"/>
              </w:rPr>
              <w:t>-</w:t>
            </w:r>
            <w:r w:rsidR="00DC7788">
              <w:rPr>
                <w:b w:val="0"/>
                <w:sz w:val="20"/>
              </w:rPr>
              <w:t>24</w:t>
            </w:r>
          </w:p>
        </w:tc>
      </w:tr>
      <w:tr w:rsidR="00CA09B2" w14:paraId="4563BD0B" w14:textId="77777777">
        <w:trPr>
          <w:cantSplit/>
          <w:jc w:val="center"/>
        </w:trPr>
        <w:tc>
          <w:tcPr>
            <w:tcW w:w="9576" w:type="dxa"/>
            <w:gridSpan w:val="5"/>
            <w:vAlign w:val="center"/>
          </w:tcPr>
          <w:p w14:paraId="27B427B3" w14:textId="77777777" w:rsidR="00CA09B2" w:rsidRDefault="00CA09B2">
            <w:pPr>
              <w:pStyle w:val="T2"/>
              <w:spacing w:after="0"/>
              <w:ind w:left="0" w:right="0"/>
              <w:jc w:val="left"/>
              <w:rPr>
                <w:sz w:val="20"/>
              </w:rPr>
            </w:pPr>
            <w:r>
              <w:rPr>
                <w:sz w:val="20"/>
              </w:rPr>
              <w:t>Author(s):</w:t>
            </w:r>
          </w:p>
        </w:tc>
      </w:tr>
      <w:tr w:rsidR="00CA09B2" w14:paraId="0148C5A2" w14:textId="77777777">
        <w:trPr>
          <w:jc w:val="center"/>
        </w:trPr>
        <w:tc>
          <w:tcPr>
            <w:tcW w:w="1336" w:type="dxa"/>
            <w:vAlign w:val="center"/>
          </w:tcPr>
          <w:p w14:paraId="1E581F9F" w14:textId="77777777" w:rsidR="00CA09B2" w:rsidRDefault="00CA09B2">
            <w:pPr>
              <w:pStyle w:val="T2"/>
              <w:spacing w:after="0"/>
              <w:ind w:left="0" w:right="0"/>
              <w:jc w:val="left"/>
              <w:rPr>
                <w:sz w:val="20"/>
              </w:rPr>
            </w:pPr>
            <w:r>
              <w:rPr>
                <w:sz w:val="20"/>
              </w:rPr>
              <w:t>Name</w:t>
            </w:r>
          </w:p>
        </w:tc>
        <w:tc>
          <w:tcPr>
            <w:tcW w:w="2064" w:type="dxa"/>
            <w:vAlign w:val="center"/>
          </w:tcPr>
          <w:p w14:paraId="35C1DB52" w14:textId="77777777" w:rsidR="00CA09B2" w:rsidRDefault="0062440B">
            <w:pPr>
              <w:pStyle w:val="T2"/>
              <w:spacing w:after="0"/>
              <w:ind w:left="0" w:right="0"/>
              <w:jc w:val="left"/>
              <w:rPr>
                <w:sz w:val="20"/>
              </w:rPr>
            </w:pPr>
            <w:r>
              <w:rPr>
                <w:sz w:val="20"/>
              </w:rPr>
              <w:t>Affiliation</w:t>
            </w:r>
          </w:p>
        </w:tc>
        <w:tc>
          <w:tcPr>
            <w:tcW w:w="2814" w:type="dxa"/>
            <w:vAlign w:val="center"/>
          </w:tcPr>
          <w:p w14:paraId="6907BA58" w14:textId="77777777" w:rsidR="00CA09B2" w:rsidRDefault="00CA09B2">
            <w:pPr>
              <w:pStyle w:val="T2"/>
              <w:spacing w:after="0"/>
              <w:ind w:left="0" w:right="0"/>
              <w:jc w:val="left"/>
              <w:rPr>
                <w:sz w:val="20"/>
              </w:rPr>
            </w:pPr>
            <w:r>
              <w:rPr>
                <w:sz w:val="20"/>
              </w:rPr>
              <w:t>Address</w:t>
            </w:r>
          </w:p>
        </w:tc>
        <w:tc>
          <w:tcPr>
            <w:tcW w:w="1715" w:type="dxa"/>
            <w:vAlign w:val="center"/>
          </w:tcPr>
          <w:p w14:paraId="6884AED6" w14:textId="77777777" w:rsidR="00CA09B2" w:rsidRDefault="00CA09B2">
            <w:pPr>
              <w:pStyle w:val="T2"/>
              <w:spacing w:after="0"/>
              <w:ind w:left="0" w:right="0"/>
              <w:jc w:val="left"/>
              <w:rPr>
                <w:sz w:val="20"/>
              </w:rPr>
            </w:pPr>
            <w:r>
              <w:rPr>
                <w:sz w:val="20"/>
              </w:rPr>
              <w:t>Phone</w:t>
            </w:r>
          </w:p>
        </w:tc>
        <w:tc>
          <w:tcPr>
            <w:tcW w:w="1647" w:type="dxa"/>
            <w:vAlign w:val="center"/>
          </w:tcPr>
          <w:p w14:paraId="45344506" w14:textId="77777777" w:rsidR="00CA09B2" w:rsidRDefault="00CA09B2">
            <w:pPr>
              <w:pStyle w:val="T2"/>
              <w:spacing w:after="0"/>
              <w:ind w:left="0" w:right="0"/>
              <w:jc w:val="left"/>
              <w:rPr>
                <w:sz w:val="20"/>
              </w:rPr>
            </w:pPr>
            <w:r>
              <w:rPr>
                <w:sz w:val="20"/>
              </w:rPr>
              <w:t>email</w:t>
            </w:r>
          </w:p>
        </w:tc>
      </w:tr>
      <w:tr w:rsidR="00CA09B2" w14:paraId="6DA65947" w14:textId="77777777">
        <w:trPr>
          <w:jc w:val="center"/>
        </w:trPr>
        <w:tc>
          <w:tcPr>
            <w:tcW w:w="1336" w:type="dxa"/>
            <w:vAlign w:val="center"/>
          </w:tcPr>
          <w:p w14:paraId="5FD29225" w14:textId="77777777" w:rsidR="00CA09B2" w:rsidRDefault="009F4177">
            <w:pPr>
              <w:pStyle w:val="T2"/>
              <w:spacing w:after="0"/>
              <w:ind w:left="0" w:right="0"/>
              <w:rPr>
                <w:b w:val="0"/>
                <w:sz w:val="20"/>
              </w:rPr>
            </w:pPr>
            <w:r>
              <w:rPr>
                <w:b w:val="0"/>
                <w:sz w:val="20"/>
              </w:rPr>
              <w:t>Osama Aboul-Magd</w:t>
            </w:r>
          </w:p>
        </w:tc>
        <w:tc>
          <w:tcPr>
            <w:tcW w:w="2064" w:type="dxa"/>
            <w:vAlign w:val="center"/>
          </w:tcPr>
          <w:p w14:paraId="2C3D7B6C" w14:textId="77777777" w:rsidR="00CA09B2" w:rsidRDefault="009F4177">
            <w:pPr>
              <w:pStyle w:val="T2"/>
              <w:spacing w:after="0"/>
              <w:ind w:left="0" w:right="0"/>
              <w:rPr>
                <w:b w:val="0"/>
                <w:sz w:val="20"/>
              </w:rPr>
            </w:pPr>
            <w:r>
              <w:rPr>
                <w:b w:val="0"/>
                <w:sz w:val="20"/>
              </w:rPr>
              <w:t>Huawei Technologies</w:t>
            </w:r>
          </w:p>
        </w:tc>
        <w:tc>
          <w:tcPr>
            <w:tcW w:w="2814" w:type="dxa"/>
            <w:vAlign w:val="center"/>
          </w:tcPr>
          <w:p w14:paraId="4DB4A557" w14:textId="77777777" w:rsidR="00CA09B2" w:rsidRDefault="00CA09B2">
            <w:pPr>
              <w:pStyle w:val="T2"/>
              <w:spacing w:after="0"/>
              <w:ind w:left="0" w:right="0"/>
              <w:rPr>
                <w:b w:val="0"/>
                <w:sz w:val="20"/>
              </w:rPr>
            </w:pPr>
          </w:p>
        </w:tc>
        <w:tc>
          <w:tcPr>
            <w:tcW w:w="1715" w:type="dxa"/>
            <w:vAlign w:val="center"/>
          </w:tcPr>
          <w:p w14:paraId="2637E2E8" w14:textId="77777777" w:rsidR="00CA09B2" w:rsidRDefault="00CA09B2">
            <w:pPr>
              <w:pStyle w:val="T2"/>
              <w:spacing w:after="0"/>
              <w:ind w:left="0" w:right="0"/>
              <w:rPr>
                <w:b w:val="0"/>
                <w:sz w:val="20"/>
              </w:rPr>
            </w:pPr>
          </w:p>
        </w:tc>
        <w:tc>
          <w:tcPr>
            <w:tcW w:w="1647" w:type="dxa"/>
            <w:vAlign w:val="center"/>
          </w:tcPr>
          <w:p w14:paraId="4908B220" w14:textId="77777777" w:rsidR="00CA09B2" w:rsidRDefault="009F4177">
            <w:pPr>
              <w:pStyle w:val="T2"/>
              <w:spacing w:after="0"/>
              <w:ind w:left="0" w:right="0"/>
              <w:rPr>
                <w:b w:val="0"/>
                <w:sz w:val="16"/>
              </w:rPr>
            </w:pPr>
            <w:r>
              <w:rPr>
                <w:b w:val="0"/>
                <w:sz w:val="16"/>
              </w:rPr>
              <w:t>osama.aboulmagd@huawei.com</w:t>
            </w:r>
          </w:p>
        </w:tc>
      </w:tr>
      <w:tr w:rsidR="00CA09B2" w14:paraId="20B3A679" w14:textId="77777777">
        <w:trPr>
          <w:jc w:val="center"/>
        </w:trPr>
        <w:tc>
          <w:tcPr>
            <w:tcW w:w="1336" w:type="dxa"/>
            <w:vAlign w:val="center"/>
          </w:tcPr>
          <w:p w14:paraId="21BBE8F6" w14:textId="77777777" w:rsidR="00CA09B2" w:rsidRDefault="00CA09B2">
            <w:pPr>
              <w:pStyle w:val="T2"/>
              <w:spacing w:after="0"/>
              <w:ind w:left="0" w:right="0"/>
              <w:rPr>
                <w:b w:val="0"/>
                <w:sz w:val="20"/>
              </w:rPr>
            </w:pPr>
          </w:p>
        </w:tc>
        <w:tc>
          <w:tcPr>
            <w:tcW w:w="2064" w:type="dxa"/>
            <w:vAlign w:val="center"/>
          </w:tcPr>
          <w:p w14:paraId="40E4FC0F" w14:textId="77777777" w:rsidR="00CA09B2" w:rsidRDefault="00CA09B2">
            <w:pPr>
              <w:pStyle w:val="T2"/>
              <w:spacing w:after="0"/>
              <w:ind w:left="0" w:right="0"/>
              <w:rPr>
                <w:b w:val="0"/>
                <w:sz w:val="20"/>
              </w:rPr>
            </w:pPr>
          </w:p>
        </w:tc>
        <w:tc>
          <w:tcPr>
            <w:tcW w:w="2814" w:type="dxa"/>
            <w:vAlign w:val="center"/>
          </w:tcPr>
          <w:p w14:paraId="2BA6AB5C" w14:textId="77777777" w:rsidR="00CA09B2" w:rsidRDefault="00CA09B2">
            <w:pPr>
              <w:pStyle w:val="T2"/>
              <w:spacing w:after="0"/>
              <w:ind w:left="0" w:right="0"/>
              <w:rPr>
                <w:b w:val="0"/>
                <w:sz w:val="20"/>
              </w:rPr>
            </w:pPr>
          </w:p>
        </w:tc>
        <w:tc>
          <w:tcPr>
            <w:tcW w:w="1715" w:type="dxa"/>
            <w:vAlign w:val="center"/>
          </w:tcPr>
          <w:p w14:paraId="3408AF15" w14:textId="77777777" w:rsidR="00CA09B2" w:rsidRDefault="00CA09B2">
            <w:pPr>
              <w:pStyle w:val="T2"/>
              <w:spacing w:after="0"/>
              <w:ind w:left="0" w:right="0"/>
              <w:rPr>
                <w:b w:val="0"/>
                <w:sz w:val="20"/>
              </w:rPr>
            </w:pPr>
          </w:p>
        </w:tc>
        <w:tc>
          <w:tcPr>
            <w:tcW w:w="1647" w:type="dxa"/>
            <w:vAlign w:val="center"/>
          </w:tcPr>
          <w:p w14:paraId="4C31771E" w14:textId="77777777" w:rsidR="00CA09B2" w:rsidRDefault="00CA09B2">
            <w:pPr>
              <w:pStyle w:val="T2"/>
              <w:spacing w:after="0"/>
              <w:ind w:left="0" w:right="0"/>
              <w:rPr>
                <w:b w:val="0"/>
                <w:sz w:val="16"/>
              </w:rPr>
            </w:pPr>
          </w:p>
        </w:tc>
      </w:tr>
    </w:tbl>
    <w:p w14:paraId="27062B01" w14:textId="77777777" w:rsidR="00CA09B2" w:rsidRDefault="00D959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01A8F77" wp14:editId="45FEB2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C06E8" w14:textId="77777777" w:rsidR="0029020B" w:rsidRDefault="0029020B">
                            <w:pPr>
                              <w:pStyle w:val="T1"/>
                              <w:spacing w:after="120"/>
                            </w:pPr>
                            <w:r>
                              <w:t>Abstract</w:t>
                            </w:r>
                          </w:p>
                          <w:p w14:paraId="5A71C41A" w14:textId="7F8979DA" w:rsidR="0029020B" w:rsidRDefault="005A762A">
                            <w:pPr>
                              <w:jc w:val="both"/>
                            </w:pPr>
                            <w:r>
                              <w:t xml:space="preserve">This submission provides proposed resolutions for CIDs 25043, 25044, 25064, </w:t>
                            </w:r>
                            <w:r w:rsidRPr="00217E74">
                              <w:rPr>
                                <w:strike/>
                              </w:rPr>
                              <w:t>25076, 25077, 25078</w:t>
                            </w:r>
                            <w:r>
                              <w:t>, 25088, and 25118.</w:t>
                            </w:r>
                          </w:p>
                          <w:p w14:paraId="58149455" w14:textId="288B6FB3" w:rsidR="007E1D24" w:rsidRDefault="007E1D24">
                            <w:pPr>
                              <w:jc w:val="both"/>
                            </w:pPr>
                          </w:p>
                          <w:p w14:paraId="0848F24F" w14:textId="1CAAA11A" w:rsidR="007E1D24" w:rsidRDefault="007E1D24">
                            <w:pPr>
                              <w:jc w:val="both"/>
                            </w:pPr>
                            <w:r>
                              <w:t>R0: Initial revision</w:t>
                            </w:r>
                          </w:p>
                          <w:p w14:paraId="58F335B0" w14:textId="7CBA86B5" w:rsidR="007E1D24" w:rsidRDefault="007E1D24">
                            <w:pPr>
                              <w:jc w:val="both"/>
                            </w:pPr>
                            <w:r>
                              <w:t>R1: changes based on the discussion during the Sept. 24 Teleconference</w:t>
                            </w:r>
                          </w:p>
                          <w:p w14:paraId="780FDF8E" w14:textId="7F322F36" w:rsidR="007E1D24" w:rsidRDefault="007E1D24">
                            <w:pPr>
                              <w:jc w:val="both"/>
                            </w:pPr>
                            <w:r>
                              <w:t xml:space="preserve">R2: Including response from Young </w:t>
                            </w:r>
                            <w:proofErr w:type="spellStart"/>
                            <w:r>
                              <w:t>Hoon</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A8F7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1A0C06E8" w14:textId="77777777" w:rsidR="0029020B" w:rsidRDefault="0029020B">
                      <w:pPr>
                        <w:pStyle w:val="T1"/>
                        <w:spacing w:after="120"/>
                      </w:pPr>
                      <w:r>
                        <w:t>Abstract</w:t>
                      </w:r>
                    </w:p>
                    <w:p w14:paraId="5A71C41A" w14:textId="7F8979DA" w:rsidR="0029020B" w:rsidRDefault="005A762A">
                      <w:pPr>
                        <w:jc w:val="both"/>
                      </w:pPr>
                      <w:r>
                        <w:t xml:space="preserve">This submission provides proposed resolutions for CIDs 25043, 25044, 25064, </w:t>
                      </w:r>
                      <w:r w:rsidRPr="00217E74">
                        <w:rPr>
                          <w:strike/>
                        </w:rPr>
                        <w:t>25076, 25077, 25078</w:t>
                      </w:r>
                      <w:r>
                        <w:t>, 25088, and 25118.</w:t>
                      </w:r>
                    </w:p>
                    <w:p w14:paraId="58149455" w14:textId="288B6FB3" w:rsidR="007E1D24" w:rsidRDefault="007E1D24">
                      <w:pPr>
                        <w:jc w:val="both"/>
                      </w:pPr>
                    </w:p>
                    <w:p w14:paraId="0848F24F" w14:textId="1CAAA11A" w:rsidR="007E1D24" w:rsidRDefault="007E1D24">
                      <w:pPr>
                        <w:jc w:val="both"/>
                      </w:pPr>
                      <w:r>
                        <w:t>R0: Initial revision</w:t>
                      </w:r>
                    </w:p>
                    <w:p w14:paraId="58F335B0" w14:textId="7CBA86B5" w:rsidR="007E1D24" w:rsidRDefault="007E1D24">
                      <w:pPr>
                        <w:jc w:val="both"/>
                      </w:pPr>
                      <w:r>
                        <w:t>R1: changes based on the discussion during the Sept. 24 Teleconference</w:t>
                      </w:r>
                    </w:p>
                    <w:p w14:paraId="780FDF8E" w14:textId="7F322F36" w:rsidR="007E1D24" w:rsidRDefault="007E1D24">
                      <w:pPr>
                        <w:jc w:val="both"/>
                      </w:pPr>
                      <w:r>
                        <w:t xml:space="preserve">R2: Including response from Young </w:t>
                      </w:r>
                      <w:proofErr w:type="spellStart"/>
                      <w:r>
                        <w:t>Hoon</w:t>
                      </w:r>
                      <w:proofErr w:type="spellEnd"/>
                      <w:r>
                        <w:t>.</w:t>
                      </w:r>
                    </w:p>
                  </w:txbxContent>
                </v:textbox>
              </v:shape>
            </w:pict>
          </mc:Fallback>
        </mc:AlternateContent>
      </w:r>
    </w:p>
    <w:p w14:paraId="32AC7DEF" w14:textId="77777777" w:rsidR="00CA09B2" w:rsidRDefault="00CA09B2">
      <w:r>
        <w:br w:type="page"/>
      </w:r>
    </w:p>
    <w:p w14:paraId="1E6818FC" w14:textId="77777777" w:rsidR="00D959E1" w:rsidRDefault="00D959E1"/>
    <w:tbl>
      <w:tblPr>
        <w:tblStyle w:val="TableGrid"/>
        <w:tblW w:w="9558" w:type="dxa"/>
        <w:tblLayout w:type="fixed"/>
        <w:tblLook w:val="04A0" w:firstRow="1" w:lastRow="0" w:firstColumn="1" w:lastColumn="0" w:noHBand="0" w:noVBand="1"/>
      </w:tblPr>
      <w:tblGrid>
        <w:gridCol w:w="805"/>
        <w:gridCol w:w="900"/>
        <w:gridCol w:w="526"/>
        <w:gridCol w:w="847"/>
        <w:gridCol w:w="1620"/>
        <w:gridCol w:w="1945"/>
        <w:gridCol w:w="2915"/>
      </w:tblGrid>
      <w:tr w:rsidR="00D959E1" w:rsidRPr="00D959E1" w14:paraId="0BF44DFD" w14:textId="77777777" w:rsidTr="00D12DD3">
        <w:trPr>
          <w:trHeight w:val="566"/>
        </w:trPr>
        <w:tc>
          <w:tcPr>
            <w:tcW w:w="805" w:type="dxa"/>
            <w:hideMark/>
          </w:tcPr>
          <w:p w14:paraId="1A934940" w14:textId="77777777" w:rsidR="00D959E1" w:rsidRPr="00D959E1" w:rsidRDefault="00D959E1" w:rsidP="00D959E1">
            <w:pPr>
              <w:jc w:val="center"/>
              <w:rPr>
                <w:rFonts w:asciiTheme="minorHAnsi" w:hAnsiTheme="minorHAnsi" w:cstheme="minorHAnsi"/>
                <w:b/>
                <w:bCs/>
                <w:szCs w:val="22"/>
                <w:lang w:val="en-US"/>
              </w:rPr>
            </w:pPr>
            <w:r w:rsidRPr="00D959E1">
              <w:rPr>
                <w:rFonts w:asciiTheme="minorHAnsi" w:hAnsiTheme="minorHAnsi" w:cstheme="minorHAnsi"/>
                <w:b/>
                <w:bCs/>
                <w:szCs w:val="22"/>
              </w:rPr>
              <w:t>CID</w:t>
            </w:r>
          </w:p>
        </w:tc>
        <w:tc>
          <w:tcPr>
            <w:tcW w:w="900" w:type="dxa"/>
            <w:hideMark/>
          </w:tcPr>
          <w:p w14:paraId="1F6DDD97"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Page</w:t>
            </w:r>
          </w:p>
        </w:tc>
        <w:tc>
          <w:tcPr>
            <w:tcW w:w="526" w:type="dxa"/>
            <w:hideMark/>
          </w:tcPr>
          <w:p w14:paraId="54DAAC51"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Line</w:t>
            </w:r>
          </w:p>
        </w:tc>
        <w:tc>
          <w:tcPr>
            <w:tcW w:w="847" w:type="dxa"/>
            <w:hideMark/>
          </w:tcPr>
          <w:p w14:paraId="64117DAF"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Clause</w:t>
            </w:r>
          </w:p>
        </w:tc>
        <w:tc>
          <w:tcPr>
            <w:tcW w:w="1620" w:type="dxa"/>
            <w:hideMark/>
          </w:tcPr>
          <w:p w14:paraId="0E0F8FC0"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Comment</w:t>
            </w:r>
          </w:p>
        </w:tc>
        <w:tc>
          <w:tcPr>
            <w:tcW w:w="1945" w:type="dxa"/>
            <w:hideMark/>
          </w:tcPr>
          <w:p w14:paraId="060A5ED1"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Proposed Change</w:t>
            </w:r>
          </w:p>
        </w:tc>
        <w:tc>
          <w:tcPr>
            <w:tcW w:w="2915" w:type="dxa"/>
            <w:hideMark/>
          </w:tcPr>
          <w:p w14:paraId="56E435E4"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Resolution</w:t>
            </w:r>
          </w:p>
        </w:tc>
      </w:tr>
      <w:tr w:rsidR="00D959E1" w:rsidRPr="00D959E1" w14:paraId="0B2D8088" w14:textId="77777777" w:rsidTr="00D12DD3">
        <w:trPr>
          <w:trHeight w:val="1500"/>
        </w:trPr>
        <w:tc>
          <w:tcPr>
            <w:tcW w:w="805" w:type="dxa"/>
            <w:hideMark/>
          </w:tcPr>
          <w:p w14:paraId="36609470" w14:textId="77777777" w:rsidR="00D959E1" w:rsidRPr="00D959E1" w:rsidRDefault="00D959E1" w:rsidP="00D959E1">
            <w:pPr>
              <w:rPr>
                <w:rFonts w:asciiTheme="minorHAnsi" w:hAnsiTheme="minorHAnsi" w:cstheme="minorHAnsi"/>
                <w:szCs w:val="22"/>
              </w:rPr>
            </w:pPr>
            <w:r w:rsidRPr="00DC7788">
              <w:rPr>
                <w:rFonts w:asciiTheme="minorHAnsi" w:hAnsiTheme="minorHAnsi" w:cstheme="minorHAnsi"/>
                <w:szCs w:val="22"/>
                <w:highlight w:val="green"/>
              </w:rPr>
              <w:t>25043</w:t>
            </w:r>
          </w:p>
        </w:tc>
        <w:tc>
          <w:tcPr>
            <w:tcW w:w="900" w:type="dxa"/>
            <w:hideMark/>
          </w:tcPr>
          <w:p w14:paraId="322B6900"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282.52</w:t>
            </w:r>
          </w:p>
        </w:tc>
        <w:tc>
          <w:tcPr>
            <w:tcW w:w="526" w:type="dxa"/>
            <w:hideMark/>
          </w:tcPr>
          <w:p w14:paraId="4667F672"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52</w:t>
            </w:r>
          </w:p>
        </w:tc>
        <w:tc>
          <w:tcPr>
            <w:tcW w:w="847" w:type="dxa"/>
            <w:hideMark/>
          </w:tcPr>
          <w:p w14:paraId="1D665E44"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10.13</w:t>
            </w:r>
          </w:p>
        </w:tc>
        <w:tc>
          <w:tcPr>
            <w:tcW w:w="1620" w:type="dxa"/>
            <w:hideMark/>
          </w:tcPr>
          <w:p w14:paraId="7B3B0AED"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The comment requested by a non-member of this </w:t>
            </w:r>
            <w:proofErr w:type="spellStart"/>
            <w:r w:rsidRPr="00D959E1">
              <w:rPr>
                <w:rFonts w:asciiTheme="minorHAnsi" w:hAnsiTheme="minorHAnsi" w:cstheme="minorHAnsi"/>
                <w:szCs w:val="22"/>
              </w:rPr>
              <w:t>TGax</w:t>
            </w:r>
            <w:proofErr w:type="spellEnd"/>
            <w:r w:rsidRPr="00D959E1">
              <w:rPr>
                <w:rFonts w:asciiTheme="minorHAnsi" w:hAnsiTheme="minorHAnsi" w:cstheme="minorHAnsi"/>
                <w:szCs w:val="22"/>
              </w:rPr>
              <w:t xml:space="preserve"> SA Ballot (Young-</w:t>
            </w:r>
            <w:proofErr w:type="spellStart"/>
            <w:r w:rsidRPr="00D959E1">
              <w:rPr>
                <w:rFonts w:asciiTheme="minorHAnsi" w:hAnsiTheme="minorHAnsi" w:cstheme="minorHAnsi"/>
                <w:szCs w:val="22"/>
              </w:rPr>
              <w:t>hoon</w:t>
            </w:r>
            <w:proofErr w:type="spellEnd"/>
            <w:r w:rsidRPr="00D959E1">
              <w:rPr>
                <w:rFonts w:asciiTheme="minorHAnsi" w:hAnsiTheme="minorHAnsi" w:cstheme="minorHAnsi"/>
                <w:szCs w:val="22"/>
              </w:rPr>
              <w:t xml:space="preserve"> Kwon). </w:t>
            </w:r>
            <w:r w:rsidRPr="00D959E1">
              <w:rPr>
                <w:rFonts w:asciiTheme="minorHAnsi" w:hAnsiTheme="minorHAnsi" w:cstheme="minorHAnsi"/>
                <w:szCs w:val="22"/>
              </w:rPr>
              <w:br/>
            </w:r>
            <w:r w:rsidRPr="00D959E1">
              <w:rPr>
                <w:rFonts w:asciiTheme="minorHAnsi" w:hAnsiTheme="minorHAnsi" w:cstheme="minorHAnsi"/>
                <w:szCs w:val="22"/>
              </w:rPr>
              <w:br/>
            </w:r>
            <w:proofErr w:type="spellStart"/>
            <w:r w:rsidRPr="00D959E1">
              <w:rPr>
                <w:rFonts w:asciiTheme="minorHAnsi" w:hAnsiTheme="minorHAnsi" w:cstheme="minorHAnsi"/>
                <w:szCs w:val="22"/>
              </w:rPr>
              <w:t>Paranthesis</w:t>
            </w:r>
            <w:proofErr w:type="spellEnd"/>
            <w:r w:rsidRPr="00D959E1">
              <w:rPr>
                <w:rFonts w:asciiTheme="minorHAnsi" w:hAnsiTheme="minorHAnsi" w:cstheme="minorHAnsi"/>
                <w:szCs w:val="22"/>
              </w:rPr>
              <w:t xml:space="preserve"> has not been closed properly.</w:t>
            </w:r>
          </w:p>
        </w:tc>
        <w:tc>
          <w:tcPr>
            <w:tcW w:w="1945" w:type="dxa"/>
            <w:hideMark/>
          </w:tcPr>
          <w:p w14:paraId="231F1717"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Modify the text "… defined in 6.5.6 (PLME-</w:t>
            </w:r>
            <w:proofErr w:type="spellStart"/>
            <w:r w:rsidRPr="00D959E1">
              <w:rPr>
                <w:rFonts w:asciiTheme="minorHAnsi" w:hAnsiTheme="minorHAnsi" w:cstheme="minorHAnsi"/>
                <w:szCs w:val="22"/>
              </w:rPr>
              <w:t>TXTIME.confirm</w:t>
            </w:r>
            <w:proofErr w:type="spellEnd"/>
            <w:r w:rsidRPr="00D959E1">
              <w:rPr>
                <w:rFonts w:asciiTheme="minorHAnsi" w:hAnsiTheme="minorHAnsi" w:cstheme="minorHAnsi"/>
                <w:szCs w:val="22"/>
              </w:rPr>
              <w:t>) that is greater …" to "… defined in 6.5.6 (PLME-</w:t>
            </w:r>
            <w:proofErr w:type="spellStart"/>
            <w:r w:rsidRPr="00D959E1">
              <w:rPr>
                <w:rFonts w:asciiTheme="minorHAnsi" w:hAnsiTheme="minorHAnsi" w:cstheme="minorHAnsi"/>
                <w:szCs w:val="22"/>
              </w:rPr>
              <w:t>TXTIME.confirm</w:t>
            </w:r>
            <w:proofErr w:type="spellEnd"/>
            <w:r w:rsidRPr="00D959E1">
              <w:rPr>
                <w:rFonts w:asciiTheme="minorHAnsi" w:hAnsiTheme="minorHAnsi" w:cstheme="minorHAnsi"/>
                <w:szCs w:val="22"/>
              </w:rPr>
              <w:t>)) that is greater …".</w:t>
            </w:r>
          </w:p>
        </w:tc>
        <w:tc>
          <w:tcPr>
            <w:tcW w:w="2915" w:type="dxa"/>
            <w:hideMark/>
          </w:tcPr>
          <w:p w14:paraId="7AC5A3E5" w14:textId="77777777" w:rsidR="00D959E1" w:rsidRPr="00D959E1" w:rsidRDefault="00BB1E53">
            <w:pPr>
              <w:rPr>
                <w:rFonts w:asciiTheme="minorHAnsi" w:hAnsiTheme="minorHAnsi" w:cstheme="minorHAnsi"/>
                <w:szCs w:val="22"/>
              </w:rPr>
            </w:pPr>
            <w:r>
              <w:rPr>
                <w:rFonts w:asciiTheme="minorHAnsi" w:hAnsiTheme="minorHAnsi" w:cstheme="minorHAnsi"/>
                <w:szCs w:val="22"/>
              </w:rPr>
              <w:t>Accepted</w:t>
            </w:r>
          </w:p>
        </w:tc>
      </w:tr>
      <w:tr w:rsidR="00D959E1" w:rsidRPr="00D959E1" w14:paraId="238D4C28" w14:textId="77777777" w:rsidTr="00D12DD3">
        <w:trPr>
          <w:trHeight w:val="1500"/>
        </w:trPr>
        <w:tc>
          <w:tcPr>
            <w:tcW w:w="805" w:type="dxa"/>
            <w:hideMark/>
          </w:tcPr>
          <w:p w14:paraId="6BA88A17" w14:textId="77777777" w:rsidR="00D959E1" w:rsidRPr="00D959E1" w:rsidRDefault="00D959E1" w:rsidP="00D959E1">
            <w:pPr>
              <w:rPr>
                <w:rFonts w:asciiTheme="minorHAnsi" w:hAnsiTheme="minorHAnsi" w:cstheme="minorHAnsi"/>
                <w:szCs w:val="22"/>
              </w:rPr>
            </w:pPr>
            <w:r w:rsidRPr="00DC7788">
              <w:rPr>
                <w:rFonts w:asciiTheme="minorHAnsi" w:hAnsiTheme="minorHAnsi" w:cstheme="minorHAnsi"/>
                <w:szCs w:val="22"/>
                <w:highlight w:val="yellow"/>
              </w:rPr>
              <w:t>25044</w:t>
            </w:r>
          </w:p>
        </w:tc>
        <w:tc>
          <w:tcPr>
            <w:tcW w:w="900" w:type="dxa"/>
            <w:hideMark/>
          </w:tcPr>
          <w:p w14:paraId="3BC68666"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292.65</w:t>
            </w:r>
          </w:p>
        </w:tc>
        <w:tc>
          <w:tcPr>
            <w:tcW w:w="526" w:type="dxa"/>
            <w:hideMark/>
          </w:tcPr>
          <w:p w14:paraId="4A1EBC37"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65</w:t>
            </w:r>
          </w:p>
        </w:tc>
        <w:tc>
          <w:tcPr>
            <w:tcW w:w="847" w:type="dxa"/>
            <w:hideMark/>
          </w:tcPr>
          <w:p w14:paraId="1827568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10.23.2.11</w:t>
            </w:r>
          </w:p>
        </w:tc>
        <w:tc>
          <w:tcPr>
            <w:tcW w:w="1620" w:type="dxa"/>
            <w:hideMark/>
          </w:tcPr>
          <w:p w14:paraId="383077DA"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The comment requested by a non-member of this </w:t>
            </w:r>
            <w:proofErr w:type="spellStart"/>
            <w:r w:rsidRPr="00D959E1">
              <w:rPr>
                <w:rFonts w:asciiTheme="minorHAnsi" w:hAnsiTheme="minorHAnsi" w:cstheme="minorHAnsi"/>
                <w:szCs w:val="22"/>
              </w:rPr>
              <w:t>TGax</w:t>
            </w:r>
            <w:proofErr w:type="spellEnd"/>
            <w:r w:rsidRPr="00D959E1">
              <w:rPr>
                <w:rFonts w:asciiTheme="minorHAnsi" w:hAnsiTheme="minorHAnsi" w:cstheme="minorHAnsi"/>
                <w:szCs w:val="22"/>
              </w:rPr>
              <w:t xml:space="preserve"> SA Ballot (Young-</w:t>
            </w:r>
            <w:proofErr w:type="spellStart"/>
            <w:r w:rsidRPr="00D959E1">
              <w:rPr>
                <w:rFonts w:asciiTheme="minorHAnsi" w:hAnsiTheme="minorHAnsi" w:cstheme="minorHAnsi"/>
                <w:szCs w:val="22"/>
              </w:rPr>
              <w:t>hoon</w:t>
            </w:r>
            <w:proofErr w:type="spellEnd"/>
            <w:r w:rsidRPr="00D959E1">
              <w:rPr>
                <w:rFonts w:asciiTheme="minorHAnsi" w:hAnsiTheme="minorHAnsi" w:cstheme="minorHAnsi"/>
                <w:szCs w:val="22"/>
              </w:rPr>
              <w:t xml:space="preserve"> Kwon). </w:t>
            </w:r>
            <w:r w:rsidRPr="00D959E1">
              <w:rPr>
                <w:rFonts w:asciiTheme="minorHAnsi" w:hAnsiTheme="minorHAnsi" w:cstheme="minorHAnsi"/>
                <w:szCs w:val="22"/>
              </w:rPr>
              <w:br/>
            </w:r>
            <w:r w:rsidRPr="00D959E1">
              <w:rPr>
                <w:rFonts w:asciiTheme="minorHAnsi" w:hAnsiTheme="minorHAnsi" w:cstheme="minorHAnsi"/>
                <w:szCs w:val="22"/>
              </w:rPr>
              <w:br/>
              <w:t>In case of 6GHz band operation, TXOP termination is not needed for HE PPDU.</w:t>
            </w:r>
          </w:p>
        </w:tc>
        <w:tc>
          <w:tcPr>
            <w:tcW w:w="1945" w:type="dxa"/>
            <w:hideMark/>
          </w:tcPr>
          <w:p w14:paraId="3672C01C"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Modify the text in Table 10-18 from "HE" to "HE (not in 6GHz band operation)".</w:t>
            </w:r>
          </w:p>
        </w:tc>
        <w:tc>
          <w:tcPr>
            <w:tcW w:w="2915" w:type="dxa"/>
            <w:hideMark/>
          </w:tcPr>
          <w:p w14:paraId="6B40CACF" w14:textId="450CFC97" w:rsidR="00D959E1" w:rsidRDefault="0068304D">
            <w:pPr>
              <w:rPr>
                <w:rFonts w:asciiTheme="minorHAnsi" w:hAnsiTheme="minorHAnsi" w:cstheme="minorHAnsi"/>
                <w:szCs w:val="22"/>
              </w:rPr>
            </w:pPr>
            <w:r>
              <w:rPr>
                <w:rFonts w:asciiTheme="minorHAnsi" w:hAnsiTheme="minorHAnsi" w:cstheme="minorHAnsi"/>
                <w:szCs w:val="22"/>
              </w:rPr>
              <w:t>Accepted?</w:t>
            </w:r>
          </w:p>
          <w:p w14:paraId="1E430AE5" w14:textId="0D05A519" w:rsidR="007E1D24" w:rsidRDefault="007E1D24">
            <w:pPr>
              <w:rPr>
                <w:rFonts w:asciiTheme="minorHAnsi" w:hAnsiTheme="minorHAnsi" w:cstheme="minorHAnsi"/>
                <w:szCs w:val="22"/>
              </w:rPr>
            </w:pPr>
          </w:p>
          <w:p w14:paraId="0C7AAAD9" w14:textId="77777777" w:rsidR="007E1D24" w:rsidRDefault="007E1D24" w:rsidP="007E1D24">
            <w:pPr>
              <w:rPr>
                <w:rFonts w:ascii="Calibri" w:hAnsi="Calibri" w:cs="Calibri"/>
                <w:color w:val="000000"/>
                <w:szCs w:val="22"/>
                <w:lang w:val="en-CA"/>
              </w:rPr>
            </w:pPr>
            <w:r>
              <w:rPr>
                <w:rFonts w:ascii="Calibri" w:hAnsi="Calibri" w:cs="Calibri"/>
                <w:color w:val="000000"/>
                <w:szCs w:val="22"/>
              </w:rPr>
              <w:t>TXOP termination is needed to protect legacy STAs for the channel access when later version of PPDUs (HT/VHT/HE etc) are used during the TXOP.</w:t>
            </w:r>
          </w:p>
          <w:p w14:paraId="58F8FF67" w14:textId="77777777" w:rsidR="007E1D24" w:rsidRDefault="007E1D24" w:rsidP="007E1D24">
            <w:pPr>
              <w:rPr>
                <w:rFonts w:ascii="Calibri" w:hAnsi="Calibri" w:cs="Calibri"/>
                <w:color w:val="000000"/>
                <w:szCs w:val="22"/>
              </w:rPr>
            </w:pPr>
            <w:r>
              <w:rPr>
                <w:rFonts w:ascii="Calibri" w:hAnsi="Calibri" w:cs="Calibri"/>
                <w:color w:val="000000"/>
                <w:szCs w:val="22"/>
              </w:rPr>
              <w:t>However, in 6GHz band, there are HE STAs only and thus there’s no need to have a TXOP termination process for the legacy protection.</w:t>
            </w:r>
          </w:p>
          <w:p w14:paraId="2C9B6283" w14:textId="77777777" w:rsidR="007E1D24" w:rsidRDefault="007E1D24">
            <w:pPr>
              <w:rPr>
                <w:rFonts w:asciiTheme="minorHAnsi" w:hAnsiTheme="minorHAnsi" w:cstheme="minorHAnsi"/>
                <w:szCs w:val="22"/>
              </w:rPr>
            </w:pPr>
          </w:p>
          <w:p w14:paraId="2FB162D5" w14:textId="77777777" w:rsidR="0068304D" w:rsidRDefault="0068304D">
            <w:pPr>
              <w:rPr>
                <w:rFonts w:asciiTheme="minorHAnsi" w:hAnsiTheme="minorHAnsi" w:cstheme="minorHAnsi"/>
                <w:szCs w:val="22"/>
              </w:rPr>
            </w:pPr>
          </w:p>
          <w:p w14:paraId="43295421" w14:textId="77777777" w:rsidR="0068304D" w:rsidRPr="00D959E1" w:rsidRDefault="0068304D">
            <w:pPr>
              <w:rPr>
                <w:rFonts w:asciiTheme="minorHAnsi" w:hAnsiTheme="minorHAnsi" w:cstheme="minorHAnsi"/>
                <w:szCs w:val="22"/>
              </w:rPr>
            </w:pPr>
            <w:r>
              <w:rPr>
                <w:rFonts w:asciiTheme="minorHAnsi" w:hAnsiTheme="minorHAnsi" w:cstheme="minorHAnsi"/>
                <w:szCs w:val="22"/>
              </w:rPr>
              <w:t>Unchanged text</w:t>
            </w:r>
          </w:p>
        </w:tc>
      </w:tr>
      <w:tr w:rsidR="00D959E1" w:rsidRPr="00D959E1" w14:paraId="7DA3552A" w14:textId="77777777" w:rsidTr="00264905">
        <w:trPr>
          <w:trHeight w:val="890"/>
        </w:trPr>
        <w:tc>
          <w:tcPr>
            <w:tcW w:w="805" w:type="dxa"/>
            <w:hideMark/>
          </w:tcPr>
          <w:p w14:paraId="7EAF7005" w14:textId="77777777" w:rsidR="00D959E1" w:rsidRPr="00D959E1" w:rsidRDefault="00D959E1" w:rsidP="00D959E1">
            <w:pPr>
              <w:rPr>
                <w:rFonts w:asciiTheme="minorHAnsi" w:hAnsiTheme="minorHAnsi" w:cstheme="minorHAnsi"/>
                <w:szCs w:val="22"/>
              </w:rPr>
            </w:pPr>
            <w:r w:rsidRPr="00DC7788">
              <w:rPr>
                <w:rFonts w:asciiTheme="minorHAnsi" w:hAnsiTheme="minorHAnsi" w:cstheme="minorHAnsi"/>
                <w:szCs w:val="22"/>
                <w:highlight w:val="green"/>
              </w:rPr>
              <w:t>25064</w:t>
            </w:r>
          </w:p>
        </w:tc>
        <w:tc>
          <w:tcPr>
            <w:tcW w:w="900" w:type="dxa"/>
            <w:hideMark/>
          </w:tcPr>
          <w:p w14:paraId="2B6979B0"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275.16</w:t>
            </w:r>
          </w:p>
        </w:tc>
        <w:tc>
          <w:tcPr>
            <w:tcW w:w="526" w:type="dxa"/>
            <w:hideMark/>
          </w:tcPr>
          <w:p w14:paraId="086E10C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16</w:t>
            </w:r>
          </w:p>
        </w:tc>
        <w:tc>
          <w:tcPr>
            <w:tcW w:w="847" w:type="dxa"/>
            <w:hideMark/>
          </w:tcPr>
          <w:p w14:paraId="01878DB3"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10.8</w:t>
            </w:r>
          </w:p>
        </w:tc>
        <w:tc>
          <w:tcPr>
            <w:tcW w:w="1620" w:type="dxa"/>
            <w:hideMark/>
          </w:tcPr>
          <w:p w14:paraId="4853BDDB"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"NOTE—An HT STA that does not support +HTC (HT or VHT variant) that receives a +</w:t>
            </w:r>
            <w:r w:rsidR="00C169BA">
              <w:rPr>
                <w:rFonts w:asciiTheme="minorHAnsi" w:hAnsiTheme="minorHAnsi" w:cstheme="minorHAnsi"/>
                <w:szCs w:val="22"/>
              </w:rPr>
              <w:t xml:space="preserve">HTC frame addressed to another </w:t>
            </w:r>
            <w:r w:rsidRPr="00D959E1">
              <w:rPr>
                <w:rFonts w:asciiTheme="minorHAnsi" w:hAnsiTheme="minorHAnsi" w:cstheme="minorHAnsi"/>
                <w:szCs w:val="22"/>
              </w:rPr>
              <w:t>STA still performs the CRC on the actual length of the MPDU and uses the Duration/</w:t>
            </w:r>
            <w:r w:rsidR="00C169BA">
              <w:rPr>
                <w:rFonts w:asciiTheme="minorHAnsi" w:hAnsiTheme="minorHAnsi" w:cstheme="minorHAnsi"/>
                <w:szCs w:val="22"/>
              </w:rPr>
              <w:t xml:space="preserve">ID field to update the NAV, as </w:t>
            </w:r>
            <w:r w:rsidRPr="00D959E1">
              <w:rPr>
                <w:rFonts w:asciiTheme="minorHAnsi" w:hAnsiTheme="minorHAnsi" w:cstheme="minorHAnsi"/>
                <w:szCs w:val="22"/>
              </w:rPr>
              <w:t xml:space="preserve">described in 10.3.2.4 (Setting and </w:t>
            </w:r>
            <w:r w:rsidRPr="00D959E1">
              <w:rPr>
                <w:rFonts w:asciiTheme="minorHAnsi" w:hAnsiTheme="minorHAnsi" w:cstheme="minorHAnsi"/>
                <w:szCs w:val="22"/>
              </w:rPr>
              <w:lastRenderedPageBreak/>
              <w:t>resetting the NAV)." needs to cover the HE variant too</w:t>
            </w:r>
          </w:p>
        </w:tc>
        <w:tc>
          <w:tcPr>
            <w:tcW w:w="1945" w:type="dxa"/>
            <w:hideMark/>
          </w:tcPr>
          <w:p w14:paraId="4FA74C61"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lastRenderedPageBreak/>
              <w:t>Change to "… (HT, VHT or HE variant) …"</w:t>
            </w:r>
          </w:p>
        </w:tc>
        <w:tc>
          <w:tcPr>
            <w:tcW w:w="2915" w:type="dxa"/>
            <w:hideMark/>
          </w:tcPr>
          <w:p w14:paraId="49E8A8DF" w14:textId="2C653FAB" w:rsidR="00264905" w:rsidRPr="00D959E1" w:rsidRDefault="00DC7788">
            <w:pPr>
              <w:rPr>
                <w:rFonts w:asciiTheme="minorHAnsi" w:hAnsiTheme="minorHAnsi" w:cstheme="minorHAnsi"/>
                <w:szCs w:val="22"/>
              </w:rPr>
            </w:pPr>
            <w:r>
              <w:rPr>
                <w:rFonts w:asciiTheme="minorHAnsi" w:hAnsiTheme="minorHAnsi" w:cstheme="minorHAnsi"/>
                <w:szCs w:val="22"/>
              </w:rPr>
              <w:t>Accepted</w:t>
            </w:r>
          </w:p>
        </w:tc>
      </w:tr>
      <w:tr w:rsidR="00D959E1" w:rsidRPr="00D959E1" w14:paraId="32C38784" w14:textId="77777777" w:rsidTr="00D12DD3">
        <w:trPr>
          <w:trHeight w:val="1250"/>
        </w:trPr>
        <w:tc>
          <w:tcPr>
            <w:tcW w:w="805" w:type="dxa"/>
            <w:hideMark/>
          </w:tcPr>
          <w:p w14:paraId="7E072A82" w14:textId="77777777" w:rsidR="00D959E1" w:rsidRPr="007E1D24" w:rsidRDefault="00D959E1" w:rsidP="00D959E1">
            <w:pPr>
              <w:rPr>
                <w:rFonts w:asciiTheme="minorHAnsi" w:hAnsiTheme="minorHAnsi" w:cstheme="minorHAnsi"/>
                <w:strike/>
                <w:szCs w:val="22"/>
              </w:rPr>
            </w:pPr>
            <w:r w:rsidRPr="007E1D24">
              <w:rPr>
                <w:rFonts w:asciiTheme="minorHAnsi" w:hAnsiTheme="minorHAnsi" w:cstheme="minorHAnsi"/>
                <w:strike/>
                <w:szCs w:val="22"/>
                <w:highlight w:val="yellow"/>
              </w:rPr>
              <w:t>25076</w:t>
            </w:r>
          </w:p>
        </w:tc>
        <w:tc>
          <w:tcPr>
            <w:tcW w:w="900" w:type="dxa"/>
            <w:hideMark/>
          </w:tcPr>
          <w:p w14:paraId="73F6BFF9" w14:textId="77777777" w:rsidR="00D959E1" w:rsidRPr="007E1D24" w:rsidRDefault="00D959E1" w:rsidP="00D959E1">
            <w:pPr>
              <w:rPr>
                <w:rFonts w:asciiTheme="minorHAnsi" w:hAnsiTheme="minorHAnsi" w:cstheme="minorHAnsi"/>
                <w:strike/>
                <w:szCs w:val="22"/>
              </w:rPr>
            </w:pPr>
            <w:r w:rsidRPr="007E1D24">
              <w:rPr>
                <w:rFonts w:asciiTheme="minorHAnsi" w:hAnsiTheme="minorHAnsi" w:cstheme="minorHAnsi"/>
                <w:strike/>
                <w:szCs w:val="22"/>
              </w:rPr>
              <w:t>288.46</w:t>
            </w:r>
          </w:p>
        </w:tc>
        <w:tc>
          <w:tcPr>
            <w:tcW w:w="526" w:type="dxa"/>
            <w:hideMark/>
          </w:tcPr>
          <w:p w14:paraId="5C2FB24F"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46</w:t>
            </w:r>
          </w:p>
        </w:tc>
        <w:tc>
          <w:tcPr>
            <w:tcW w:w="847" w:type="dxa"/>
            <w:hideMark/>
          </w:tcPr>
          <w:p w14:paraId="2CD86E78"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10.23.2.7</w:t>
            </w:r>
          </w:p>
        </w:tc>
        <w:tc>
          <w:tcPr>
            <w:tcW w:w="1620" w:type="dxa"/>
            <w:hideMark/>
          </w:tcPr>
          <w:p w14:paraId="0612CF68"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To meet QoS and fairness principles, frames from the primary AC shall always be transmitted first, except in an HE TB PPDU.</w:t>
            </w:r>
          </w:p>
        </w:tc>
        <w:tc>
          <w:tcPr>
            <w:tcW w:w="1945" w:type="dxa"/>
            <w:hideMark/>
          </w:tcPr>
          <w:p w14:paraId="1AAB8C25"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Change "In a non-HE MU PPDU, frames" to "In a PPDU that is not an HE TB PPDU, frames"</w:t>
            </w:r>
          </w:p>
        </w:tc>
        <w:tc>
          <w:tcPr>
            <w:tcW w:w="2915" w:type="dxa"/>
            <w:hideMark/>
          </w:tcPr>
          <w:p w14:paraId="053D8272" w14:textId="77777777" w:rsidR="00D959E1" w:rsidRPr="007E1D24" w:rsidRDefault="00103E13">
            <w:pPr>
              <w:rPr>
                <w:rFonts w:asciiTheme="minorHAnsi" w:hAnsiTheme="minorHAnsi" w:cstheme="minorHAnsi"/>
                <w:strike/>
                <w:szCs w:val="22"/>
              </w:rPr>
            </w:pPr>
            <w:r w:rsidRPr="007E1D24">
              <w:rPr>
                <w:rFonts w:asciiTheme="minorHAnsi" w:hAnsiTheme="minorHAnsi" w:cstheme="minorHAnsi"/>
                <w:strike/>
                <w:szCs w:val="22"/>
              </w:rPr>
              <w:t>Accepted</w:t>
            </w:r>
          </w:p>
          <w:p w14:paraId="63F8C1E1" w14:textId="77777777" w:rsidR="00F21C61" w:rsidRPr="007E1D24" w:rsidRDefault="00F21C61">
            <w:pPr>
              <w:rPr>
                <w:rFonts w:asciiTheme="minorHAnsi" w:hAnsiTheme="minorHAnsi" w:cstheme="minorHAnsi"/>
                <w:strike/>
                <w:szCs w:val="22"/>
              </w:rPr>
            </w:pPr>
          </w:p>
          <w:p w14:paraId="422C263B" w14:textId="35DC0340" w:rsidR="00F21C61" w:rsidRPr="007E1D24" w:rsidRDefault="00F21C61">
            <w:pPr>
              <w:rPr>
                <w:rFonts w:asciiTheme="minorHAnsi" w:hAnsiTheme="minorHAnsi" w:cstheme="minorHAnsi"/>
                <w:strike/>
                <w:szCs w:val="22"/>
              </w:rPr>
            </w:pPr>
            <w:r w:rsidRPr="007E1D24">
              <w:rPr>
                <w:rFonts w:asciiTheme="minorHAnsi" w:hAnsiTheme="minorHAnsi" w:cstheme="minorHAnsi"/>
                <w:strike/>
                <w:szCs w:val="22"/>
              </w:rPr>
              <w:t xml:space="preserve">Transferred </w:t>
            </w:r>
            <w:proofErr w:type="spellStart"/>
            <w:r w:rsidRPr="007E1D24">
              <w:rPr>
                <w:rFonts w:asciiTheme="minorHAnsi" w:hAnsiTheme="minorHAnsi" w:cstheme="minorHAnsi"/>
                <w:strike/>
                <w:szCs w:val="22"/>
              </w:rPr>
              <w:t>Liwen</w:t>
            </w:r>
            <w:proofErr w:type="spellEnd"/>
            <w:r w:rsidRPr="007E1D24">
              <w:rPr>
                <w:rFonts w:asciiTheme="minorHAnsi" w:hAnsiTheme="minorHAnsi" w:cstheme="minorHAnsi"/>
                <w:strike/>
                <w:szCs w:val="22"/>
              </w:rPr>
              <w:t xml:space="preserve"> with help Alfred </w:t>
            </w:r>
          </w:p>
        </w:tc>
      </w:tr>
      <w:tr w:rsidR="00D959E1" w:rsidRPr="00D959E1" w14:paraId="34450F2B" w14:textId="77777777" w:rsidTr="00D12DD3">
        <w:trPr>
          <w:trHeight w:val="2250"/>
        </w:trPr>
        <w:tc>
          <w:tcPr>
            <w:tcW w:w="805" w:type="dxa"/>
            <w:hideMark/>
          </w:tcPr>
          <w:p w14:paraId="1232A3E1" w14:textId="77777777" w:rsidR="00D959E1" w:rsidRPr="007E1D24" w:rsidRDefault="00D959E1" w:rsidP="00D959E1">
            <w:pPr>
              <w:rPr>
                <w:rFonts w:asciiTheme="minorHAnsi" w:hAnsiTheme="minorHAnsi" w:cstheme="minorHAnsi"/>
                <w:strike/>
                <w:szCs w:val="22"/>
              </w:rPr>
            </w:pPr>
            <w:r w:rsidRPr="007E1D24">
              <w:rPr>
                <w:rFonts w:asciiTheme="minorHAnsi" w:hAnsiTheme="minorHAnsi" w:cstheme="minorHAnsi"/>
                <w:strike/>
                <w:szCs w:val="22"/>
                <w:highlight w:val="yellow"/>
              </w:rPr>
              <w:t>25077</w:t>
            </w:r>
          </w:p>
        </w:tc>
        <w:tc>
          <w:tcPr>
            <w:tcW w:w="900" w:type="dxa"/>
            <w:hideMark/>
          </w:tcPr>
          <w:p w14:paraId="3BC5A8CF" w14:textId="77777777" w:rsidR="00D959E1" w:rsidRPr="007E1D24" w:rsidRDefault="00D959E1" w:rsidP="00D959E1">
            <w:pPr>
              <w:rPr>
                <w:rFonts w:asciiTheme="minorHAnsi" w:hAnsiTheme="minorHAnsi" w:cstheme="minorHAnsi"/>
                <w:strike/>
                <w:szCs w:val="22"/>
              </w:rPr>
            </w:pPr>
            <w:r w:rsidRPr="007E1D24">
              <w:rPr>
                <w:rFonts w:asciiTheme="minorHAnsi" w:hAnsiTheme="minorHAnsi" w:cstheme="minorHAnsi"/>
                <w:strike/>
                <w:szCs w:val="22"/>
              </w:rPr>
              <w:t>288.48</w:t>
            </w:r>
          </w:p>
        </w:tc>
        <w:tc>
          <w:tcPr>
            <w:tcW w:w="526" w:type="dxa"/>
            <w:hideMark/>
          </w:tcPr>
          <w:p w14:paraId="28E9DE46"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48</w:t>
            </w:r>
          </w:p>
        </w:tc>
        <w:tc>
          <w:tcPr>
            <w:tcW w:w="847" w:type="dxa"/>
            <w:hideMark/>
          </w:tcPr>
          <w:p w14:paraId="2F00EB70"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10.23.2.7</w:t>
            </w:r>
          </w:p>
        </w:tc>
        <w:tc>
          <w:tcPr>
            <w:tcW w:w="1620" w:type="dxa"/>
            <w:hideMark/>
          </w:tcPr>
          <w:p w14:paraId="5154F084"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"Secondary AC traff</w:t>
            </w:r>
            <w:r w:rsidR="00264905" w:rsidRPr="007E1D24">
              <w:rPr>
                <w:rFonts w:asciiTheme="minorHAnsi" w:hAnsiTheme="minorHAnsi" w:cstheme="minorHAnsi"/>
                <w:strike/>
                <w:szCs w:val="22"/>
              </w:rPr>
              <w:t xml:space="preserve">ic shall not be included in an </w:t>
            </w:r>
            <w:r w:rsidRPr="007E1D24">
              <w:rPr>
                <w:rFonts w:asciiTheme="minorHAnsi" w:hAnsiTheme="minorHAnsi" w:cstheme="minorHAnsi"/>
                <w:strike/>
                <w:szCs w:val="22"/>
              </w:rPr>
              <w:t>HE MU PPDU if it would cause the TXOP limit of the primary AC to be exceeded." is duplication of the next sentence (and the rule has been further clarified in md/D4.0)</w:t>
            </w:r>
          </w:p>
        </w:tc>
        <w:tc>
          <w:tcPr>
            <w:tcW w:w="1945" w:type="dxa"/>
            <w:hideMark/>
          </w:tcPr>
          <w:p w14:paraId="429BE712"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Delete the cited text</w:t>
            </w:r>
          </w:p>
        </w:tc>
        <w:tc>
          <w:tcPr>
            <w:tcW w:w="2915" w:type="dxa"/>
            <w:hideMark/>
          </w:tcPr>
          <w:p w14:paraId="71FC85B0" w14:textId="72B125F7" w:rsidR="00D959E1" w:rsidRPr="007E1D24" w:rsidRDefault="00F63A88">
            <w:pPr>
              <w:rPr>
                <w:rFonts w:asciiTheme="minorHAnsi" w:hAnsiTheme="minorHAnsi" w:cstheme="minorHAnsi"/>
                <w:strike/>
                <w:szCs w:val="22"/>
              </w:rPr>
            </w:pPr>
            <w:r w:rsidRPr="007E1D24">
              <w:rPr>
                <w:rFonts w:asciiTheme="minorHAnsi" w:hAnsiTheme="minorHAnsi" w:cstheme="minorHAnsi"/>
                <w:strike/>
                <w:szCs w:val="22"/>
              </w:rPr>
              <w:t>Accepted</w:t>
            </w:r>
          </w:p>
          <w:p w14:paraId="110A63B4" w14:textId="569FA451" w:rsidR="00F63A88" w:rsidRPr="007E1D24" w:rsidRDefault="00F63A88">
            <w:pPr>
              <w:rPr>
                <w:rFonts w:asciiTheme="minorHAnsi" w:hAnsiTheme="minorHAnsi" w:cstheme="minorHAnsi"/>
                <w:strike/>
                <w:szCs w:val="22"/>
              </w:rPr>
            </w:pPr>
          </w:p>
          <w:p w14:paraId="456F8C8B" w14:textId="5CBB9D09" w:rsidR="00F63A88" w:rsidRPr="007E1D24" w:rsidRDefault="00F63A88">
            <w:pPr>
              <w:rPr>
                <w:rFonts w:asciiTheme="minorHAnsi" w:hAnsiTheme="minorHAnsi" w:cstheme="minorHAnsi"/>
                <w:strike/>
                <w:szCs w:val="22"/>
              </w:rPr>
            </w:pPr>
            <w:r w:rsidRPr="007E1D24">
              <w:rPr>
                <w:rFonts w:asciiTheme="minorHAnsi" w:hAnsiTheme="minorHAnsi" w:cstheme="minorHAnsi"/>
                <w:strike/>
                <w:szCs w:val="22"/>
              </w:rPr>
              <w:t xml:space="preserve">Transferred to </w:t>
            </w:r>
            <w:proofErr w:type="spellStart"/>
            <w:r w:rsidRPr="007E1D24">
              <w:rPr>
                <w:rFonts w:asciiTheme="minorHAnsi" w:hAnsiTheme="minorHAnsi" w:cstheme="minorHAnsi"/>
                <w:strike/>
                <w:szCs w:val="22"/>
              </w:rPr>
              <w:t>Liwen</w:t>
            </w:r>
            <w:proofErr w:type="spellEnd"/>
            <w:r w:rsidRPr="007E1D24">
              <w:rPr>
                <w:rFonts w:asciiTheme="minorHAnsi" w:hAnsiTheme="minorHAnsi" w:cstheme="minorHAnsi"/>
                <w:strike/>
                <w:szCs w:val="22"/>
              </w:rPr>
              <w:t>. Make sure of consistency with 25076 since they address the same paragraph.</w:t>
            </w:r>
          </w:p>
          <w:p w14:paraId="7FA19D35" w14:textId="77777777" w:rsidR="007C500D" w:rsidRPr="007E1D24" w:rsidRDefault="007C500D">
            <w:pPr>
              <w:rPr>
                <w:rFonts w:asciiTheme="minorHAnsi" w:hAnsiTheme="minorHAnsi" w:cstheme="minorHAnsi"/>
                <w:strike/>
                <w:szCs w:val="22"/>
              </w:rPr>
            </w:pPr>
          </w:p>
          <w:p w14:paraId="7618E639" w14:textId="336D76D4" w:rsidR="007C500D" w:rsidRPr="007E1D24" w:rsidRDefault="007C500D">
            <w:pPr>
              <w:rPr>
                <w:rFonts w:asciiTheme="minorHAnsi" w:hAnsiTheme="minorHAnsi" w:cstheme="minorHAnsi"/>
                <w:strike/>
                <w:szCs w:val="22"/>
              </w:rPr>
            </w:pPr>
          </w:p>
        </w:tc>
      </w:tr>
      <w:tr w:rsidR="00D959E1" w:rsidRPr="00D959E1" w14:paraId="78C04714" w14:textId="77777777" w:rsidTr="00D12DD3">
        <w:trPr>
          <w:trHeight w:val="431"/>
        </w:trPr>
        <w:tc>
          <w:tcPr>
            <w:tcW w:w="805" w:type="dxa"/>
            <w:hideMark/>
          </w:tcPr>
          <w:p w14:paraId="5863C534" w14:textId="77777777" w:rsidR="00D959E1" w:rsidRPr="007E1D24" w:rsidRDefault="00D959E1" w:rsidP="00D959E1">
            <w:pPr>
              <w:rPr>
                <w:rFonts w:asciiTheme="minorHAnsi" w:hAnsiTheme="minorHAnsi" w:cstheme="minorHAnsi"/>
                <w:strike/>
                <w:szCs w:val="22"/>
              </w:rPr>
            </w:pPr>
            <w:r w:rsidRPr="007E1D24">
              <w:rPr>
                <w:rFonts w:asciiTheme="minorHAnsi" w:hAnsiTheme="minorHAnsi" w:cstheme="minorHAnsi"/>
                <w:strike/>
                <w:szCs w:val="22"/>
                <w:highlight w:val="yellow"/>
              </w:rPr>
              <w:t>25078</w:t>
            </w:r>
          </w:p>
        </w:tc>
        <w:tc>
          <w:tcPr>
            <w:tcW w:w="900" w:type="dxa"/>
            <w:hideMark/>
          </w:tcPr>
          <w:p w14:paraId="06913AE7" w14:textId="77777777" w:rsidR="00D959E1" w:rsidRPr="007E1D24" w:rsidRDefault="00D959E1" w:rsidP="00D959E1">
            <w:pPr>
              <w:rPr>
                <w:rFonts w:asciiTheme="minorHAnsi" w:hAnsiTheme="minorHAnsi" w:cstheme="minorHAnsi"/>
                <w:strike/>
                <w:szCs w:val="22"/>
              </w:rPr>
            </w:pPr>
            <w:r w:rsidRPr="007E1D24">
              <w:rPr>
                <w:rFonts w:asciiTheme="minorHAnsi" w:hAnsiTheme="minorHAnsi" w:cstheme="minorHAnsi"/>
                <w:strike/>
                <w:szCs w:val="22"/>
              </w:rPr>
              <w:t>288.37</w:t>
            </w:r>
          </w:p>
        </w:tc>
        <w:tc>
          <w:tcPr>
            <w:tcW w:w="526" w:type="dxa"/>
            <w:hideMark/>
          </w:tcPr>
          <w:p w14:paraId="0C8D6FAF"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37</w:t>
            </w:r>
          </w:p>
        </w:tc>
        <w:tc>
          <w:tcPr>
            <w:tcW w:w="847" w:type="dxa"/>
            <w:hideMark/>
          </w:tcPr>
          <w:p w14:paraId="29025628"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10.23.2.7</w:t>
            </w:r>
          </w:p>
        </w:tc>
        <w:tc>
          <w:tcPr>
            <w:tcW w:w="1620" w:type="dxa"/>
            <w:hideMark/>
          </w:tcPr>
          <w:p w14:paraId="59AFFE3E"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It is not clear what "all frames from the primary AC have been t</w:t>
            </w:r>
            <w:r w:rsidR="00264905" w:rsidRPr="007E1D24">
              <w:rPr>
                <w:rFonts w:asciiTheme="minorHAnsi" w:hAnsiTheme="minorHAnsi" w:cstheme="minorHAnsi"/>
                <w:strike/>
                <w:szCs w:val="22"/>
              </w:rPr>
              <w:t>ransmitted and frames from the</w:t>
            </w:r>
            <w:r w:rsidR="00264905" w:rsidRPr="007E1D24">
              <w:rPr>
                <w:rFonts w:asciiTheme="minorHAnsi" w:hAnsiTheme="minorHAnsi" w:cstheme="minorHAnsi"/>
                <w:strike/>
                <w:szCs w:val="22"/>
              </w:rPr>
              <w:br/>
              <w:t xml:space="preserve"> </w:t>
            </w:r>
            <w:r w:rsidR="006C4E33" w:rsidRPr="007E1D24">
              <w:rPr>
                <w:rFonts w:asciiTheme="minorHAnsi" w:hAnsiTheme="minorHAnsi" w:cstheme="minorHAnsi"/>
                <w:strike/>
                <w:szCs w:val="22"/>
              </w:rPr>
              <w:t xml:space="preserve">AC(s) </w:t>
            </w:r>
            <w:proofErr w:type="gramStart"/>
            <w:r w:rsidRPr="007E1D24">
              <w:rPr>
                <w:rFonts w:asciiTheme="minorHAnsi" w:hAnsiTheme="minorHAnsi" w:cstheme="minorHAnsi"/>
                <w:strike/>
                <w:szCs w:val="22"/>
              </w:rPr>
              <w:t>defined  in</w:t>
            </w:r>
            <w:proofErr w:type="gramEnd"/>
            <w:r w:rsidRPr="007E1D24">
              <w:rPr>
                <w:rFonts w:asciiTheme="minorHAnsi" w:hAnsiTheme="minorHAnsi" w:cstheme="minorHAnsi"/>
                <w:strike/>
                <w:szCs w:val="22"/>
              </w:rPr>
              <w:t xml:space="preserve">  26.6.3 for HE PPDUs" refers to.</w:t>
            </w:r>
          </w:p>
        </w:tc>
        <w:tc>
          <w:tcPr>
            <w:tcW w:w="1945" w:type="dxa"/>
            <w:hideMark/>
          </w:tcPr>
          <w:p w14:paraId="4FB975D3" w14:textId="77777777" w:rsidR="00D959E1" w:rsidRPr="007E1D24" w:rsidRDefault="00D959E1">
            <w:pPr>
              <w:rPr>
                <w:rFonts w:asciiTheme="minorHAnsi" w:hAnsiTheme="minorHAnsi" w:cstheme="minorHAnsi"/>
                <w:strike/>
                <w:szCs w:val="22"/>
              </w:rPr>
            </w:pPr>
            <w:r w:rsidRPr="007E1D24">
              <w:rPr>
                <w:rFonts w:asciiTheme="minorHAnsi" w:hAnsiTheme="minorHAnsi" w:cstheme="minorHAnsi"/>
                <w:strike/>
                <w:szCs w:val="22"/>
              </w:rPr>
              <w:t>Change to "all frames from the primary AC, and in the case of an HE PPDU all the frames from the other AC(s) defined in 26.6.3, have been transmitted"</w:t>
            </w:r>
          </w:p>
        </w:tc>
        <w:tc>
          <w:tcPr>
            <w:tcW w:w="2915" w:type="dxa"/>
            <w:hideMark/>
          </w:tcPr>
          <w:p w14:paraId="18EA0FAC" w14:textId="58988E0A" w:rsidR="00D959E1" w:rsidRPr="007E1D24" w:rsidRDefault="00F37E7A">
            <w:pPr>
              <w:rPr>
                <w:rFonts w:asciiTheme="minorHAnsi" w:hAnsiTheme="minorHAnsi" w:cstheme="minorHAnsi"/>
                <w:strike/>
                <w:szCs w:val="22"/>
              </w:rPr>
            </w:pPr>
            <w:r w:rsidRPr="007E1D24">
              <w:rPr>
                <w:rFonts w:asciiTheme="minorHAnsi" w:hAnsiTheme="minorHAnsi" w:cstheme="minorHAnsi"/>
                <w:strike/>
                <w:szCs w:val="22"/>
              </w:rPr>
              <w:t>Accepted</w:t>
            </w:r>
          </w:p>
          <w:p w14:paraId="6F8E05F3" w14:textId="36871FD5" w:rsidR="00F63A88" w:rsidRPr="007E1D24" w:rsidRDefault="00F63A88">
            <w:pPr>
              <w:rPr>
                <w:rFonts w:asciiTheme="minorHAnsi" w:hAnsiTheme="minorHAnsi" w:cstheme="minorHAnsi"/>
                <w:strike/>
                <w:szCs w:val="22"/>
              </w:rPr>
            </w:pPr>
          </w:p>
          <w:p w14:paraId="78DCFF39" w14:textId="77777777" w:rsidR="00F63A88" w:rsidRPr="007E1D24" w:rsidRDefault="00F63A88">
            <w:pPr>
              <w:rPr>
                <w:rFonts w:asciiTheme="minorHAnsi" w:hAnsiTheme="minorHAnsi" w:cstheme="minorHAnsi"/>
                <w:strike/>
                <w:szCs w:val="22"/>
              </w:rPr>
            </w:pPr>
          </w:p>
          <w:p w14:paraId="6668022A" w14:textId="6AB740B2" w:rsidR="00F37E7A" w:rsidRPr="007E1D24" w:rsidRDefault="00F63A88">
            <w:pPr>
              <w:rPr>
                <w:rFonts w:asciiTheme="minorHAnsi" w:hAnsiTheme="minorHAnsi" w:cstheme="minorHAnsi"/>
                <w:strike/>
                <w:szCs w:val="22"/>
              </w:rPr>
            </w:pPr>
            <w:r w:rsidRPr="007E1D24">
              <w:rPr>
                <w:rFonts w:asciiTheme="minorHAnsi" w:hAnsiTheme="minorHAnsi" w:cstheme="minorHAnsi"/>
                <w:strike/>
                <w:szCs w:val="22"/>
              </w:rPr>
              <w:t xml:space="preserve">Transferred to </w:t>
            </w:r>
            <w:proofErr w:type="spellStart"/>
            <w:r w:rsidRPr="007E1D24">
              <w:rPr>
                <w:rFonts w:asciiTheme="minorHAnsi" w:hAnsiTheme="minorHAnsi" w:cstheme="minorHAnsi"/>
                <w:strike/>
                <w:szCs w:val="22"/>
              </w:rPr>
              <w:t>Liwen</w:t>
            </w:r>
            <w:proofErr w:type="spellEnd"/>
          </w:p>
          <w:p w14:paraId="3F27E671" w14:textId="2484469A" w:rsidR="00F37E7A" w:rsidRPr="007E1D24" w:rsidRDefault="00F37E7A">
            <w:pPr>
              <w:rPr>
                <w:rFonts w:asciiTheme="minorHAnsi" w:hAnsiTheme="minorHAnsi" w:cstheme="minorHAnsi"/>
                <w:strike/>
                <w:szCs w:val="22"/>
              </w:rPr>
            </w:pPr>
          </w:p>
        </w:tc>
      </w:tr>
      <w:tr w:rsidR="00D959E1" w:rsidRPr="00D959E1" w14:paraId="601922A0" w14:textId="77777777" w:rsidTr="00D12DD3">
        <w:trPr>
          <w:trHeight w:val="3000"/>
        </w:trPr>
        <w:tc>
          <w:tcPr>
            <w:tcW w:w="805" w:type="dxa"/>
            <w:hideMark/>
          </w:tcPr>
          <w:p w14:paraId="0373B5CB" w14:textId="77777777" w:rsidR="00D959E1" w:rsidRPr="00D959E1" w:rsidRDefault="00D959E1" w:rsidP="00D959E1">
            <w:pPr>
              <w:rPr>
                <w:rFonts w:asciiTheme="minorHAnsi" w:hAnsiTheme="minorHAnsi" w:cstheme="minorHAnsi"/>
                <w:szCs w:val="22"/>
              </w:rPr>
            </w:pPr>
            <w:r w:rsidRPr="00C8552D">
              <w:rPr>
                <w:rFonts w:asciiTheme="minorHAnsi" w:hAnsiTheme="minorHAnsi" w:cstheme="minorHAnsi"/>
                <w:szCs w:val="22"/>
                <w:highlight w:val="yellow"/>
              </w:rPr>
              <w:lastRenderedPageBreak/>
              <w:t>25088</w:t>
            </w:r>
          </w:p>
        </w:tc>
        <w:tc>
          <w:tcPr>
            <w:tcW w:w="900" w:type="dxa"/>
            <w:hideMark/>
          </w:tcPr>
          <w:p w14:paraId="0911D30A"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276.60</w:t>
            </w:r>
          </w:p>
        </w:tc>
        <w:tc>
          <w:tcPr>
            <w:tcW w:w="526" w:type="dxa"/>
            <w:hideMark/>
          </w:tcPr>
          <w:p w14:paraId="0BD9D325"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60</w:t>
            </w:r>
          </w:p>
        </w:tc>
        <w:tc>
          <w:tcPr>
            <w:tcW w:w="847" w:type="dxa"/>
            <w:hideMark/>
          </w:tcPr>
          <w:p w14:paraId="3E85E1D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10.8</w:t>
            </w:r>
          </w:p>
        </w:tc>
        <w:tc>
          <w:tcPr>
            <w:tcW w:w="1620" w:type="dxa"/>
            <w:hideMark/>
          </w:tcPr>
          <w:p w14:paraId="31370107"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"The transmitting STA includ</w:t>
            </w:r>
            <w:r w:rsidR="00F37E7A">
              <w:rPr>
                <w:rFonts w:asciiTheme="minorHAnsi" w:hAnsiTheme="minorHAnsi" w:cstheme="minorHAnsi"/>
                <w:szCs w:val="22"/>
              </w:rPr>
              <w:t xml:space="preserve">es an A-Control subfield that </w:t>
            </w:r>
            <w:r w:rsidRPr="00D959E1">
              <w:rPr>
                <w:rFonts w:asciiTheme="minorHAnsi" w:hAnsiTheme="minorHAnsi" w:cstheme="minorHAnsi"/>
                <w:szCs w:val="22"/>
              </w:rPr>
              <w:t>contains a Control subfield w</w:t>
            </w:r>
            <w:r w:rsidR="00F37E7A">
              <w:rPr>
                <w:rFonts w:asciiTheme="minorHAnsi" w:hAnsiTheme="minorHAnsi" w:cstheme="minorHAnsi"/>
                <w:szCs w:val="22"/>
              </w:rPr>
              <w:t xml:space="preserve">ith Control ID subfield equal </w:t>
            </w:r>
            <w:r w:rsidR="00F37E7A">
              <w:rPr>
                <w:rFonts w:asciiTheme="minorHAnsi" w:hAnsiTheme="minorHAnsi" w:cstheme="minorHAnsi"/>
                <w:szCs w:val="22"/>
              </w:rPr>
              <w:br/>
            </w:r>
            <w:r w:rsidRPr="00D959E1">
              <w:rPr>
                <w:rFonts w:asciiTheme="minorHAnsi" w:hAnsiTheme="minorHAnsi" w:cstheme="minorHAnsi"/>
                <w:szCs w:val="22"/>
              </w:rPr>
              <w:t>to 15 and Control Information</w:t>
            </w:r>
            <w:r w:rsidR="00F37E7A">
              <w:rPr>
                <w:rFonts w:asciiTheme="minorHAnsi" w:hAnsiTheme="minorHAnsi" w:cstheme="minorHAnsi"/>
                <w:szCs w:val="22"/>
              </w:rPr>
              <w:t xml:space="preserve"> subfield equal to all 1s and </w:t>
            </w:r>
            <w:r w:rsidR="00F37E7A">
              <w:rPr>
                <w:rFonts w:asciiTheme="minorHAnsi" w:hAnsiTheme="minorHAnsi" w:cstheme="minorHAnsi"/>
                <w:szCs w:val="22"/>
              </w:rPr>
              <w:br/>
            </w:r>
            <w:r w:rsidRPr="00D959E1">
              <w:rPr>
                <w:rFonts w:asciiTheme="minorHAnsi" w:hAnsiTheme="minorHAnsi" w:cstheme="minorHAnsi"/>
                <w:szCs w:val="22"/>
              </w:rPr>
              <w:t>whose content is ignored by the HE recipient STA." -- should be a "shall be" not a "is" to make it normative, but anyway the style of this entry does not match all the others</w:t>
            </w:r>
          </w:p>
        </w:tc>
        <w:tc>
          <w:tcPr>
            <w:tcW w:w="1945" w:type="dxa"/>
            <w:hideMark/>
          </w:tcPr>
          <w:p w14:paraId="262F3B4B"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to "The transmitting STA includ</w:t>
            </w:r>
            <w:r w:rsidR="00F37E7A">
              <w:rPr>
                <w:rFonts w:asciiTheme="minorHAnsi" w:hAnsiTheme="minorHAnsi" w:cstheme="minorHAnsi"/>
                <w:szCs w:val="22"/>
              </w:rPr>
              <w:t xml:space="preserve">es an A-Control subfield that </w:t>
            </w:r>
            <w:r w:rsidRPr="00D959E1">
              <w:rPr>
                <w:rFonts w:asciiTheme="minorHAnsi" w:hAnsiTheme="minorHAnsi" w:cstheme="minorHAnsi"/>
                <w:szCs w:val="22"/>
              </w:rPr>
              <w:t>contains a Control subfield w</w:t>
            </w:r>
            <w:r w:rsidR="00F37E7A">
              <w:rPr>
                <w:rFonts w:asciiTheme="minorHAnsi" w:hAnsiTheme="minorHAnsi" w:cstheme="minorHAnsi"/>
                <w:szCs w:val="22"/>
              </w:rPr>
              <w:t xml:space="preserve">ith Control ID subfield equal </w:t>
            </w:r>
            <w:r w:rsidRPr="00D959E1">
              <w:rPr>
                <w:rFonts w:asciiTheme="minorHAnsi" w:hAnsiTheme="minorHAnsi" w:cstheme="minorHAnsi"/>
                <w:szCs w:val="22"/>
              </w:rPr>
              <w:t>to 15 and Control Information subfield equal to all 1s.  The recipient STA shall ignore this Control subfield."</w:t>
            </w:r>
          </w:p>
        </w:tc>
        <w:tc>
          <w:tcPr>
            <w:tcW w:w="2915" w:type="dxa"/>
            <w:hideMark/>
          </w:tcPr>
          <w:p w14:paraId="48D7D4ED" w14:textId="77777777" w:rsidR="00D959E1" w:rsidRDefault="00C8552D">
            <w:pPr>
              <w:rPr>
                <w:rFonts w:asciiTheme="minorHAnsi" w:hAnsiTheme="minorHAnsi" w:cstheme="minorHAnsi"/>
                <w:szCs w:val="22"/>
              </w:rPr>
            </w:pPr>
            <w:r>
              <w:rPr>
                <w:rFonts w:asciiTheme="minorHAnsi" w:hAnsiTheme="minorHAnsi" w:cstheme="minorHAnsi"/>
                <w:szCs w:val="22"/>
              </w:rPr>
              <w:t>Rejected</w:t>
            </w:r>
          </w:p>
          <w:p w14:paraId="605E90C7" w14:textId="77777777" w:rsidR="00C8552D" w:rsidRDefault="00C8552D">
            <w:pPr>
              <w:rPr>
                <w:rFonts w:asciiTheme="minorHAnsi" w:hAnsiTheme="minorHAnsi" w:cstheme="minorHAnsi"/>
                <w:szCs w:val="22"/>
              </w:rPr>
            </w:pPr>
          </w:p>
          <w:p w14:paraId="33DF4B3D" w14:textId="77777777" w:rsidR="00C8552D" w:rsidRDefault="00C8552D">
            <w:pPr>
              <w:rPr>
                <w:rFonts w:asciiTheme="minorHAnsi" w:hAnsiTheme="minorHAnsi" w:cstheme="minorHAnsi"/>
                <w:szCs w:val="22"/>
              </w:rPr>
            </w:pPr>
            <w:r>
              <w:rPr>
                <w:rFonts w:asciiTheme="minorHAnsi" w:hAnsiTheme="minorHAnsi" w:cstheme="minorHAnsi"/>
                <w:szCs w:val="22"/>
              </w:rPr>
              <w:t>The normative statement appears in Page 277 Line 20</w:t>
            </w:r>
          </w:p>
          <w:p w14:paraId="3D191592" w14:textId="77777777" w:rsidR="00C8552D" w:rsidRDefault="00C8552D">
            <w:pPr>
              <w:rPr>
                <w:rFonts w:asciiTheme="minorHAnsi" w:hAnsiTheme="minorHAnsi" w:cstheme="minorHAnsi"/>
                <w:szCs w:val="22"/>
              </w:rPr>
            </w:pPr>
          </w:p>
          <w:p w14:paraId="7D02663D" w14:textId="18562D6B" w:rsidR="00C8552D" w:rsidRPr="00D959E1" w:rsidRDefault="00C8552D">
            <w:pPr>
              <w:rPr>
                <w:rFonts w:asciiTheme="minorHAnsi" w:hAnsiTheme="minorHAnsi" w:cstheme="minorHAnsi"/>
                <w:szCs w:val="22"/>
              </w:rPr>
            </w:pPr>
          </w:p>
        </w:tc>
      </w:tr>
      <w:tr w:rsidR="00D959E1" w:rsidRPr="00D959E1" w14:paraId="29711E97" w14:textId="77777777" w:rsidTr="00D12DD3">
        <w:trPr>
          <w:trHeight w:val="2500"/>
        </w:trPr>
        <w:tc>
          <w:tcPr>
            <w:tcW w:w="805" w:type="dxa"/>
            <w:hideMark/>
          </w:tcPr>
          <w:p w14:paraId="3F5246B1" w14:textId="77777777" w:rsidR="00D959E1" w:rsidRPr="00D959E1" w:rsidRDefault="00D959E1" w:rsidP="00D959E1">
            <w:pPr>
              <w:rPr>
                <w:rFonts w:asciiTheme="minorHAnsi" w:hAnsiTheme="minorHAnsi" w:cstheme="minorHAnsi"/>
                <w:szCs w:val="22"/>
              </w:rPr>
            </w:pPr>
            <w:r w:rsidRPr="00C8552D">
              <w:rPr>
                <w:rFonts w:asciiTheme="minorHAnsi" w:hAnsiTheme="minorHAnsi" w:cstheme="minorHAnsi"/>
                <w:szCs w:val="22"/>
                <w:highlight w:val="green"/>
              </w:rPr>
              <w:t>25118</w:t>
            </w:r>
          </w:p>
        </w:tc>
        <w:tc>
          <w:tcPr>
            <w:tcW w:w="900" w:type="dxa"/>
            <w:hideMark/>
          </w:tcPr>
          <w:p w14:paraId="526EC3B9"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287.52</w:t>
            </w:r>
          </w:p>
        </w:tc>
        <w:tc>
          <w:tcPr>
            <w:tcW w:w="526" w:type="dxa"/>
            <w:hideMark/>
          </w:tcPr>
          <w:p w14:paraId="7E577EB9"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52</w:t>
            </w:r>
          </w:p>
        </w:tc>
        <w:tc>
          <w:tcPr>
            <w:tcW w:w="847" w:type="dxa"/>
            <w:hideMark/>
          </w:tcPr>
          <w:p w14:paraId="7DA57C55"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10.23.2.5</w:t>
            </w:r>
          </w:p>
        </w:tc>
        <w:tc>
          <w:tcPr>
            <w:tcW w:w="1620" w:type="dxa"/>
            <w:hideMark/>
          </w:tcPr>
          <w:p w14:paraId="509FD645" w14:textId="77777777" w:rsidR="00D959E1" w:rsidRPr="00D959E1" w:rsidRDefault="006C4E33">
            <w:pPr>
              <w:rPr>
                <w:rFonts w:asciiTheme="minorHAnsi" w:hAnsiTheme="minorHAnsi" w:cstheme="minorHAnsi"/>
                <w:szCs w:val="22"/>
              </w:rPr>
            </w:pPr>
            <w:r>
              <w:rPr>
                <w:rFonts w:asciiTheme="minorHAnsi" w:hAnsiTheme="minorHAnsi" w:cstheme="minorHAnsi"/>
                <w:szCs w:val="22"/>
              </w:rPr>
              <w:t xml:space="preserve">"if all of the 20 MHz </w:t>
            </w:r>
            <w:r w:rsidR="00D959E1" w:rsidRPr="00D959E1">
              <w:rPr>
                <w:rFonts w:asciiTheme="minorHAnsi" w:hAnsiTheme="minorHAnsi" w:cstheme="minorHAnsi"/>
                <w:szCs w:val="22"/>
              </w:rPr>
              <w:t xml:space="preserve">subchannels that are </w:t>
            </w:r>
            <w:r>
              <w:rPr>
                <w:rFonts w:asciiTheme="minorHAnsi" w:hAnsiTheme="minorHAnsi" w:cstheme="minorHAnsi"/>
                <w:szCs w:val="22"/>
              </w:rPr>
              <w:t xml:space="preserve">not punctured were idle during </w:t>
            </w:r>
            <w:r w:rsidR="00D959E1" w:rsidRPr="00D959E1">
              <w:rPr>
                <w:rFonts w:asciiTheme="minorHAnsi" w:hAnsiTheme="minorHAnsi" w:cstheme="minorHAnsi"/>
                <w:szCs w:val="22"/>
              </w:rPr>
              <w:t xml:space="preserve">an interval of PIFS immediately preceding the start of the TXOP" -- </w:t>
            </w:r>
            <w:r>
              <w:rPr>
                <w:rFonts w:asciiTheme="minorHAnsi" w:hAnsiTheme="minorHAnsi" w:cstheme="minorHAnsi"/>
                <w:szCs w:val="22"/>
              </w:rPr>
              <w:t xml:space="preserve">the 20 MHz subchannel that </w:t>
            </w:r>
            <w:r w:rsidR="00D959E1" w:rsidRPr="00D959E1">
              <w:rPr>
                <w:rFonts w:asciiTheme="minorHAnsi" w:hAnsiTheme="minorHAnsi" w:cstheme="minorHAnsi"/>
                <w:szCs w:val="22"/>
              </w:rPr>
              <w:t xml:space="preserve">corresponds to the primary 20 MHz channel has to be idle for more (the </w:t>
            </w:r>
            <w:proofErr w:type="spellStart"/>
            <w:r w:rsidR="00D959E1" w:rsidRPr="00D959E1">
              <w:rPr>
                <w:rFonts w:asciiTheme="minorHAnsi" w:hAnsiTheme="minorHAnsi" w:cstheme="minorHAnsi"/>
                <w:szCs w:val="22"/>
              </w:rPr>
              <w:t>backoff</w:t>
            </w:r>
            <w:proofErr w:type="spellEnd"/>
            <w:r w:rsidR="00D959E1" w:rsidRPr="00D959E1">
              <w:rPr>
                <w:rFonts w:asciiTheme="minorHAnsi" w:hAnsiTheme="minorHAnsi" w:cstheme="minorHAnsi"/>
                <w:szCs w:val="22"/>
              </w:rPr>
              <w:t xml:space="preserve"> period)</w:t>
            </w:r>
          </w:p>
        </w:tc>
        <w:tc>
          <w:tcPr>
            <w:tcW w:w="1945" w:type="dxa"/>
            <w:hideMark/>
          </w:tcPr>
          <w:p w14:paraId="1EEBE59E"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Change to "if all of the 20 MHz subchannels (other than the primary 20 MHz channel) that are </w:t>
            </w:r>
            <w:r w:rsidR="006C4E33">
              <w:rPr>
                <w:rFonts w:asciiTheme="minorHAnsi" w:hAnsiTheme="minorHAnsi" w:cstheme="minorHAnsi"/>
                <w:szCs w:val="22"/>
              </w:rPr>
              <w:t xml:space="preserve">not punctured were idle during </w:t>
            </w:r>
            <w:r w:rsidRPr="00D959E1">
              <w:rPr>
                <w:rFonts w:asciiTheme="minorHAnsi" w:hAnsiTheme="minorHAnsi" w:cstheme="minorHAnsi"/>
                <w:szCs w:val="22"/>
              </w:rPr>
              <w:t>an interval of PIFS immediately preceding the start of the TXOP".  Same change in next three bullets</w:t>
            </w:r>
          </w:p>
        </w:tc>
        <w:tc>
          <w:tcPr>
            <w:tcW w:w="2915" w:type="dxa"/>
            <w:hideMark/>
          </w:tcPr>
          <w:p w14:paraId="5AD49BFD" w14:textId="77777777" w:rsidR="00D959E1" w:rsidRPr="00D959E1" w:rsidRDefault="00F37E7A">
            <w:pPr>
              <w:rPr>
                <w:rFonts w:asciiTheme="minorHAnsi" w:hAnsiTheme="minorHAnsi" w:cstheme="minorHAnsi"/>
                <w:szCs w:val="22"/>
              </w:rPr>
            </w:pPr>
            <w:r>
              <w:rPr>
                <w:rFonts w:asciiTheme="minorHAnsi" w:hAnsiTheme="minorHAnsi" w:cstheme="minorHAnsi"/>
                <w:szCs w:val="22"/>
              </w:rPr>
              <w:t>Accepted</w:t>
            </w:r>
          </w:p>
        </w:tc>
      </w:tr>
    </w:tbl>
    <w:p w14:paraId="73AF4CFC" w14:textId="77777777" w:rsidR="00D959E1" w:rsidRDefault="00D959E1"/>
    <w:p w14:paraId="2729605A" w14:textId="77777777" w:rsidR="00CA09B2" w:rsidRDefault="00CA09B2"/>
    <w:p w14:paraId="79621975" w14:textId="77777777" w:rsidR="00CA09B2" w:rsidRPr="00116388" w:rsidRDefault="00BB1E53">
      <w:pPr>
        <w:rPr>
          <w:rFonts w:asciiTheme="minorHAnsi" w:hAnsiTheme="minorHAnsi" w:cstheme="minorHAnsi"/>
          <w:b/>
        </w:rPr>
      </w:pPr>
      <w:r w:rsidRPr="00116388">
        <w:rPr>
          <w:rFonts w:asciiTheme="minorHAnsi" w:hAnsiTheme="minorHAnsi" w:cstheme="minorHAnsi"/>
          <w:b/>
        </w:rPr>
        <w:t>CID 25034</w:t>
      </w:r>
    </w:p>
    <w:p w14:paraId="4377A99F" w14:textId="77777777" w:rsidR="00BB1E53" w:rsidRPr="00BB1E53" w:rsidRDefault="00BB1E53">
      <w:pPr>
        <w:rPr>
          <w:rFonts w:asciiTheme="minorHAnsi" w:hAnsiTheme="minorHAnsi" w:cstheme="minorHAnsi"/>
        </w:rPr>
      </w:pPr>
    </w:p>
    <w:p w14:paraId="60B30603" w14:textId="77777777" w:rsidR="00BB1E53" w:rsidRPr="00BB1E53" w:rsidRDefault="00BB1E53">
      <w:pPr>
        <w:rPr>
          <w:rFonts w:asciiTheme="minorHAnsi" w:hAnsiTheme="minorHAnsi" w:cstheme="minorHAnsi"/>
        </w:rPr>
      </w:pPr>
      <w:r w:rsidRPr="00BB1E53">
        <w:rPr>
          <w:rFonts w:asciiTheme="minorHAnsi" w:hAnsiTheme="minorHAnsi" w:cstheme="minorHAnsi"/>
        </w:rPr>
        <w:t>The CID refers to the text:</w:t>
      </w:r>
    </w:p>
    <w:p w14:paraId="4EFA8558" w14:textId="77777777" w:rsidR="00BB1E53" w:rsidRDefault="00BB1E53"/>
    <w:p w14:paraId="7BDA5C27" w14:textId="77777777" w:rsidR="00BB1E53" w:rsidRPr="00BB1E53" w:rsidRDefault="00BB1E53" w:rsidP="00BB1E53">
      <w:pPr>
        <w:autoSpaceDE w:val="0"/>
        <w:autoSpaceDN w:val="0"/>
        <w:adjustRightInd w:val="0"/>
        <w:rPr>
          <w:rFonts w:asciiTheme="minorHAnsi" w:eastAsiaTheme="majorEastAsia" w:hAnsiTheme="minorHAnsi" w:cstheme="minorHAnsi"/>
          <w:sz w:val="20"/>
          <w:lang w:val="en-US" w:eastAsia="zh-CN"/>
        </w:rPr>
      </w:pPr>
      <w:proofErr w:type="spellStart"/>
      <w:r w:rsidRPr="00BB1E53">
        <w:rPr>
          <w:rFonts w:asciiTheme="minorHAnsi" w:eastAsiaTheme="majorEastAsia" w:hAnsiTheme="minorHAnsi" w:cstheme="minorHAnsi"/>
          <w:sz w:val="20"/>
          <w:lang w:val="en-US" w:eastAsia="zh-CN"/>
        </w:rPr>
        <w:t>An</w:t>
      </w:r>
      <w:proofErr w:type="spellEnd"/>
      <w:r w:rsidRPr="00BB1E53">
        <w:rPr>
          <w:rFonts w:asciiTheme="minorHAnsi" w:eastAsiaTheme="majorEastAsia" w:hAnsiTheme="minorHAnsi" w:cstheme="minorHAnsi"/>
          <w:sz w:val="20"/>
          <w:lang w:val="en-US" w:eastAsia="zh-CN"/>
        </w:rPr>
        <w:t xml:space="preserve"> HE STA shall not transmit </w:t>
      </w:r>
      <w:proofErr w:type="spellStart"/>
      <w:r w:rsidRPr="00BB1E53">
        <w:rPr>
          <w:rFonts w:asciiTheme="minorHAnsi" w:eastAsiaTheme="majorEastAsia" w:hAnsiTheme="minorHAnsi" w:cstheme="minorHAnsi"/>
          <w:sz w:val="20"/>
          <w:lang w:val="en-US" w:eastAsia="zh-CN"/>
        </w:rPr>
        <w:t>an</w:t>
      </w:r>
      <w:proofErr w:type="spellEnd"/>
      <w:r w:rsidRPr="00BB1E53">
        <w:rPr>
          <w:rFonts w:asciiTheme="minorHAnsi" w:eastAsiaTheme="majorEastAsia" w:hAnsiTheme="minorHAnsi" w:cstheme="minorHAnsi"/>
          <w:sz w:val="20"/>
          <w:lang w:val="en-US" w:eastAsia="zh-CN"/>
        </w:rPr>
        <w:t xml:space="preserve"> HE PPDU that has a duration </w:t>
      </w:r>
      <w:r w:rsidRPr="00BB1E53">
        <w:rPr>
          <w:rFonts w:asciiTheme="minorHAnsi" w:eastAsiaTheme="majorEastAsia" w:hAnsiTheme="minorHAnsi" w:cstheme="minorHAnsi"/>
          <w:sz w:val="20"/>
          <w:highlight w:val="yellow"/>
          <w:lang w:val="en-US" w:eastAsia="zh-CN"/>
        </w:rPr>
        <w:t xml:space="preserve">(as determined by the PHY </w:t>
      </w:r>
      <w:proofErr w:type="spellStart"/>
      <w:r w:rsidRPr="00BB1E53">
        <w:rPr>
          <w:rFonts w:asciiTheme="minorHAnsi" w:eastAsiaTheme="majorEastAsia" w:hAnsiTheme="minorHAnsi" w:cstheme="minorHAnsi"/>
          <w:sz w:val="20"/>
          <w:highlight w:val="yellow"/>
          <w:lang w:val="en-US" w:eastAsia="zh-CN"/>
        </w:rPr>
        <w:t>TXTIME.confirm</w:t>
      </w:r>
      <w:proofErr w:type="spellEnd"/>
      <w:r w:rsidRPr="00BB1E53">
        <w:rPr>
          <w:rFonts w:asciiTheme="minorHAnsi" w:eastAsiaTheme="majorEastAsia" w:hAnsiTheme="minorHAnsi" w:cstheme="minorHAnsi"/>
          <w:sz w:val="20"/>
          <w:highlight w:val="yellow"/>
          <w:lang w:val="en-US" w:eastAsia="zh-CN"/>
        </w:rPr>
        <w:t xml:space="preserve"> primitive defined in 6.5.6 (PLME-</w:t>
      </w:r>
      <w:proofErr w:type="spellStart"/>
      <w:r w:rsidRPr="00BB1E53">
        <w:rPr>
          <w:rFonts w:asciiTheme="minorHAnsi" w:eastAsiaTheme="majorEastAsia" w:hAnsiTheme="minorHAnsi" w:cstheme="minorHAnsi"/>
          <w:sz w:val="20"/>
          <w:highlight w:val="yellow"/>
          <w:lang w:val="en-US" w:eastAsia="zh-CN"/>
        </w:rPr>
        <w:t>TXTIME.confirm</w:t>
      </w:r>
      <w:proofErr w:type="spellEnd"/>
      <w:r w:rsidRPr="00BB1E53">
        <w:rPr>
          <w:rFonts w:asciiTheme="minorHAnsi" w:eastAsiaTheme="majorEastAsia" w:hAnsiTheme="minorHAnsi" w:cstheme="minorHAnsi"/>
          <w:sz w:val="20"/>
          <w:highlight w:val="yellow"/>
          <w:lang w:val="en-US" w:eastAsia="zh-CN"/>
        </w:rPr>
        <w:t>)</w:t>
      </w:r>
      <w:r w:rsidRPr="00BB1E53">
        <w:rPr>
          <w:rFonts w:asciiTheme="minorHAnsi" w:eastAsiaTheme="majorEastAsia" w:hAnsiTheme="minorHAnsi" w:cstheme="minorHAnsi"/>
          <w:sz w:val="20"/>
          <w:lang w:val="en-US" w:eastAsia="zh-CN"/>
        </w:rPr>
        <w:t xml:space="preserve"> that is greater than </w:t>
      </w:r>
      <w:proofErr w:type="spellStart"/>
      <w:r w:rsidRPr="00BB1E53">
        <w:rPr>
          <w:rFonts w:asciiTheme="minorHAnsi" w:eastAsiaTheme="majorEastAsia" w:hAnsiTheme="minorHAnsi" w:cstheme="minorHAnsi"/>
          <w:i/>
          <w:iCs/>
          <w:sz w:val="20"/>
          <w:lang w:val="en-US" w:eastAsia="zh-CN"/>
        </w:rPr>
        <w:t>aPPDUMaxTime</w:t>
      </w:r>
      <w:proofErr w:type="spellEnd"/>
      <w:r w:rsidRPr="00BB1E53">
        <w:rPr>
          <w:rFonts w:asciiTheme="minorHAnsi" w:eastAsiaTheme="majorEastAsia" w:hAnsiTheme="minorHAnsi" w:cstheme="minorHAnsi"/>
          <w:i/>
          <w:iCs/>
          <w:sz w:val="20"/>
          <w:lang w:val="en-US" w:eastAsia="zh-CN"/>
        </w:rPr>
        <w:t xml:space="preserve"> </w:t>
      </w:r>
      <w:r w:rsidRPr="00BB1E53">
        <w:rPr>
          <w:rFonts w:asciiTheme="minorHAnsi" w:eastAsiaTheme="majorEastAsia" w:hAnsiTheme="minorHAnsi" w:cstheme="minorHAnsi"/>
          <w:sz w:val="20"/>
          <w:lang w:val="en-US" w:eastAsia="zh-CN"/>
        </w:rPr>
        <w:t>defined in Table 27-55 (HE PHY characteristics).</w:t>
      </w:r>
    </w:p>
    <w:p w14:paraId="030E468C" w14:textId="77777777" w:rsidR="00BB1E53" w:rsidRPr="00BB1E53" w:rsidRDefault="00BB1E53" w:rsidP="00BB1E53">
      <w:pPr>
        <w:autoSpaceDE w:val="0"/>
        <w:autoSpaceDN w:val="0"/>
        <w:adjustRightInd w:val="0"/>
        <w:rPr>
          <w:rFonts w:asciiTheme="minorHAnsi" w:eastAsiaTheme="majorEastAsia" w:hAnsiTheme="minorHAnsi" w:cstheme="minorHAnsi"/>
          <w:sz w:val="20"/>
          <w:lang w:val="en-US" w:eastAsia="zh-CN"/>
        </w:rPr>
      </w:pPr>
    </w:p>
    <w:p w14:paraId="55B51E6F" w14:textId="77777777" w:rsidR="00BB1E53" w:rsidRDefault="00BB1E53" w:rsidP="00BB1E53">
      <w:pPr>
        <w:autoSpaceDE w:val="0"/>
        <w:autoSpaceDN w:val="0"/>
        <w:adjustRightInd w:val="0"/>
        <w:rPr>
          <w:rFonts w:asciiTheme="minorHAnsi" w:eastAsiaTheme="majorEastAsia" w:hAnsiTheme="minorHAnsi" w:cstheme="minorHAnsi"/>
          <w:sz w:val="20"/>
          <w:lang w:val="en-US" w:eastAsia="zh-CN"/>
        </w:rPr>
      </w:pPr>
      <w:r w:rsidRPr="00BB1E53">
        <w:rPr>
          <w:rFonts w:asciiTheme="minorHAnsi" w:eastAsiaTheme="majorEastAsia" w:hAnsiTheme="minorHAnsi" w:cstheme="minorHAnsi"/>
          <w:sz w:val="20"/>
          <w:lang w:val="en-US" w:eastAsia="zh-CN"/>
        </w:rPr>
        <w:t>Proposed Re</w:t>
      </w:r>
      <w:r>
        <w:rPr>
          <w:rFonts w:asciiTheme="minorHAnsi" w:eastAsiaTheme="majorEastAsia" w:hAnsiTheme="minorHAnsi" w:cstheme="minorHAnsi"/>
          <w:sz w:val="20"/>
          <w:lang w:val="en-US" w:eastAsia="zh-CN"/>
        </w:rPr>
        <w:t>solution: Accepted</w:t>
      </w:r>
    </w:p>
    <w:p w14:paraId="205D5D4C"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38D0F657" w14:textId="77777777" w:rsidR="0040755F" w:rsidRPr="00116388" w:rsidRDefault="0040755F" w:rsidP="00BB1E53">
      <w:pPr>
        <w:autoSpaceDE w:val="0"/>
        <w:autoSpaceDN w:val="0"/>
        <w:adjustRightInd w:val="0"/>
        <w:rPr>
          <w:rFonts w:asciiTheme="minorHAnsi" w:eastAsiaTheme="majorEastAsia" w:hAnsiTheme="minorHAnsi" w:cstheme="minorHAnsi"/>
          <w:b/>
          <w:sz w:val="20"/>
          <w:lang w:val="en-US" w:eastAsia="zh-CN"/>
        </w:rPr>
      </w:pPr>
      <w:r w:rsidRPr="00116388">
        <w:rPr>
          <w:rFonts w:asciiTheme="minorHAnsi" w:eastAsiaTheme="majorEastAsia" w:hAnsiTheme="minorHAnsi" w:cstheme="minorHAnsi"/>
          <w:b/>
          <w:sz w:val="20"/>
          <w:lang w:val="en-US" w:eastAsia="zh-CN"/>
        </w:rPr>
        <w:t xml:space="preserve">CID </w:t>
      </w:r>
      <w:r w:rsidR="00116388" w:rsidRPr="00116388">
        <w:rPr>
          <w:rFonts w:asciiTheme="minorHAnsi" w:eastAsiaTheme="majorEastAsia" w:hAnsiTheme="minorHAnsi" w:cstheme="minorHAnsi"/>
          <w:b/>
          <w:sz w:val="20"/>
          <w:lang w:val="en-US" w:eastAsia="zh-CN"/>
        </w:rPr>
        <w:t>25044</w:t>
      </w:r>
    </w:p>
    <w:p w14:paraId="43873741"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355F95AD"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table:</w:t>
      </w:r>
    </w:p>
    <w:p w14:paraId="2EFDD841"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20"/>
      </w:tblGrid>
      <w:tr w:rsidR="0040755F" w14:paraId="3EE33096" w14:textId="77777777" w:rsidTr="002932E0">
        <w:trPr>
          <w:jc w:val="center"/>
        </w:trPr>
        <w:tc>
          <w:tcPr>
            <w:tcW w:w="3720" w:type="dxa"/>
            <w:tcBorders>
              <w:top w:val="nil"/>
              <w:left w:val="nil"/>
              <w:bottom w:val="nil"/>
              <w:right w:val="nil"/>
            </w:tcBorders>
            <w:tcMar>
              <w:top w:w="120" w:type="dxa"/>
              <w:left w:w="120" w:type="dxa"/>
              <w:bottom w:w="60" w:type="dxa"/>
              <w:right w:w="120" w:type="dxa"/>
            </w:tcMar>
            <w:vAlign w:val="center"/>
          </w:tcPr>
          <w:p w14:paraId="5B5DF740" w14:textId="77777777" w:rsidR="0040755F" w:rsidRDefault="0040755F" w:rsidP="0040755F">
            <w:pPr>
              <w:pStyle w:val="TableTitle"/>
              <w:numPr>
                <w:ilvl w:val="0"/>
                <w:numId w:val="1"/>
              </w:numPr>
            </w:pPr>
            <w:bookmarkStart w:id="0" w:name="RTF39303635323a205461626c65"/>
            <w:r>
              <w:rPr>
                <w:w w:val="100"/>
              </w:rPr>
              <w:t>Modulation classes eligible for TXOP termination</w:t>
            </w:r>
            <w:bookmarkEnd w:id="0"/>
          </w:p>
        </w:tc>
      </w:tr>
      <w:tr w:rsidR="0040755F" w14:paraId="1E68F760" w14:textId="77777777" w:rsidTr="002932E0">
        <w:trPr>
          <w:trHeight w:val="640"/>
          <w:jc w:val="center"/>
        </w:trPr>
        <w:tc>
          <w:tcPr>
            <w:tcW w:w="3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CBB845" w14:textId="77777777" w:rsidR="0040755F" w:rsidRDefault="0040755F" w:rsidP="002932E0">
            <w:pPr>
              <w:pStyle w:val="CellHeading"/>
            </w:pPr>
            <w:r>
              <w:rPr>
                <w:w w:val="100"/>
              </w:rPr>
              <w:t>Modulation classes eligible for TXOP termination (see Table 10-9)</w:t>
            </w:r>
          </w:p>
        </w:tc>
      </w:tr>
      <w:tr w:rsidR="0040755F" w14:paraId="229B089E" w14:textId="77777777" w:rsidTr="002932E0">
        <w:trPr>
          <w:trHeight w:val="360"/>
          <w:jc w:val="center"/>
        </w:trPr>
        <w:tc>
          <w:tcPr>
            <w:tcW w:w="372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BE6DC37" w14:textId="77777777" w:rsidR="0040755F" w:rsidRDefault="0040755F" w:rsidP="002932E0">
            <w:pPr>
              <w:pStyle w:val="CellBody"/>
              <w:jc w:val="center"/>
            </w:pPr>
            <w:r w:rsidRPr="0040755F">
              <w:rPr>
                <w:w w:val="100"/>
                <w:highlight w:val="yellow"/>
              </w:rPr>
              <w:t>HE</w:t>
            </w:r>
          </w:p>
        </w:tc>
      </w:tr>
    </w:tbl>
    <w:p w14:paraId="30A658AF"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78A50FC2" w14:textId="77777777" w:rsidR="0040755F" w:rsidRDefault="00116388"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Proposed Resolution: Accepted?</w:t>
      </w:r>
    </w:p>
    <w:p w14:paraId="6F5A6BAD" w14:textId="77777777" w:rsidR="00116388" w:rsidRDefault="00116388" w:rsidP="00BB1E53">
      <w:pPr>
        <w:autoSpaceDE w:val="0"/>
        <w:autoSpaceDN w:val="0"/>
        <w:adjustRightInd w:val="0"/>
        <w:rPr>
          <w:rFonts w:asciiTheme="minorHAnsi" w:eastAsiaTheme="majorEastAsia" w:hAnsiTheme="minorHAnsi" w:cstheme="minorHAnsi"/>
          <w:sz w:val="20"/>
          <w:lang w:val="en-US" w:eastAsia="zh-CN"/>
        </w:rPr>
      </w:pPr>
    </w:p>
    <w:p w14:paraId="7AE1C2C1" w14:textId="77777777" w:rsidR="00116388" w:rsidRPr="001718A4" w:rsidRDefault="00116388" w:rsidP="00BB1E53">
      <w:pPr>
        <w:autoSpaceDE w:val="0"/>
        <w:autoSpaceDN w:val="0"/>
        <w:adjustRightInd w:val="0"/>
        <w:rPr>
          <w:rFonts w:asciiTheme="minorHAnsi" w:eastAsiaTheme="majorEastAsia" w:hAnsiTheme="minorHAnsi" w:cstheme="minorHAnsi"/>
          <w:b/>
          <w:sz w:val="20"/>
          <w:lang w:val="en-US" w:eastAsia="zh-CN"/>
        </w:rPr>
      </w:pPr>
      <w:r w:rsidRPr="001718A4">
        <w:rPr>
          <w:rFonts w:asciiTheme="minorHAnsi" w:eastAsiaTheme="majorEastAsia" w:hAnsiTheme="minorHAnsi" w:cstheme="minorHAnsi"/>
          <w:b/>
          <w:sz w:val="20"/>
          <w:lang w:val="en-US" w:eastAsia="zh-CN"/>
        </w:rPr>
        <w:t>CID 25064</w:t>
      </w:r>
    </w:p>
    <w:p w14:paraId="41F97082"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195DF196" w14:textId="77777777" w:rsidR="0040755F" w:rsidRDefault="00116388"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note:</w:t>
      </w:r>
    </w:p>
    <w:p w14:paraId="4409D079" w14:textId="77777777" w:rsidR="00116388" w:rsidRDefault="00116388" w:rsidP="00BB1E53">
      <w:pPr>
        <w:autoSpaceDE w:val="0"/>
        <w:autoSpaceDN w:val="0"/>
        <w:adjustRightInd w:val="0"/>
        <w:rPr>
          <w:rFonts w:asciiTheme="minorHAnsi" w:eastAsiaTheme="majorEastAsia" w:hAnsiTheme="minorHAnsi" w:cstheme="minorHAnsi"/>
          <w:sz w:val="20"/>
          <w:lang w:val="en-US" w:eastAsia="zh-CN"/>
        </w:rPr>
      </w:pPr>
    </w:p>
    <w:p w14:paraId="478F88A6" w14:textId="77777777" w:rsidR="00116388" w:rsidRDefault="00116388" w:rsidP="00116388">
      <w:pPr>
        <w:autoSpaceDE w:val="0"/>
        <w:autoSpaceDN w:val="0"/>
        <w:adjustRightInd w:val="0"/>
        <w:rPr>
          <w:rFonts w:asciiTheme="minorHAnsi" w:eastAsia="TimesNewRomanPSMT" w:hAnsiTheme="minorHAnsi" w:cstheme="minorHAnsi"/>
          <w:sz w:val="20"/>
          <w:lang w:val="en-US" w:eastAsia="zh-CN"/>
        </w:rPr>
      </w:pPr>
      <w:r w:rsidRPr="00116388">
        <w:rPr>
          <w:rFonts w:asciiTheme="minorHAnsi" w:eastAsia="TimesNewRomanPSMT" w:hAnsiTheme="minorHAnsi" w:cstheme="minorHAnsi"/>
          <w:sz w:val="20"/>
          <w:lang w:val="en-US" w:eastAsia="zh-CN"/>
        </w:rPr>
        <w:t xml:space="preserve">NOTE—An HT STA that does not support +HTC </w:t>
      </w:r>
      <w:r w:rsidRPr="00116388">
        <w:rPr>
          <w:rFonts w:asciiTheme="minorHAnsi" w:eastAsia="TimesNewRomanPSMT" w:hAnsiTheme="minorHAnsi" w:cstheme="minorHAnsi"/>
          <w:sz w:val="20"/>
          <w:highlight w:val="yellow"/>
          <w:lang w:val="en-US" w:eastAsia="zh-CN"/>
        </w:rPr>
        <w:t>(HT or VHT variant)</w:t>
      </w:r>
      <w:r w:rsidRPr="00116388">
        <w:rPr>
          <w:rFonts w:asciiTheme="minorHAnsi" w:eastAsia="TimesNewRomanPSMT" w:hAnsiTheme="minorHAnsi" w:cstheme="minorHAnsi"/>
          <w:sz w:val="20"/>
          <w:lang w:val="en-US" w:eastAsia="zh-CN"/>
        </w:rPr>
        <w:t xml:space="preserve"> that receives a </w:t>
      </w:r>
      <w:r>
        <w:rPr>
          <w:rFonts w:asciiTheme="minorHAnsi" w:eastAsia="TimesNewRomanPSMT" w:hAnsiTheme="minorHAnsi" w:cstheme="minorHAnsi"/>
          <w:sz w:val="20"/>
          <w:lang w:val="en-US" w:eastAsia="zh-CN"/>
        </w:rPr>
        <w:t xml:space="preserve">+HTC frame addressed to another </w:t>
      </w:r>
      <w:r w:rsidRPr="00116388">
        <w:rPr>
          <w:rFonts w:asciiTheme="minorHAnsi" w:eastAsia="TimesNewRomanPSMT" w:hAnsiTheme="minorHAnsi" w:cstheme="minorHAnsi"/>
          <w:sz w:val="20"/>
          <w:lang w:val="en-US" w:eastAsia="zh-CN"/>
        </w:rPr>
        <w:t xml:space="preserve">STA still performs the CRC on the actual length of the MPDU and uses the </w:t>
      </w:r>
      <w:r>
        <w:rPr>
          <w:rFonts w:asciiTheme="minorHAnsi" w:eastAsia="TimesNewRomanPSMT" w:hAnsiTheme="minorHAnsi" w:cstheme="minorHAnsi"/>
          <w:sz w:val="20"/>
          <w:lang w:val="en-US" w:eastAsia="zh-CN"/>
        </w:rPr>
        <w:t xml:space="preserve">Duration/ID field to update the </w:t>
      </w:r>
      <w:r w:rsidRPr="00116388">
        <w:rPr>
          <w:rFonts w:asciiTheme="minorHAnsi" w:eastAsia="TimesNewRomanPSMT" w:hAnsiTheme="minorHAnsi" w:cstheme="minorHAnsi"/>
          <w:sz w:val="20"/>
          <w:lang w:val="en-US" w:eastAsia="zh-CN"/>
        </w:rPr>
        <w:t>NAV, as</w:t>
      </w:r>
      <w:r>
        <w:rPr>
          <w:rFonts w:asciiTheme="minorHAnsi" w:eastAsia="TimesNewRomanPSMT" w:hAnsiTheme="minorHAnsi" w:cstheme="minorHAnsi"/>
          <w:sz w:val="20"/>
          <w:lang w:val="en-US" w:eastAsia="zh-CN"/>
        </w:rPr>
        <w:t xml:space="preserve"> </w:t>
      </w:r>
      <w:r w:rsidRPr="00116388">
        <w:rPr>
          <w:rFonts w:asciiTheme="minorHAnsi" w:eastAsia="TimesNewRomanPSMT" w:hAnsiTheme="minorHAnsi" w:cstheme="minorHAnsi"/>
          <w:sz w:val="20"/>
          <w:lang w:val="en-US" w:eastAsia="zh-CN"/>
        </w:rPr>
        <w:t>described in 10.3.2.4 (Setting and resetting the NAV).</w:t>
      </w:r>
    </w:p>
    <w:p w14:paraId="687A2836" w14:textId="77777777" w:rsidR="00264905" w:rsidRDefault="00264905" w:rsidP="00116388">
      <w:pPr>
        <w:autoSpaceDE w:val="0"/>
        <w:autoSpaceDN w:val="0"/>
        <w:adjustRightInd w:val="0"/>
        <w:rPr>
          <w:rFonts w:asciiTheme="minorHAnsi" w:eastAsia="TimesNewRomanPSMT" w:hAnsiTheme="minorHAnsi" w:cstheme="minorHAnsi"/>
          <w:sz w:val="20"/>
          <w:lang w:val="en-US" w:eastAsia="zh-CN"/>
        </w:rPr>
      </w:pPr>
    </w:p>
    <w:p w14:paraId="31658CA4" w14:textId="77777777" w:rsidR="00264905" w:rsidRDefault="00264905" w:rsidP="00116388">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Proposed Resolution: Discuss</w:t>
      </w:r>
    </w:p>
    <w:p w14:paraId="1FD12E12" w14:textId="77777777" w:rsidR="00103E13" w:rsidRDefault="00103E13" w:rsidP="00116388">
      <w:pPr>
        <w:autoSpaceDE w:val="0"/>
        <w:autoSpaceDN w:val="0"/>
        <w:adjustRightInd w:val="0"/>
        <w:rPr>
          <w:rFonts w:asciiTheme="minorHAnsi" w:eastAsia="TimesNewRomanPSMT" w:hAnsiTheme="minorHAnsi" w:cstheme="minorHAnsi"/>
          <w:sz w:val="20"/>
          <w:lang w:val="en-US" w:eastAsia="zh-CN"/>
        </w:rPr>
      </w:pPr>
    </w:p>
    <w:p w14:paraId="36E12EBF" w14:textId="77777777" w:rsidR="00103E13" w:rsidRPr="007E1D24" w:rsidRDefault="00103E13" w:rsidP="00116388">
      <w:pPr>
        <w:autoSpaceDE w:val="0"/>
        <w:autoSpaceDN w:val="0"/>
        <w:adjustRightInd w:val="0"/>
        <w:rPr>
          <w:rFonts w:asciiTheme="minorHAnsi" w:eastAsia="TimesNewRomanPSMT" w:hAnsiTheme="minorHAnsi" w:cstheme="minorHAnsi"/>
          <w:b/>
          <w:strike/>
          <w:sz w:val="20"/>
          <w:lang w:val="en-US" w:eastAsia="zh-CN"/>
        </w:rPr>
      </w:pPr>
      <w:r w:rsidRPr="007E1D24">
        <w:rPr>
          <w:rFonts w:asciiTheme="minorHAnsi" w:eastAsia="TimesNewRomanPSMT" w:hAnsiTheme="minorHAnsi" w:cstheme="minorHAnsi"/>
          <w:b/>
          <w:strike/>
          <w:sz w:val="20"/>
          <w:lang w:val="en-US" w:eastAsia="zh-CN"/>
        </w:rPr>
        <w:t>CID 25076</w:t>
      </w:r>
    </w:p>
    <w:p w14:paraId="77CB36CA" w14:textId="77777777" w:rsidR="00103E13" w:rsidRPr="007E1D24" w:rsidRDefault="00103E13" w:rsidP="00116388">
      <w:pPr>
        <w:autoSpaceDE w:val="0"/>
        <w:autoSpaceDN w:val="0"/>
        <w:adjustRightInd w:val="0"/>
        <w:rPr>
          <w:rFonts w:asciiTheme="minorHAnsi" w:eastAsia="TimesNewRomanPSMT" w:hAnsiTheme="minorHAnsi" w:cstheme="minorHAnsi"/>
          <w:strike/>
          <w:sz w:val="20"/>
          <w:lang w:val="en-US" w:eastAsia="zh-CN"/>
        </w:rPr>
      </w:pPr>
    </w:p>
    <w:p w14:paraId="4A01E8AE" w14:textId="77777777" w:rsidR="00103E13" w:rsidRPr="007E1D24" w:rsidRDefault="00103E13" w:rsidP="00116388">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lang w:val="en-US" w:eastAsia="zh-CN"/>
        </w:rPr>
        <w:t>The CID refers to the text:</w:t>
      </w:r>
    </w:p>
    <w:p w14:paraId="46483A72" w14:textId="77777777" w:rsidR="00103E13" w:rsidRPr="007E1D24" w:rsidRDefault="00103E13" w:rsidP="00116388">
      <w:pPr>
        <w:autoSpaceDE w:val="0"/>
        <w:autoSpaceDN w:val="0"/>
        <w:adjustRightInd w:val="0"/>
        <w:rPr>
          <w:rFonts w:asciiTheme="minorHAnsi" w:eastAsia="TimesNewRomanPSMT" w:hAnsiTheme="minorHAnsi" w:cstheme="minorHAnsi"/>
          <w:strike/>
          <w:sz w:val="20"/>
          <w:lang w:val="en-US" w:eastAsia="zh-CN"/>
        </w:rPr>
      </w:pPr>
    </w:p>
    <w:p w14:paraId="5BF6FC15" w14:textId="77777777" w:rsidR="00103E13" w:rsidRPr="007E1D24" w:rsidRDefault="00103E13" w:rsidP="00103E13">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highlight w:val="yellow"/>
          <w:lang w:val="en-US" w:eastAsia="zh-CN"/>
        </w:rPr>
        <w:t>In a non-HE MU PPDU</w:t>
      </w:r>
      <w:r w:rsidRPr="007E1D24">
        <w:rPr>
          <w:rFonts w:asciiTheme="minorHAnsi" w:eastAsia="TimesNewRomanPSMT" w:hAnsiTheme="minorHAnsi" w:cstheme="minorHAnsi"/>
          <w:strike/>
          <w:sz w:val="20"/>
          <w:lang w:val="en-US" w:eastAsia="zh-CN"/>
        </w:rPr>
        <w:t xml:space="preserve">, </w:t>
      </w:r>
      <w:proofErr w:type="spellStart"/>
      <w:r w:rsidRPr="007E1D24">
        <w:rPr>
          <w:rFonts w:asciiTheme="minorHAnsi" w:eastAsia="TimesNewRomanPSMT" w:hAnsiTheme="minorHAnsi" w:cstheme="minorHAnsi"/>
          <w:strike/>
          <w:sz w:val="20"/>
          <w:lang w:val="en-US" w:eastAsia="zh-CN"/>
        </w:rPr>
        <w:t>Fframes</w:t>
      </w:r>
      <w:proofErr w:type="spellEnd"/>
      <w:r w:rsidRPr="007E1D24">
        <w:rPr>
          <w:rFonts w:asciiTheme="minorHAnsi" w:eastAsia="TimesNewRomanPSMT" w:hAnsiTheme="minorHAnsi" w:cstheme="minorHAnsi"/>
          <w:strike/>
          <w:sz w:val="20"/>
          <w:lang w:val="en-US" w:eastAsia="zh-CN"/>
        </w:rPr>
        <w:t xml:space="preserve"> from the primary AC shall be transmitted first. The inclusion of secondary AC traffic in an HE MU PPDU is described in 10.23.2.8(Multiple frame transmission in an EDCA TXOP). Secondary AC traffic shall not be included in an HE MU PPDU if it would cause the TXOP limit of the primary AC to be exceeded.</w:t>
      </w:r>
    </w:p>
    <w:p w14:paraId="2D319536" w14:textId="77777777" w:rsidR="00BB1E53" w:rsidRPr="007E1D24" w:rsidRDefault="00BB1E53" w:rsidP="00BB1E53">
      <w:pPr>
        <w:autoSpaceDE w:val="0"/>
        <w:autoSpaceDN w:val="0"/>
        <w:adjustRightInd w:val="0"/>
        <w:rPr>
          <w:rFonts w:asciiTheme="minorHAnsi" w:eastAsiaTheme="majorEastAsia" w:hAnsiTheme="minorHAnsi" w:cstheme="minorHAnsi"/>
          <w:strike/>
          <w:sz w:val="20"/>
          <w:lang w:val="en-US" w:eastAsia="zh-CN"/>
        </w:rPr>
      </w:pPr>
    </w:p>
    <w:p w14:paraId="6235FB74" w14:textId="77777777" w:rsidR="00BB1E53" w:rsidRPr="007E1D24" w:rsidRDefault="005A5EB7" w:rsidP="00BB1E53">
      <w:pPr>
        <w:autoSpaceDE w:val="0"/>
        <w:autoSpaceDN w:val="0"/>
        <w:adjustRightInd w:val="0"/>
        <w:rPr>
          <w:rFonts w:asciiTheme="minorHAnsi" w:eastAsiaTheme="majorEastAsia" w:hAnsiTheme="minorHAnsi" w:cstheme="minorHAnsi"/>
          <w:b/>
          <w:strike/>
          <w:sz w:val="20"/>
          <w:lang w:val="en-US" w:eastAsia="zh-CN"/>
        </w:rPr>
      </w:pPr>
      <w:r w:rsidRPr="007E1D24">
        <w:rPr>
          <w:rFonts w:asciiTheme="minorHAnsi" w:eastAsiaTheme="majorEastAsia" w:hAnsiTheme="minorHAnsi" w:cstheme="minorHAnsi"/>
          <w:b/>
          <w:strike/>
          <w:sz w:val="20"/>
          <w:lang w:val="en-US" w:eastAsia="zh-CN"/>
        </w:rPr>
        <w:t>CID 25077</w:t>
      </w:r>
    </w:p>
    <w:p w14:paraId="4BFC6BE1" w14:textId="77777777" w:rsidR="005A5EB7" w:rsidRPr="007E1D24" w:rsidRDefault="005A5EB7" w:rsidP="00BB1E53">
      <w:pPr>
        <w:autoSpaceDE w:val="0"/>
        <w:autoSpaceDN w:val="0"/>
        <w:adjustRightInd w:val="0"/>
        <w:rPr>
          <w:rFonts w:asciiTheme="minorHAnsi" w:eastAsiaTheme="majorEastAsia" w:hAnsiTheme="minorHAnsi" w:cstheme="minorHAnsi"/>
          <w:strike/>
          <w:sz w:val="20"/>
          <w:lang w:val="en-US" w:eastAsia="zh-CN"/>
        </w:rPr>
      </w:pPr>
    </w:p>
    <w:p w14:paraId="2DC36F4E" w14:textId="77777777" w:rsidR="005A5EB7" w:rsidRPr="007E1D24" w:rsidRDefault="005A5EB7" w:rsidP="00BB1E53">
      <w:pPr>
        <w:autoSpaceDE w:val="0"/>
        <w:autoSpaceDN w:val="0"/>
        <w:adjustRightInd w:val="0"/>
        <w:rPr>
          <w:rFonts w:asciiTheme="minorHAnsi" w:eastAsiaTheme="majorEastAsia" w:hAnsiTheme="minorHAnsi" w:cstheme="minorHAnsi"/>
          <w:strike/>
          <w:sz w:val="20"/>
          <w:lang w:val="en-US" w:eastAsia="zh-CN"/>
        </w:rPr>
      </w:pPr>
      <w:r w:rsidRPr="007E1D24">
        <w:rPr>
          <w:rFonts w:asciiTheme="minorHAnsi" w:eastAsiaTheme="majorEastAsia" w:hAnsiTheme="minorHAnsi" w:cstheme="minorHAnsi"/>
          <w:strike/>
          <w:sz w:val="20"/>
          <w:lang w:val="en-US" w:eastAsia="zh-CN"/>
        </w:rPr>
        <w:t>The CID refers to the text:</w:t>
      </w:r>
    </w:p>
    <w:p w14:paraId="3D91D1A3" w14:textId="77777777" w:rsidR="005A5EB7" w:rsidRPr="007E1D24" w:rsidRDefault="005A5EB7" w:rsidP="00BB1E53">
      <w:pPr>
        <w:autoSpaceDE w:val="0"/>
        <w:autoSpaceDN w:val="0"/>
        <w:adjustRightInd w:val="0"/>
        <w:rPr>
          <w:rFonts w:asciiTheme="minorHAnsi" w:eastAsiaTheme="majorEastAsia" w:hAnsiTheme="minorHAnsi" w:cstheme="minorHAnsi"/>
          <w:strike/>
          <w:sz w:val="20"/>
          <w:lang w:val="en-US" w:eastAsia="zh-CN"/>
        </w:rPr>
      </w:pPr>
    </w:p>
    <w:p w14:paraId="1E242CF0" w14:textId="77777777" w:rsidR="005A5EB7" w:rsidRPr="007E1D24" w:rsidRDefault="005A5EB7" w:rsidP="005A5EB7">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lang w:val="en-US" w:eastAsia="zh-CN"/>
        </w:rPr>
        <w:t>When an AP supports DL-MU-MIMO MU PPDUs, frames from a higher or lower priority AC may</w:t>
      </w:r>
    </w:p>
    <w:p w14:paraId="6CDCBB0B" w14:textId="77777777" w:rsidR="005A5EB7" w:rsidRPr="007E1D24" w:rsidRDefault="005A5EB7" w:rsidP="005A5EB7">
      <w:pPr>
        <w:autoSpaceDE w:val="0"/>
        <w:autoSpaceDN w:val="0"/>
        <w:adjustRightInd w:val="0"/>
        <w:rPr>
          <w:rFonts w:asciiTheme="minorHAnsi" w:eastAsia="TimesNewRomanPSMT" w:hAnsiTheme="minorHAnsi" w:cstheme="minorHAnsi"/>
          <w:strike/>
          <w:sz w:val="20"/>
          <w:highlight w:val="yellow"/>
          <w:lang w:val="en-US" w:eastAsia="zh-CN"/>
        </w:rPr>
      </w:pPr>
      <w:r w:rsidRPr="007E1D24">
        <w:rPr>
          <w:rFonts w:asciiTheme="minorHAnsi" w:eastAsia="TimesNewRomanPSMT" w:hAnsiTheme="minorHAnsi" w:cstheme="minorHAnsi"/>
          <w:strike/>
          <w:sz w:val="20"/>
          <w:lang w:val="en-US" w:eastAsia="zh-CN"/>
        </w:rPr>
        <w:t xml:space="preserve">be included in a VHT or S1G MU PPDU with the TXVECTOR parameter NUM_USERS &gt; 1 or an HE MU PPDU, when these frames do not increase the duration of the VHT or S1G beyond that required for the transmissions of the frames of the primary AC, targeting up to four STAs if it is transmitted in a VHT MU PPDU. In a non-HE MU PPDU, </w:t>
      </w:r>
      <w:proofErr w:type="spellStart"/>
      <w:r w:rsidRPr="007E1D24">
        <w:rPr>
          <w:rFonts w:asciiTheme="minorHAnsi" w:eastAsia="TimesNewRomanPSMT" w:hAnsiTheme="minorHAnsi" w:cstheme="minorHAnsi"/>
          <w:strike/>
          <w:sz w:val="20"/>
          <w:lang w:val="en-US" w:eastAsia="zh-CN"/>
        </w:rPr>
        <w:t>Fframes</w:t>
      </w:r>
      <w:proofErr w:type="spellEnd"/>
      <w:r w:rsidRPr="007E1D24">
        <w:rPr>
          <w:rFonts w:asciiTheme="minorHAnsi" w:eastAsia="TimesNewRomanPSMT" w:hAnsiTheme="minorHAnsi" w:cstheme="minorHAnsi"/>
          <w:strike/>
          <w:sz w:val="20"/>
          <w:lang w:val="en-US" w:eastAsia="zh-CN"/>
        </w:rPr>
        <w:t xml:space="preserve"> from the primary AC shall be transmitted first. The inclusion of secondary AC traffic in an HE MU PPDU is</w:t>
      </w:r>
      <w:r w:rsidRPr="005A5EB7">
        <w:rPr>
          <w:rFonts w:asciiTheme="minorHAnsi" w:eastAsia="TimesNewRomanPSMT" w:hAnsiTheme="minorHAnsi" w:cstheme="minorHAnsi"/>
          <w:sz w:val="20"/>
          <w:lang w:val="en-US" w:eastAsia="zh-CN"/>
        </w:rPr>
        <w:t xml:space="preserve"> </w:t>
      </w:r>
      <w:r w:rsidRPr="007E1D24">
        <w:rPr>
          <w:rFonts w:asciiTheme="minorHAnsi" w:eastAsia="TimesNewRomanPSMT" w:hAnsiTheme="minorHAnsi" w:cstheme="minorHAnsi"/>
          <w:strike/>
          <w:sz w:val="20"/>
          <w:lang w:val="en-US" w:eastAsia="zh-CN"/>
        </w:rPr>
        <w:lastRenderedPageBreak/>
        <w:t xml:space="preserve">described in 10.23.2.8 (Multiple frame transmission in an EDCA TXOP). </w:t>
      </w:r>
      <w:r w:rsidRPr="007E1D24">
        <w:rPr>
          <w:rFonts w:asciiTheme="minorHAnsi" w:eastAsia="TimesNewRomanPSMT" w:hAnsiTheme="minorHAnsi" w:cstheme="minorHAnsi"/>
          <w:strike/>
          <w:sz w:val="20"/>
          <w:highlight w:val="yellow"/>
          <w:lang w:val="en-US" w:eastAsia="zh-CN"/>
        </w:rPr>
        <w:t>Secondary AC traffic shall not be included in an HE MU PPDU if it would cause the TXOP limit of the primary AC to be exceeded.</w:t>
      </w:r>
    </w:p>
    <w:p w14:paraId="6B007640" w14:textId="77777777" w:rsidR="005A5EB7" w:rsidRPr="007E1D24" w:rsidRDefault="005A5EB7" w:rsidP="005A5EB7">
      <w:pPr>
        <w:autoSpaceDE w:val="0"/>
        <w:autoSpaceDN w:val="0"/>
        <w:adjustRightInd w:val="0"/>
        <w:rPr>
          <w:rFonts w:asciiTheme="minorHAnsi" w:eastAsia="TimesNewRomanPSMT" w:hAnsiTheme="minorHAnsi" w:cstheme="minorHAnsi"/>
          <w:strike/>
          <w:sz w:val="20"/>
          <w:highlight w:val="yellow"/>
          <w:lang w:val="en-US" w:eastAsia="zh-CN"/>
        </w:rPr>
      </w:pPr>
    </w:p>
    <w:p w14:paraId="0BC56CC4" w14:textId="77777777" w:rsidR="005A5EB7" w:rsidRPr="007E1D24" w:rsidRDefault="005A5EB7" w:rsidP="005A5EB7">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highlight w:val="yellow"/>
          <w:lang w:val="en-US" w:eastAsia="zh-CN"/>
        </w:rPr>
        <w:t>When sharing, the TXOP limit that applies is the TXOP limit of the primary AC</w:t>
      </w:r>
      <w:r w:rsidRPr="007E1D24">
        <w:rPr>
          <w:rFonts w:asciiTheme="minorHAnsi" w:eastAsia="TimesNewRomanPSMT" w:hAnsiTheme="minorHAnsi" w:cstheme="minorHAnsi"/>
          <w:strike/>
          <w:sz w:val="20"/>
          <w:lang w:val="en-US" w:eastAsia="zh-CN"/>
        </w:rPr>
        <w:t>.</w:t>
      </w:r>
    </w:p>
    <w:p w14:paraId="2FEA43E4" w14:textId="77777777" w:rsidR="005A5EB7" w:rsidRPr="007E1D24" w:rsidRDefault="005A5EB7" w:rsidP="005A5EB7">
      <w:pPr>
        <w:autoSpaceDE w:val="0"/>
        <w:autoSpaceDN w:val="0"/>
        <w:adjustRightInd w:val="0"/>
        <w:rPr>
          <w:rFonts w:asciiTheme="minorHAnsi" w:eastAsia="TimesNewRomanPSMT" w:hAnsiTheme="minorHAnsi" w:cstheme="minorHAnsi"/>
          <w:strike/>
          <w:sz w:val="20"/>
          <w:lang w:val="en-US" w:eastAsia="zh-CN"/>
        </w:rPr>
      </w:pPr>
    </w:p>
    <w:p w14:paraId="493B4D81" w14:textId="591E1961" w:rsidR="005A5EB7" w:rsidRPr="007E1D24" w:rsidRDefault="005A5EB7" w:rsidP="005A5EB7">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lang w:val="en-US" w:eastAsia="zh-CN"/>
        </w:rPr>
        <w:t xml:space="preserve">Proposed Resolution: </w:t>
      </w:r>
      <w:r w:rsidR="00F63A88" w:rsidRPr="007E1D24">
        <w:rPr>
          <w:rFonts w:asciiTheme="minorHAnsi" w:eastAsia="TimesNewRomanPSMT" w:hAnsiTheme="minorHAnsi" w:cstheme="minorHAnsi"/>
          <w:strike/>
          <w:sz w:val="20"/>
          <w:lang w:val="en-US" w:eastAsia="zh-CN"/>
        </w:rPr>
        <w:t>Accepted</w:t>
      </w:r>
    </w:p>
    <w:p w14:paraId="79B597CC" w14:textId="77777777" w:rsidR="00462AC5" w:rsidRPr="007E1D24" w:rsidRDefault="00462AC5" w:rsidP="005A5EB7">
      <w:pPr>
        <w:autoSpaceDE w:val="0"/>
        <w:autoSpaceDN w:val="0"/>
        <w:adjustRightInd w:val="0"/>
        <w:rPr>
          <w:rFonts w:asciiTheme="minorHAnsi" w:eastAsia="TimesNewRomanPSMT" w:hAnsiTheme="minorHAnsi" w:cstheme="minorHAnsi"/>
          <w:strike/>
          <w:sz w:val="20"/>
          <w:lang w:val="en-US" w:eastAsia="zh-CN"/>
        </w:rPr>
      </w:pPr>
    </w:p>
    <w:p w14:paraId="468D679F" w14:textId="77777777" w:rsidR="00462AC5" w:rsidRPr="007E1D24" w:rsidRDefault="00462AC5" w:rsidP="005A5EB7">
      <w:pPr>
        <w:autoSpaceDE w:val="0"/>
        <w:autoSpaceDN w:val="0"/>
        <w:adjustRightInd w:val="0"/>
        <w:rPr>
          <w:rFonts w:asciiTheme="minorHAnsi" w:eastAsia="TimesNewRomanPSMT" w:hAnsiTheme="minorHAnsi" w:cstheme="minorHAnsi"/>
          <w:b/>
          <w:strike/>
          <w:sz w:val="20"/>
          <w:lang w:val="en-US" w:eastAsia="zh-CN"/>
        </w:rPr>
      </w:pPr>
      <w:r w:rsidRPr="007E1D24">
        <w:rPr>
          <w:rFonts w:asciiTheme="minorHAnsi" w:eastAsia="TimesNewRomanPSMT" w:hAnsiTheme="minorHAnsi" w:cstheme="minorHAnsi"/>
          <w:b/>
          <w:strike/>
          <w:sz w:val="20"/>
          <w:lang w:val="en-US" w:eastAsia="zh-CN"/>
        </w:rPr>
        <w:t>CID</w:t>
      </w:r>
      <w:r w:rsidR="00103E13" w:rsidRPr="007E1D24">
        <w:rPr>
          <w:rFonts w:asciiTheme="minorHAnsi" w:eastAsia="TimesNewRomanPSMT" w:hAnsiTheme="minorHAnsi" w:cstheme="minorHAnsi"/>
          <w:b/>
          <w:strike/>
          <w:sz w:val="20"/>
          <w:lang w:val="en-US" w:eastAsia="zh-CN"/>
        </w:rPr>
        <w:t xml:space="preserve"> 25078</w:t>
      </w:r>
    </w:p>
    <w:p w14:paraId="39CD0891" w14:textId="77777777" w:rsidR="00103E13" w:rsidRPr="007E1D24" w:rsidRDefault="00103E13" w:rsidP="005A5EB7">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lang w:val="en-US" w:eastAsia="zh-CN"/>
        </w:rPr>
        <w:t xml:space="preserve">The CID </w:t>
      </w:r>
      <w:proofErr w:type="spellStart"/>
      <w:r w:rsidRPr="007E1D24">
        <w:rPr>
          <w:rFonts w:asciiTheme="minorHAnsi" w:eastAsia="TimesNewRomanPSMT" w:hAnsiTheme="minorHAnsi" w:cstheme="minorHAnsi"/>
          <w:strike/>
          <w:sz w:val="20"/>
          <w:lang w:val="en-US" w:eastAsia="zh-CN"/>
        </w:rPr>
        <w:t>referes</w:t>
      </w:r>
      <w:proofErr w:type="spellEnd"/>
      <w:r w:rsidRPr="007E1D24">
        <w:rPr>
          <w:rFonts w:asciiTheme="minorHAnsi" w:eastAsia="TimesNewRomanPSMT" w:hAnsiTheme="minorHAnsi" w:cstheme="minorHAnsi"/>
          <w:strike/>
          <w:sz w:val="20"/>
          <w:lang w:val="en-US" w:eastAsia="zh-CN"/>
        </w:rPr>
        <w:t xml:space="preserve"> to the text:</w:t>
      </w:r>
    </w:p>
    <w:p w14:paraId="09CE794C" w14:textId="77777777" w:rsidR="00103E13" w:rsidRPr="007E1D24" w:rsidRDefault="00103E13" w:rsidP="005A5EB7">
      <w:pPr>
        <w:autoSpaceDE w:val="0"/>
        <w:autoSpaceDN w:val="0"/>
        <w:adjustRightInd w:val="0"/>
        <w:rPr>
          <w:rFonts w:asciiTheme="minorHAnsi" w:eastAsia="TimesNewRomanPSMT" w:hAnsiTheme="minorHAnsi" w:cstheme="minorHAnsi"/>
          <w:strike/>
          <w:sz w:val="20"/>
          <w:lang w:val="en-US" w:eastAsia="zh-CN"/>
        </w:rPr>
      </w:pPr>
    </w:p>
    <w:p w14:paraId="51100B2F" w14:textId="77777777" w:rsidR="00103E13" w:rsidRPr="007E1D24" w:rsidRDefault="00103E13" w:rsidP="00103E13">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lang w:val="en-US" w:eastAsia="zh-CN"/>
        </w:rPr>
        <w:t xml:space="preserve">Frames from a higher priority AC may be included when at least one frame from the primary AC has been transmitted and </w:t>
      </w:r>
      <w:r w:rsidRPr="007E1D24">
        <w:rPr>
          <w:rFonts w:asciiTheme="minorHAnsi" w:eastAsia="TimesNewRomanPSMT" w:hAnsiTheme="minorHAnsi" w:cstheme="minorHAnsi"/>
          <w:strike/>
          <w:sz w:val="20"/>
          <w:highlight w:val="yellow"/>
          <w:lang w:val="en-US" w:eastAsia="zh-CN"/>
        </w:rPr>
        <w:t>all frames from the primary AC have been transmitted and frames from the AC(s) defined in 26.6.3 (Multi-TID A-MPDU and ack-enabled single-TID A-MPDU) for HE PPDUs</w:t>
      </w:r>
      <w:r w:rsidRPr="007E1D24">
        <w:rPr>
          <w:rFonts w:asciiTheme="minorHAnsi" w:eastAsia="TimesNewRomanPSMT" w:hAnsiTheme="minorHAnsi" w:cstheme="minorHAnsi"/>
          <w:strike/>
          <w:sz w:val="20"/>
          <w:lang w:val="en-US" w:eastAsia="zh-CN"/>
        </w:rPr>
        <w:t>.</w:t>
      </w:r>
    </w:p>
    <w:p w14:paraId="6F89FB37" w14:textId="77777777" w:rsidR="00462AC5" w:rsidRPr="007E1D24" w:rsidRDefault="00462AC5" w:rsidP="005A5EB7">
      <w:pPr>
        <w:autoSpaceDE w:val="0"/>
        <w:autoSpaceDN w:val="0"/>
        <w:adjustRightInd w:val="0"/>
        <w:rPr>
          <w:rFonts w:asciiTheme="minorHAnsi" w:eastAsia="TimesNewRomanPSMT" w:hAnsiTheme="minorHAnsi" w:cstheme="minorHAnsi"/>
          <w:strike/>
          <w:sz w:val="20"/>
          <w:lang w:val="en-US" w:eastAsia="zh-CN"/>
        </w:rPr>
      </w:pPr>
    </w:p>
    <w:p w14:paraId="1B775176" w14:textId="77777777" w:rsidR="00103E13" w:rsidRPr="007E1D24" w:rsidRDefault="00103E13" w:rsidP="00462AC5">
      <w:pPr>
        <w:autoSpaceDE w:val="0"/>
        <w:autoSpaceDN w:val="0"/>
        <w:adjustRightInd w:val="0"/>
        <w:rPr>
          <w:rFonts w:asciiTheme="minorHAnsi" w:eastAsia="TimesNewRomanPSMT" w:hAnsiTheme="minorHAnsi" w:cstheme="minorHAnsi"/>
          <w:strike/>
          <w:sz w:val="20"/>
          <w:lang w:val="en-US" w:eastAsia="zh-CN"/>
        </w:rPr>
      </w:pPr>
      <w:r w:rsidRPr="007E1D24">
        <w:rPr>
          <w:rFonts w:asciiTheme="minorHAnsi" w:eastAsia="TimesNewRomanPSMT" w:hAnsiTheme="minorHAnsi" w:cstheme="minorHAnsi"/>
          <w:strike/>
          <w:sz w:val="20"/>
          <w:lang w:val="en-US" w:eastAsia="zh-CN"/>
        </w:rPr>
        <w:t>Proposed Resolution: Accepted</w:t>
      </w:r>
    </w:p>
    <w:p w14:paraId="4B7CE5AC" w14:textId="77777777" w:rsidR="00103E13" w:rsidRDefault="00103E13" w:rsidP="00462AC5">
      <w:pPr>
        <w:autoSpaceDE w:val="0"/>
        <w:autoSpaceDN w:val="0"/>
        <w:adjustRightInd w:val="0"/>
        <w:rPr>
          <w:rFonts w:asciiTheme="minorHAnsi" w:eastAsia="TimesNewRomanPSMT" w:hAnsiTheme="minorHAnsi" w:cstheme="minorHAnsi"/>
          <w:sz w:val="20"/>
          <w:lang w:val="en-US" w:eastAsia="zh-CN"/>
        </w:rPr>
      </w:pPr>
    </w:p>
    <w:p w14:paraId="1183CE1B" w14:textId="77777777" w:rsidR="00103E13" w:rsidRPr="00FF374D" w:rsidRDefault="00103E13" w:rsidP="00462AC5">
      <w:pPr>
        <w:autoSpaceDE w:val="0"/>
        <w:autoSpaceDN w:val="0"/>
        <w:adjustRightInd w:val="0"/>
        <w:rPr>
          <w:rFonts w:asciiTheme="minorHAnsi" w:eastAsia="TimesNewRomanPSMT" w:hAnsiTheme="minorHAnsi" w:cstheme="minorHAnsi"/>
          <w:b/>
          <w:sz w:val="20"/>
          <w:lang w:val="en-US" w:eastAsia="zh-CN"/>
        </w:rPr>
      </w:pPr>
      <w:r w:rsidRPr="00FF374D">
        <w:rPr>
          <w:rFonts w:asciiTheme="minorHAnsi" w:eastAsia="TimesNewRomanPSMT" w:hAnsiTheme="minorHAnsi" w:cstheme="minorHAnsi"/>
          <w:b/>
          <w:sz w:val="20"/>
          <w:lang w:val="en-US" w:eastAsia="zh-CN"/>
        </w:rPr>
        <w:t>CID 20588</w:t>
      </w:r>
    </w:p>
    <w:p w14:paraId="08869464" w14:textId="77777777" w:rsidR="00103E13" w:rsidRDefault="00103E13" w:rsidP="00462AC5">
      <w:pPr>
        <w:autoSpaceDE w:val="0"/>
        <w:autoSpaceDN w:val="0"/>
        <w:adjustRightInd w:val="0"/>
        <w:rPr>
          <w:rFonts w:asciiTheme="minorHAnsi" w:eastAsia="TimesNewRomanPSMT" w:hAnsiTheme="minorHAnsi" w:cstheme="minorHAnsi"/>
          <w:sz w:val="20"/>
          <w:lang w:val="en-US" w:eastAsia="zh-CN"/>
        </w:rPr>
      </w:pPr>
    </w:p>
    <w:p w14:paraId="2DF764BF" w14:textId="77777777" w:rsidR="00462AC5" w:rsidRDefault="00462AC5" w:rsidP="00462AC5">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The CID refers to the text:</w:t>
      </w:r>
    </w:p>
    <w:p w14:paraId="06E0B182" w14:textId="77777777" w:rsidR="00462AC5" w:rsidRDefault="00462AC5" w:rsidP="00462AC5">
      <w:pPr>
        <w:autoSpaceDE w:val="0"/>
        <w:autoSpaceDN w:val="0"/>
        <w:adjustRightInd w:val="0"/>
        <w:rPr>
          <w:rFonts w:asciiTheme="minorHAnsi" w:eastAsia="TimesNewRomanPSMT" w:hAnsiTheme="minorHAnsi" w:cstheme="minorHAnsi"/>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103E13" w14:paraId="3368A2C9" w14:textId="77777777" w:rsidTr="004B7AF0">
        <w:trPr>
          <w:trHeight w:val="11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66B97" w14:textId="77777777" w:rsidR="00103E13" w:rsidRDefault="00103E13" w:rsidP="004B7AF0">
            <w:pPr>
              <w:pStyle w:val="CellBody"/>
              <w:rPr>
                <w:strike/>
                <w:u w:val="thick"/>
              </w:rPr>
            </w:pPr>
            <w:r>
              <w:rPr>
                <w:w w:val="100"/>
                <w:u w:val="thick"/>
              </w:rPr>
              <w:t>BQR</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A75DF" w14:textId="77777777" w:rsidR="00103E13" w:rsidRDefault="00103E13" w:rsidP="004B7AF0">
            <w:pPr>
              <w:pStyle w:val="CellBody"/>
              <w:rPr>
                <w:strike/>
                <w:u w:val="thick"/>
              </w:rPr>
            </w:pPr>
            <w:r w:rsidRPr="00103E13">
              <w:rPr>
                <w:w w:val="100"/>
                <w:highlight w:val="yellow"/>
                <w:u w:val="thick"/>
              </w:rPr>
              <w:t>The transmitting non-AP STA follows the bandwidth query report procedure, as described in 26.5.2 (UL MU operation) and the recipient AP has set the BQR Support subfield in the HE MAC Capabilities Information field in</w:t>
            </w:r>
            <w:r w:rsidRPr="00103E13">
              <w:rPr>
                <w:vanish/>
                <w:w w:val="100"/>
                <w:highlight w:val="yellow"/>
                <w:u w:val="thick"/>
              </w:rPr>
              <w:t>(#Ed)</w:t>
            </w:r>
            <w:r w:rsidRPr="00103E13">
              <w:rPr>
                <w:w w:val="100"/>
                <w:highlight w:val="yellow"/>
                <w:u w:val="thick"/>
              </w:rPr>
              <w:t xml:space="preserve"> the HE Capabilities elements it transmits to 1.</w:t>
            </w:r>
            <w:r>
              <w:rPr>
                <w:vanish/>
                <w:w w:val="100"/>
                <w:u w:val="thick"/>
              </w:rPr>
              <w:t>(#24161)</w:t>
            </w:r>
          </w:p>
        </w:tc>
      </w:tr>
    </w:tbl>
    <w:p w14:paraId="5039CA64"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54164235" w14:textId="77777777" w:rsidR="00103E13" w:rsidRDefault="00FF374D" w:rsidP="00462AC5">
      <w:pPr>
        <w:autoSpaceDE w:val="0"/>
        <w:autoSpaceDN w:val="0"/>
        <w:adjustRightInd w:val="0"/>
        <w:rPr>
          <w:rFonts w:asciiTheme="minorHAnsi" w:eastAsia="TimesNewRomanPSMT" w:hAnsiTheme="minorHAnsi" w:cstheme="minorHAnsi"/>
          <w:sz w:val="20"/>
          <w:lang w:eastAsia="zh-CN"/>
        </w:rPr>
      </w:pPr>
      <w:r>
        <w:rPr>
          <w:rFonts w:asciiTheme="minorHAnsi" w:eastAsia="TimesNewRomanPSMT" w:hAnsiTheme="minorHAnsi" w:cstheme="minorHAnsi"/>
          <w:sz w:val="20"/>
          <w:lang w:eastAsia="zh-CN"/>
        </w:rPr>
        <w:t>Proposed Resolution: Accepted</w:t>
      </w:r>
    </w:p>
    <w:p w14:paraId="74F6C9F6"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3AAED2FC" w14:textId="77777777" w:rsidR="00FF374D" w:rsidRPr="00FF374D" w:rsidRDefault="00FF374D" w:rsidP="00462AC5">
      <w:pPr>
        <w:autoSpaceDE w:val="0"/>
        <w:autoSpaceDN w:val="0"/>
        <w:adjustRightInd w:val="0"/>
        <w:rPr>
          <w:rFonts w:asciiTheme="minorHAnsi" w:eastAsia="TimesNewRomanPSMT" w:hAnsiTheme="minorHAnsi" w:cstheme="minorHAnsi"/>
          <w:b/>
          <w:sz w:val="20"/>
          <w:lang w:eastAsia="zh-CN"/>
        </w:rPr>
      </w:pPr>
      <w:r w:rsidRPr="00FF374D">
        <w:rPr>
          <w:rFonts w:asciiTheme="minorHAnsi" w:eastAsia="TimesNewRomanPSMT" w:hAnsiTheme="minorHAnsi" w:cstheme="minorHAnsi"/>
          <w:b/>
          <w:sz w:val="20"/>
          <w:lang w:eastAsia="zh-CN"/>
        </w:rPr>
        <w:t>CID 25118</w:t>
      </w:r>
    </w:p>
    <w:p w14:paraId="5FE0E7AF"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5225121E"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r>
        <w:rPr>
          <w:rFonts w:asciiTheme="minorHAnsi" w:eastAsia="TimesNewRomanPSMT" w:hAnsiTheme="minorHAnsi" w:cstheme="minorHAnsi"/>
          <w:sz w:val="20"/>
          <w:lang w:eastAsia="zh-CN"/>
        </w:rPr>
        <w:t>The CID refers to the text</w:t>
      </w:r>
    </w:p>
    <w:p w14:paraId="7334F82A"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52215958" w14:textId="77777777" w:rsidR="00FF374D" w:rsidRDefault="00FF374D" w:rsidP="00FF374D">
      <w:pPr>
        <w:autoSpaceDE w:val="0"/>
        <w:autoSpaceDN w:val="0"/>
        <w:adjustRightInd w:val="0"/>
        <w:rPr>
          <w:rFonts w:asciiTheme="minorHAnsi" w:eastAsia="TimesNewRomanPSMT" w:hAnsiTheme="minorHAnsi" w:cstheme="minorHAnsi"/>
          <w:sz w:val="20"/>
          <w:lang w:val="en-US" w:eastAsia="zh-CN"/>
        </w:rPr>
      </w:pPr>
      <w:proofErr w:type="spellStart"/>
      <w:r>
        <w:rPr>
          <w:rFonts w:asciiTheme="minorHAnsi" w:eastAsia="TimesNewRomanPSMT" w:hAnsiTheme="minorHAnsi" w:cstheme="minorHAnsi"/>
          <w:sz w:val="20"/>
          <w:lang w:val="en-US" w:eastAsia="zh-CN"/>
        </w:rPr>
        <w:t>i</w:t>
      </w:r>
      <w:proofErr w:type="spellEnd"/>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Transmit an 80 MHz HE MU PPDU where in the preamble the o</w:t>
      </w:r>
      <w:r>
        <w:rPr>
          <w:rFonts w:asciiTheme="minorHAnsi" w:eastAsia="TimesNewRomanPSMT" w:hAnsiTheme="minorHAnsi" w:cstheme="minorHAnsi"/>
          <w:sz w:val="20"/>
          <w:lang w:val="en-US" w:eastAsia="zh-CN"/>
        </w:rPr>
        <w:t xml:space="preserve">nly punctured subchannel is the </w:t>
      </w:r>
      <w:r w:rsidRPr="00FF374D">
        <w:rPr>
          <w:rFonts w:asciiTheme="minorHAnsi" w:eastAsia="TimesNewRomanPSMT" w:hAnsiTheme="minorHAnsi" w:cstheme="minorHAnsi"/>
          <w:sz w:val="20"/>
          <w:lang w:val="en-US" w:eastAsia="zh-CN"/>
        </w:rPr>
        <w:t>secondary 20 MHz channel</w:t>
      </w:r>
      <w:r w:rsidRPr="00FF374D">
        <w:rPr>
          <w:rFonts w:asciiTheme="minorHAnsi" w:eastAsia="TimesNewRomanPSMT" w:hAnsiTheme="minorHAnsi" w:cstheme="minorHAnsi"/>
          <w:sz w:val="20"/>
          <w:highlight w:val="yellow"/>
          <w:lang w:val="en-US" w:eastAsia="zh-CN"/>
        </w:rPr>
        <w:t>, if all of the 20 MHz subchannels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w:t>
      </w:r>
    </w:p>
    <w:p w14:paraId="646D68FF"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p>
    <w:p w14:paraId="5461EB48"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j) Transmit an 80 MHz HE MU PPDU where in the preamble the only</w:t>
      </w:r>
      <w:r>
        <w:rPr>
          <w:rFonts w:asciiTheme="minorHAnsi" w:eastAsia="TimesNewRomanPSMT" w:hAnsiTheme="minorHAnsi" w:cstheme="minorHAnsi"/>
          <w:sz w:val="20"/>
          <w:lang w:val="en-US" w:eastAsia="zh-CN"/>
        </w:rPr>
        <w:t xml:space="preserve"> punctured subchannel is one of </w:t>
      </w:r>
      <w:r w:rsidRPr="00FF374D">
        <w:rPr>
          <w:rFonts w:asciiTheme="minorHAnsi" w:eastAsia="TimesNewRomanPSMT" w:hAnsiTheme="minorHAnsi" w:cstheme="minorHAnsi"/>
          <w:sz w:val="20"/>
          <w:lang w:val="en-US" w:eastAsia="zh-CN"/>
        </w:rPr>
        <w:t xml:space="preserve">the two 20 MHz subchannels in the secondary 40 MHz channel, </w:t>
      </w:r>
      <w:r w:rsidRPr="00FF374D">
        <w:rPr>
          <w:rFonts w:asciiTheme="minorHAnsi" w:eastAsia="TimesNewRomanPSMT" w:hAnsiTheme="minorHAnsi" w:cstheme="minorHAnsi"/>
          <w:sz w:val="20"/>
          <w:highlight w:val="yellow"/>
          <w:lang w:val="en-US" w:eastAsia="zh-CN"/>
        </w:rPr>
        <w:t>if all of the 20 MHz subchannels that are not punctured were idle during an interval of PIFS immediately preceding the start of the TXOP.</w:t>
      </w:r>
    </w:p>
    <w:p w14:paraId="4B8C1188"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k) Transmit a 160 MHz or 80+80 MHz HE MU PPDU where in the preamble</w:t>
      </w:r>
      <w:r>
        <w:rPr>
          <w:rFonts w:asciiTheme="minorHAnsi" w:eastAsia="TimesNewRomanPSMT" w:hAnsiTheme="minorHAnsi" w:cstheme="minorHAnsi"/>
          <w:sz w:val="20"/>
          <w:lang w:val="en-US" w:eastAsia="zh-CN"/>
        </w:rPr>
        <w:t xml:space="preserve"> the only punctured subchannels </w:t>
      </w:r>
      <w:r w:rsidRPr="00FF374D">
        <w:rPr>
          <w:rFonts w:asciiTheme="minorHAnsi" w:eastAsia="TimesNewRomanPSMT" w:hAnsiTheme="minorHAnsi" w:cstheme="minorHAnsi"/>
          <w:sz w:val="20"/>
          <w:lang w:val="en-US" w:eastAsia="zh-CN"/>
        </w:rPr>
        <w:t>are the secondary 20 MHz channel and zero to two of the 20 MHz subchannels in the secondary</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80 MHz channel</w:t>
      </w:r>
      <w:r w:rsidRPr="00FF374D">
        <w:rPr>
          <w:rFonts w:asciiTheme="minorHAnsi" w:eastAsia="TimesNewRomanPSMT" w:hAnsiTheme="minorHAnsi" w:cstheme="minorHAnsi"/>
          <w:sz w:val="20"/>
          <w:highlight w:val="yellow"/>
          <w:lang w:val="en-US" w:eastAsia="zh-CN"/>
        </w:rPr>
        <w:t>, if all of the 20 MHz subchannels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 If two of the 20 MHz subchannels in</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the secondary 80 MHz channel are punctured, these are either the lower two or the higher two. No</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more than two adjacent 20 MHz subchannels are punctured across the preamble, for a 160 MHz preamble.</w:t>
      </w:r>
    </w:p>
    <w:p w14:paraId="57896938"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l) Transmit a 160 MHz or 80+80 MHz HE MU PPDU where in the preamble</w:t>
      </w:r>
      <w:r>
        <w:rPr>
          <w:rFonts w:asciiTheme="minorHAnsi" w:eastAsia="TimesNewRomanPSMT" w:hAnsiTheme="minorHAnsi" w:cstheme="minorHAnsi"/>
          <w:sz w:val="20"/>
          <w:lang w:val="en-US" w:eastAsia="zh-CN"/>
        </w:rPr>
        <w:t xml:space="preserve"> the only punctured subchannels </w:t>
      </w:r>
      <w:r w:rsidRPr="00FF374D">
        <w:rPr>
          <w:rFonts w:asciiTheme="minorHAnsi" w:eastAsia="TimesNewRomanPSMT" w:hAnsiTheme="minorHAnsi" w:cstheme="minorHAnsi"/>
          <w:sz w:val="20"/>
          <w:lang w:val="en-US" w:eastAsia="zh-CN"/>
        </w:rPr>
        <w:t>are zero, one or both of the 20 MHz subchannels in the secondary 40 MHz channel and</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zero to two of the 20 MHz subchannels in the secondary 80 MHz channel, </w:t>
      </w:r>
      <w:r w:rsidRPr="00FF374D">
        <w:rPr>
          <w:rFonts w:asciiTheme="minorHAnsi" w:eastAsia="TimesNewRomanPSMT" w:hAnsiTheme="minorHAnsi" w:cstheme="minorHAnsi"/>
          <w:sz w:val="20"/>
          <w:highlight w:val="yellow"/>
          <w:lang w:val="en-US" w:eastAsia="zh-CN"/>
        </w:rPr>
        <w:t>if all of the 20 MHz subchannels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 At least one 20 MHz subchannel is punctured. If two of the 20 MHz subchannels in</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the secondary 80 MHz channel are punctured, these are either the lower two or the higher two. No</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more than two adjacent 20 MHz subchannels are punctured across the preamble, for a 160 MHz preamble.</w:t>
      </w:r>
    </w:p>
    <w:p w14:paraId="4D9668E0" w14:textId="77777777" w:rsidR="00CA09B2" w:rsidRDefault="00CA09B2">
      <w:pPr>
        <w:rPr>
          <w:b/>
          <w:sz w:val="24"/>
        </w:rPr>
      </w:pPr>
      <w:r w:rsidRPr="00FF374D">
        <w:rPr>
          <w:rFonts w:asciiTheme="minorHAnsi" w:eastAsiaTheme="majorEastAsia" w:hAnsiTheme="minorHAnsi" w:cstheme="minorHAnsi"/>
        </w:rPr>
        <w:br w:type="page"/>
      </w:r>
      <w:r>
        <w:rPr>
          <w:b/>
          <w:sz w:val="24"/>
        </w:rPr>
        <w:lastRenderedPageBreak/>
        <w:t>References:</w:t>
      </w:r>
    </w:p>
    <w:p w14:paraId="1E4249E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E4F0B" w14:textId="77777777" w:rsidR="00020C3D" w:rsidRDefault="00020C3D">
      <w:r>
        <w:separator/>
      </w:r>
    </w:p>
  </w:endnote>
  <w:endnote w:type="continuationSeparator" w:id="0">
    <w:p w14:paraId="7094B992" w14:textId="77777777" w:rsidR="00020C3D" w:rsidRDefault="000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67A0" w14:textId="77777777" w:rsidR="0029020B" w:rsidRDefault="00020C3D">
    <w:pPr>
      <w:pStyle w:val="Footer"/>
      <w:tabs>
        <w:tab w:val="clear" w:pos="6480"/>
        <w:tab w:val="center" w:pos="4680"/>
        <w:tab w:val="right" w:pos="9360"/>
      </w:tabs>
    </w:pPr>
    <w:r>
      <w:fldChar w:fldCharType="begin"/>
    </w:r>
    <w:r>
      <w:instrText xml:space="preserve"> SUBJECT  \* MERGEFORMAT </w:instrText>
    </w:r>
    <w:r>
      <w:fldChar w:fldCharType="separate"/>
    </w:r>
    <w:r w:rsidR="00D959E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4177">
      <w:rPr>
        <w:noProof/>
      </w:rPr>
      <w:t>7</w:t>
    </w:r>
    <w:r w:rsidR="0029020B">
      <w:fldChar w:fldCharType="end"/>
    </w:r>
    <w:r w:rsidR="0029020B">
      <w:tab/>
    </w:r>
    <w:r w:rsidR="00A00912">
      <w:fldChar w:fldCharType="begin"/>
    </w:r>
    <w:r w:rsidR="00A00912">
      <w:instrText xml:space="preserve"> COMMENTS  \* MERGEFORMAT </w:instrText>
    </w:r>
    <w:r w:rsidR="00A00912">
      <w:fldChar w:fldCharType="separate"/>
    </w:r>
    <w:r w:rsidR="005A762A">
      <w:t xml:space="preserve">Osama </w:t>
    </w:r>
    <w:proofErr w:type="spellStart"/>
    <w:r w:rsidR="005A762A">
      <w:t>Aboul-Magd</w:t>
    </w:r>
    <w:proofErr w:type="spellEnd"/>
    <w:r w:rsidR="005A762A">
      <w:t>, Huawei Technologies</w:t>
    </w:r>
    <w:r w:rsidR="00A00912">
      <w:fldChar w:fldCharType="end"/>
    </w:r>
  </w:p>
  <w:p w14:paraId="53D35FA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B4BC2" w14:textId="77777777" w:rsidR="00020C3D" w:rsidRDefault="00020C3D">
      <w:r>
        <w:separator/>
      </w:r>
    </w:p>
  </w:footnote>
  <w:footnote w:type="continuationSeparator" w:id="0">
    <w:p w14:paraId="55D42A0A" w14:textId="77777777" w:rsidR="00020C3D" w:rsidRDefault="00020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F8B5" w14:textId="643C2071" w:rsidR="0029020B" w:rsidRDefault="00020C3D">
    <w:pPr>
      <w:pStyle w:val="Header"/>
      <w:tabs>
        <w:tab w:val="clear" w:pos="6480"/>
        <w:tab w:val="center" w:pos="4680"/>
        <w:tab w:val="right" w:pos="9360"/>
      </w:tabs>
    </w:pPr>
    <w:r>
      <w:fldChar w:fldCharType="begin"/>
    </w:r>
    <w:r>
      <w:instrText xml:space="preserve"> KEYWORDS  \* MERGEFORMAT </w:instrText>
    </w:r>
    <w:r>
      <w:fldChar w:fldCharType="separate"/>
    </w:r>
    <w:r w:rsidR="005A762A">
      <w:t>September 2020</w:t>
    </w:r>
    <w:r>
      <w:fldChar w:fldCharType="end"/>
    </w:r>
    <w:r w:rsidR="0029020B">
      <w:tab/>
    </w:r>
    <w:r w:rsidR="0029020B">
      <w:tab/>
    </w:r>
    <w:fldSimple w:instr=" TITLE  \* MERGEFORMAT ">
      <w:r w:rsidR="005A762A">
        <w:t>doc.: IEEE 802.11-20</w:t>
      </w:r>
      <w:r w:rsidR="009F4177">
        <w:t>/1530</w:t>
      </w:r>
      <w:r w:rsidR="00D959E1">
        <w:t>r</w:t>
      </w:r>
      <w:r w:rsidR="00217E74">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322A89A"/>
    <w:lvl w:ilvl="0">
      <w:numFmt w:val="bullet"/>
      <w:lvlText w:val="*"/>
      <w:lvlJc w:val="left"/>
    </w:lvl>
  </w:abstractNum>
  <w:num w:numId="1">
    <w:abstractNumId w:val="0"/>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E1"/>
    <w:rsid w:val="00020C3D"/>
    <w:rsid w:val="00103E13"/>
    <w:rsid w:val="00116388"/>
    <w:rsid w:val="00166D7B"/>
    <w:rsid w:val="001718A4"/>
    <w:rsid w:val="001D723B"/>
    <w:rsid w:val="00217E74"/>
    <w:rsid w:val="002551A4"/>
    <w:rsid w:val="00264905"/>
    <w:rsid w:val="0029020B"/>
    <w:rsid w:val="002D44BE"/>
    <w:rsid w:val="00406C4C"/>
    <w:rsid w:val="0040755F"/>
    <w:rsid w:val="00442037"/>
    <w:rsid w:val="00454821"/>
    <w:rsid w:val="00462AC5"/>
    <w:rsid w:val="004B064B"/>
    <w:rsid w:val="005A5EB7"/>
    <w:rsid w:val="005A762A"/>
    <w:rsid w:val="0062440B"/>
    <w:rsid w:val="0068304D"/>
    <w:rsid w:val="006C0727"/>
    <w:rsid w:val="006C4E33"/>
    <w:rsid w:val="006E145F"/>
    <w:rsid w:val="00770572"/>
    <w:rsid w:val="00776662"/>
    <w:rsid w:val="007A41EF"/>
    <w:rsid w:val="007C500D"/>
    <w:rsid w:val="007E1D24"/>
    <w:rsid w:val="00975BDF"/>
    <w:rsid w:val="009F2FBC"/>
    <w:rsid w:val="009F4177"/>
    <w:rsid w:val="00A00912"/>
    <w:rsid w:val="00AA427C"/>
    <w:rsid w:val="00BB1E53"/>
    <w:rsid w:val="00BE68C2"/>
    <w:rsid w:val="00C169BA"/>
    <w:rsid w:val="00C8552D"/>
    <w:rsid w:val="00CA09B2"/>
    <w:rsid w:val="00D12DD3"/>
    <w:rsid w:val="00D959E1"/>
    <w:rsid w:val="00DC5A7B"/>
    <w:rsid w:val="00DC7788"/>
    <w:rsid w:val="00F21C61"/>
    <w:rsid w:val="00F37E7A"/>
    <w:rsid w:val="00F62F8F"/>
    <w:rsid w:val="00F63A88"/>
    <w:rsid w:val="00F84370"/>
    <w:rsid w:val="00FF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26885"/>
  <w15:chartTrackingRefBased/>
  <w15:docId w15:val="{5905E94A-FB19-4E4B-9F7B-E20C301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9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uiPriority w:val="99"/>
    <w:rsid w:val="0040755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40755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40755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ListParagraph">
    <w:name w:val="List Paragraph"/>
    <w:basedOn w:val="Normal"/>
    <w:uiPriority w:val="34"/>
    <w:qFormat/>
    <w:rsid w:val="00FF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60876">
      <w:bodyDiv w:val="1"/>
      <w:marLeft w:val="0"/>
      <w:marRight w:val="0"/>
      <w:marTop w:val="0"/>
      <w:marBottom w:val="0"/>
      <w:divBdr>
        <w:top w:val="none" w:sz="0" w:space="0" w:color="auto"/>
        <w:left w:val="none" w:sz="0" w:space="0" w:color="auto"/>
        <w:bottom w:val="none" w:sz="0" w:space="0" w:color="auto"/>
        <w:right w:val="none" w:sz="0" w:space="0" w:color="auto"/>
      </w:divBdr>
    </w:div>
    <w:div w:id="13486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D:\IEEE 802.11\802-11-Submission-Portrait.dot</Template>
  <TotalTime>5</TotalTime>
  <Pages>7</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2020-09-22T19:27:00Z</cp:lastPrinted>
  <dcterms:created xsi:type="dcterms:W3CDTF">2020-09-27T19:12:00Z</dcterms:created>
  <dcterms:modified xsi:type="dcterms:W3CDTF">2020-09-27T19:14:00Z</dcterms:modified>
</cp:coreProperties>
</file>