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</w:t>
            </w:r>
            <w:proofErr w:type="spellEnd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Suh</w:t>
            </w:r>
            <w:proofErr w:type="spellEnd"/>
          </w:p>
        </w:tc>
        <w:tc>
          <w:tcPr>
            <w:tcW w:w="1472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  <w:r w:rsidR="008F3078">
        <w:rPr>
          <w:rFonts w:asciiTheme="minorHAnsi" w:hAnsiTheme="minorHAnsi" w:cstheme="minorHAnsi"/>
        </w:rPr>
        <w:t>, SP #149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B4AED" w:rsidRPr="006E26BD" w:rsidRDefault="008B4AED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BCC is applicable </w:t>
      </w:r>
      <w:r w:rsidR="003B76FA">
        <w:rPr>
          <w:rFonts w:asciiTheme="minorHAnsi" w:hAnsiTheme="minorHAnsi" w:cstheme="minorHAnsi"/>
        </w:rPr>
        <w:t xml:space="preserve">for small-size RUs, </w:t>
      </w:r>
      <w:r w:rsidR="00A64C1F" w:rsidRPr="006E26BD">
        <w:rPr>
          <w:rFonts w:asciiTheme="minorHAnsi" w:hAnsiTheme="minorHAnsi" w:cstheme="minorHAnsi"/>
        </w:rPr>
        <w:t xml:space="preserve">MRUs </w:t>
      </w:r>
      <w:r w:rsidR="003B76FA">
        <w:rPr>
          <w:rFonts w:asciiTheme="minorHAnsi" w:hAnsiTheme="minorHAnsi" w:cstheme="minorHAnsi"/>
        </w:rPr>
        <w:t xml:space="preserve">and 242 tone RU </w:t>
      </w:r>
      <w:r w:rsidR="00A64C1F" w:rsidRPr="006E26BD">
        <w:rPr>
          <w:rFonts w:asciiTheme="minorHAnsi" w:hAnsiTheme="minorHAnsi" w:cstheme="minorHAnsi"/>
        </w:rPr>
        <w:t>with</w:t>
      </w:r>
      <w:r w:rsidRPr="006E26BD">
        <w:rPr>
          <w:rFonts w:asciiTheme="minorHAnsi" w:hAnsiTheme="minorHAnsi" w:cstheme="minorHAnsi"/>
        </w:rPr>
        <w:t xml:space="preserve"> less than</w:t>
      </w:r>
      <w:r w:rsidR="00A64C1F" w:rsidRPr="006E26BD">
        <w:rPr>
          <w:rFonts w:asciiTheme="minorHAnsi" w:hAnsiTheme="minorHAnsi" w:cstheme="minorHAnsi"/>
        </w:rPr>
        <w:t xml:space="preserve"> or equal to 4</w:t>
      </w:r>
      <w:r w:rsidRPr="006E26BD">
        <w:rPr>
          <w:rFonts w:asciiTheme="minorHAnsi" w:hAnsiTheme="minorHAnsi" w:cstheme="minorHAnsi"/>
        </w:rPr>
        <w:t xml:space="preserve"> spatial streams and </w:t>
      </w:r>
      <w:r w:rsidR="00A64C1F" w:rsidRPr="006E26BD">
        <w:rPr>
          <w:rFonts w:asciiTheme="minorHAnsi" w:hAnsiTheme="minorHAnsi" w:cstheme="minorHAnsi"/>
        </w:rPr>
        <w:t xml:space="preserve">modulation size less than or equal to </w:t>
      </w:r>
      <w:r w:rsidRPr="006E26BD">
        <w:rPr>
          <w:rFonts w:asciiTheme="minorHAnsi" w:hAnsiTheme="minorHAnsi" w:cstheme="minorHAnsi"/>
        </w:rPr>
        <w:t>256 QAM.</w:t>
      </w:r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292810" w:rsidRPr="006E26BD" w:rsidRDefault="00A64C1F" w:rsidP="00292810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BCC encoder can be used for small-size</w:t>
      </w:r>
      <w:r w:rsidRPr="006E26BD">
        <w:rPr>
          <w:rFonts w:asciiTheme="minorHAnsi" w:hAnsiTheme="minorHAnsi" w:cstheme="minorHAnsi"/>
          <w:color w:val="0070C0"/>
        </w:rPr>
        <w:t xml:space="preserve"> </w:t>
      </w:r>
      <w:r w:rsidRPr="006E26BD">
        <w:rPr>
          <w:rFonts w:asciiTheme="minorHAnsi" w:hAnsiTheme="minorHAnsi" w:cstheme="minorHAnsi"/>
        </w:rPr>
        <w:t xml:space="preserve">MRUs. </w:t>
      </w:r>
      <w:r w:rsidR="008B4AED" w:rsidRPr="006E26BD">
        <w:rPr>
          <w:rFonts w:asciiTheme="minorHAnsi" w:hAnsiTheme="minorHAnsi" w:cstheme="minorHAnsi"/>
        </w:rPr>
        <w:t xml:space="preserve">A joint BCC encoder is applied to small-size MRUs. The encoded bits from the </w:t>
      </w:r>
      <w:r w:rsidR="000327EB" w:rsidRPr="006E26BD">
        <w:rPr>
          <w:rFonts w:asciiTheme="minorHAnsi" w:hAnsiTheme="minorHAnsi" w:cstheme="minorHAnsi"/>
        </w:rPr>
        <w:t>joint</w:t>
      </w:r>
      <w:r w:rsidR="008B4AED" w:rsidRPr="006E26BD">
        <w:rPr>
          <w:rFonts w:asciiTheme="minorHAnsi" w:hAnsiTheme="minorHAnsi" w:cstheme="minorHAnsi"/>
        </w:rPr>
        <w:t xml:space="preserve"> BCC are interleaved </w:t>
      </w:r>
      <w:r w:rsidR="000327EB" w:rsidRPr="006E26BD">
        <w:rPr>
          <w:rFonts w:asciiTheme="minorHAnsi" w:hAnsiTheme="minorHAnsi" w:cstheme="minorHAnsi"/>
        </w:rPr>
        <w:t>over the whole</w:t>
      </w:r>
      <w:r w:rsidR="008B4AED" w:rsidRPr="006E26BD">
        <w:rPr>
          <w:rFonts w:asciiTheme="minorHAnsi" w:hAnsiTheme="minorHAnsi" w:cstheme="minorHAnsi"/>
        </w:rPr>
        <w:t xml:space="preserve"> MRU.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</w:t>
      </w:r>
      <w:r w:rsidR="00292810">
        <w:rPr>
          <w:rFonts w:asciiTheme="minorHAnsi" w:hAnsiTheme="minorHAnsi" w:cstheme="minorHAnsi"/>
        </w:rPr>
        <w:t>T</w:t>
      </w:r>
      <w:r w:rsidR="000327EB" w:rsidRPr="006E26BD">
        <w:rPr>
          <w:rFonts w:asciiTheme="minorHAnsi" w:hAnsiTheme="minorHAnsi" w:cstheme="minorHAnsi"/>
        </w:rPr>
        <w:t xml:space="preserve">able </w:t>
      </w:r>
      <w:r w:rsidR="00292810">
        <w:rPr>
          <w:rFonts w:asciiTheme="minorHAnsi" w:hAnsiTheme="minorHAnsi" w:cstheme="minorHAnsi"/>
        </w:rPr>
        <w:t>34</w:t>
      </w:r>
      <w:r w:rsidR="000327EB" w:rsidRPr="006E26BD">
        <w:rPr>
          <w:rFonts w:asciiTheme="minorHAnsi" w:hAnsiTheme="minorHAnsi" w:cstheme="minorHAnsi"/>
        </w:rPr>
        <w:t>-x1.</w:t>
      </w:r>
      <w:r w:rsidR="00292810">
        <w:rPr>
          <w:rFonts w:asciiTheme="minorHAnsi" w:hAnsiTheme="minorHAnsi" w:cstheme="minorHAnsi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Since DCM is applied only to the BPSK and single stream case,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ROT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not applicable and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ROW</w:t>
      </w:r>
      <w:r w:rsidR="00292810" w:rsidRPr="001C0D36">
        <w:rPr>
          <w:rFonts w:asciiTheme="minorHAnsi" w:hAnsiTheme="minorHAnsi" w:cstheme="minorHAnsi"/>
          <w:color w:val="FF0000"/>
          <w:vertAlign w:val="subscript"/>
        </w:rPr>
        <w:t xml:space="preserve"> </w:t>
      </w:r>
      <w:r w:rsidR="00292810" w:rsidRPr="001C0D36">
        <w:rPr>
          <w:rFonts w:asciiTheme="minorHAnsi" w:hAnsiTheme="minorHAnsi" w:cstheme="minorHAnsi"/>
          <w:color w:val="FF0000"/>
        </w:rPr>
        <w:t xml:space="preserve">is determined without </w:t>
      </w:r>
      <w:r w:rsidR="00292810" w:rsidRPr="001C0D36">
        <w:rPr>
          <w:rFonts w:asciiTheme="minorHAnsi" w:hAnsiTheme="minorHAnsi" w:cstheme="minorHAnsi"/>
          <w:i/>
          <w:color w:val="FF0000"/>
        </w:rPr>
        <w:t>N</w:t>
      </w:r>
      <w:r w:rsidR="00292810" w:rsidRPr="001C0D36">
        <w:rPr>
          <w:rFonts w:asciiTheme="minorHAnsi" w:hAnsiTheme="minorHAnsi" w:cstheme="minorHAnsi"/>
          <w:i/>
          <w:color w:val="FF0000"/>
          <w:vertAlign w:val="subscript"/>
        </w:rPr>
        <w:t>BPSCS</w:t>
      </w:r>
      <w:r w:rsidR="00292810" w:rsidRPr="001C0D36">
        <w:rPr>
          <w:rFonts w:asciiTheme="minorHAnsi" w:hAnsiTheme="minorHAnsi" w:cstheme="minorHAnsi"/>
          <w:color w:val="FF0000"/>
        </w:rPr>
        <w:t>.</w:t>
      </w:r>
    </w:p>
    <w:p w:rsidR="00292810" w:rsidRPr="006E26BD" w:rsidRDefault="00292810" w:rsidP="0029281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52+26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3B76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106+</w:t>
            </w:r>
            <w:r w:rsidR="00292810" w:rsidRPr="006E26BD">
              <w:rPr>
                <w:rFonts w:asciiTheme="minorHAnsi" w:hAnsiTheme="minorHAnsi" w:cstheme="minorHAnsi"/>
                <w:lang w:eastAsia="en-US"/>
              </w:rPr>
              <w:t>26</w:t>
            </w:r>
          </w:p>
        </w:tc>
      </w:tr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3B76FA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292810" w:rsidRPr="006E26BD" w:rsidTr="00476238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21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3</w:t>
            </w:r>
          </w:p>
        </w:tc>
      </w:tr>
      <w:tr w:rsidR="00292810" w:rsidRPr="006E26BD" w:rsidTr="00476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E26BD" w:rsidRDefault="00292810" w:rsidP="0047623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E26BD" w:rsidRDefault="00292810" w:rsidP="00476238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lang w:eastAsia="en-US"/>
              </w:rPr>
              <w:t>N/A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Table </w:t>
      </w:r>
      <w:r w:rsidR="00292810">
        <w:rPr>
          <w:rFonts w:asciiTheme="minorHAnsi" w:hAnsiTheme="minorHAnsi" w:cstheme="minorHAnsi"/>
        </w:rPr>
        <w:t>34</w:t>
      </w:r>
      <w:r w:rsidRPr="006E26BD">
        <w:rPr>
          <w:rFonts w:asciiTheme="minorHAnsi" w:hAnsiTheme="minorHAnsi" w:cstheme="minorHAnsi"/>
        </w:rPr>
        <w:t xml:space="preserve">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</w:t>
      </w:r>
      <w:r w:rsidR="009078E0">
        <w:rPr>
          <w:rFonts w:asciiTheme="minorHAnsi" w:hAnsiTheme="minorHAnsi" w:cstheme="minorHAnsi"/>
        </w:rPr>
        <w:t xml:space="preserve">small-size </w:t>
      </w:r>
      <w:r w:rsidRPr="006E26BD">
        <w:rPr>
          <w:rFonts w:asciiTheme="minorHAnsi" w:hAnsiTheme="minorHAnsi" w:cstheme="minorHAnsi"/>
        </w:rPr>
        <w:t>MRU</w:t>
      </w:r>
      <w:r w:rsidR="009078E0">
        <w:rPr>
          <w:rFonts w:asciiTheme="minorHAnsi" w:hAnsiTheme="minorHAnsi" w:cstheme="minorHAnsi"/>
        </w:rPr>
        <w:t>s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RU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RU and the upper half data subcarriers of the RU.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RU size and the values for different RU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RU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24659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Ref48221707"/>
            <w:bookmarkStart w:id="1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0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RU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1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RU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24659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106+26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lastRenderedPageBreak/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8F3078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49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RU</w:t>
      </w:r>
      <w:r w:rsidR="009078E0">
        <w:rPr>
          <w:rFonts w:asciiTheme="minorHAnsi" w:hAnsiTheme="minorHAnsi" w:cstheme="minorHAnsi"/>
        </w:rPr>
        <w:t xml:space="preserve"> </w:t>
      </w:r>
      <w:r w:rsidR="00DF0952">
        <w:rPr>
          <w:rFonts w:asciiTheme="minorHAnsi" w:hAnsiTheme="minorHAnsi" w:cstheme="minorHAnsi"/>
        </w:rPr>
        <w:t>or</w:t>
      </w:r>
      <w:r w:rsidR="009078E0">
        <w:rPr>
          <w:rFonts w:asciiTheme="minorHAnsi" w:hAnsiTheme="minorHAnsi" w:cstheme="minorHAnsi"/>
        </w:rPr>
        <w:t xml:space="preserve"> MRU</w:t>
      </w:r>
      <w:r w:rsidRPr="006E26BD">
        <w:rPr>
          <w:rFonts w:asciiTheme="minorHAnsi" w:hAnsiTheme="minorHAnsi" w:cstheme="minorHAnsi"/>
        </w:rPr>
        <w:t xml:space="preserve"> located in this subblock.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r w:rsidR="00927102">
        <w:rPr>
          <w:rFonts w:asciiTheme="minorHAnsi" w:hAnsiTheme="minorHAnsi" w:cstheme="minorHAnsi"/>
        </w:rPr>
        <w:t xml:space="preserve">RU or </w:t>
      </w:r>
      <w:r w:rsidR="009078E0">
        <w:rPr>
          <w:rFonts w:asciiTheme="minorHAnsi" w:hAnsiTheme="minorHAnsi" w:cstheme="minorHAnsi"/>
        </w:rPr>
        <w:t>MRU</w:t>
      </w:r>
      <w:r w:rsidRPr="006E26BD">
        <w:rPr>
          <w:rFonts w:asciiTheme="minorHAnsi" w:hAnsiTheme="minorHAnsi" w:cstheme="minorHAnsi"/>
        </w:rPr>
        <w:t xml:space="preserve"> located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>3</w:t>
      </w:r>
      <w:r w:rsidR="00CF3470">
        <w:rPr>
          <w:rFonts w:asciiTheme="minorHAnsi" w:hAnsiTheme="minorHAnsi" w:cstheme="minorHAnsi"/>
          <w:color w:val="FF0000"/>
        </w:rPr>
        <w:t>4</w:t>
      </w:r>
      <w:r w:rsidRPr="006E26BD">
        <w:rPr>
          <w:rFonts w:asciiTheme="minorHAnsi" w:hAnsiTheme="minorHAnsi" w:cstheme="minorHAnsi"/>
          <w:color w:val="FF0000"/>
        </w:rPr>
        <w:t xml:space="preserve">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2" w:name="_Ref48235720"/>
      <w:bookmarkStart w:id="3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3"/>
    </w:p>
    <w:bookmarkStart w:id="4" w:name="RTF32323136353a204571756174"/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7.5pt" o:ole="">
            <v:imagedata r:id="rId8" o:title=""/>
          </v:shape>
          <o:OLEObject Type="Embed" ProgID="Equation.DSMT4" ShapeID="_x0000_i1025" DrawAspect="Content" ObjectID="_1661606723" r:id="rId9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620" w:dyaOrig="340">
          <v:shape id="_x0000_i1026" type="#_x0000_t75" style="width:431.5pt;height:17.5pt" o:ole="">
            <v:imagedata r:id="rId10" o:title=""/>
          </v:shape>
          <o:OLEObject Type="Embed" ProgID="Equation.DSMT4" ShapeID="_x0000_i1026" DrawAspect="Content" ObjectID="_1661606724" r:id="rId11"/>
        </w:object>
      </w:r>
      <w:bookmarkEnd w:id="4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27" type="#_x0000_t75" style="width:63.5pt;height:17.5pt" o:ole="">
            <v:imagedata r:id="rId12" o:title=""/>
          </v:shape>
          <o:OLEObject Type="Embed" ProgID="Equation.DSMT4" ShapeID="_x0000_i1027" DrawAspect="Content" ObjectID="_1661606725" r:id="rId1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28" type="#_x0000_t75" style="width:77pt;height:15pt" o:ole="">
            <v:imagedata r:id="rId14" o:title=""/>
          </v:shape>
          <o:OLEObject Type="Embed" ProgID="Equation.DSMT4" ShapeID="_x0000_i1028" DrawAspect="Content" ObjectID="_1661606726" r:id="rId1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29" type="#_x0000_t75" style="width:299.5pt;height:61pt" o:ole="">
            <v:imagedata r:id="rId16" o:title=""/>
          </v:shape>
          <o:OLEObject Type="Embed" ProgID="Equation.DSMT4" ShapeID="_x0000_i1029" DrawAspect="Content" ObjectID="_1661606727" r:id="rId17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30" type="#_x0000_t75" style="width:74pt;height:15.5pt" o:ole="">
            <v:imagedata r:id="rId18" o:title=""/>
          </v:shape>
          <o:OLEObject Type="Embed" ProgID="Equation.DSMT4" ShapeID="_x0000_i1030" DrawAspect="Content" ObjectID="_1661606728" r:id="rId19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31" type="#_x0000_t75" style="width:69pt;height:15pt" o:ole="">
            <v:imagedata r:id="rId20" o:title=""/>
          </v:shape>
          <o:OLEObject Type="Embed" ProgID="Equation.DSMT4" ShapeID="_x0000_i1031" DrawAspect="Content" ObjectID="_1661606729" r:id="rId21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32" type="#_x0000_t75" style="width:27.5pt;height:17.5pt" o:ole="">
            <v:imagedata r:id="rId22" o:title=""/>
          </v:shape>
          <o:OLEObject Type="Embed" ProgID="Equation.DSMT4" ShapeID="_x0000_i1032" DrawAspect="Content" ObjectID="_1661606730" r:id="rId23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DD688C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30"/>
          <w:sz w:val="24"/>
          <w:szCs w:val="24"/>
        </w:rPr>
        <w:object w:dxaOrig="3560" w:dyaOrig="700">
          <v:shape id="_x0000_i1033" type="#_x0000_t75" style="width:178pt;height:35pt" o:ole="">
            <v:imagedata r:id="rId24" o:title=""/>
          </v:shape>
          <o:OLEObject Type="Embed" ProgID="Equation.DSMT4" ShapeID="_x0000_i1033" DrawAspect="Content" ObjectID="_1661606731" r:id="rId2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580" w:dyaOrig="340">
          <v:shape id="_x0000_i1034" type="#_x0000_t75" style="width:29.5pt;height:17.5pt" o:ole="">
            <v:imagedata r:id="rId26" o:title=""/>
          </v:shape>
          <o:OLEObject Type="Embed" ProgID="Equation.DSMT4" ShapeID="_x0000_i1034" DrawAspect="Content" ObjectID="_1661606732" r:id="rId27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r w:rsidR="00927102" w:rsidRPr="00927102">
        <w:rPr>
          <w:rFonts w:asciiTheme="minorHAnsi" w:hAnsiTheme="minorHAnsi" w:cstheme="minorHAnsi"/>
          <w:sz w:val="24"/>
          <w:szCs w:val="24"/>
        </w:rPr>
        <w:t>RU or MRU</w:t>
      </w:r>
      <w:r w:rsidR="00927102" w:rsidRPr="006E26BD">
        <w:rPr>
          <w:rFonts w:asciiTheme="minorHAnsi" w:hAnsiTheme="minorHAnsi" w:cstheme="minorHAnsi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located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5" w:name="_Ref48252393"/>
      <w:bookmarkStart w:id="6" w:name="RTF38393434333a204571756174"/>
      <w:r w:rsidRPr="006E26BD">
        <w:rPr>
          <w:rFonts w:asciiTheme="minorHAnsi" w:hAnsiTheme="minorHAnsi" w:cstheme="minorHAnsi"/>
          <w:sz w:val="24"/>
          <w:szCs w:val="24"/>
        </w:rPr>
        <w:t>(</w:t>
      </w:r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5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 id="_x0000_i1035" type="#_x0000_t75" style="width:105pt;height:17.5pt" o:ole="">
            <v:imagedata r:id="rId8" o:title=""/>
          </v:shape>
          <o:OLEObject Type="Embed" ProgID="Equation.DSMT4" ShapeID="_x0000_i1035" DrawAspect="Content" ObjectID="_1661606733" r:id="rId28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740" w:dyaOrig="340">
          <v:shape id="_x0000_i1036" type="#_x0000_t75" style="width:437.5pt;height:17.5pt" o:ole="">
            <v:imagedata r:id="rId29" o:title=""/>
          </v:shape>
          <o:OLEObject Type="Embed" ProgID="Equation.DSMT4" ShapeID="_x0000_i1036" DrawAspect="Content" ObjectID="_1661606734" r:id="rId30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37" type="#_x0000_t75" style="width:63.5pt;height:17.5pt" o:ole="">
            <v:imagedata r:id="rId12" o:title=""/>
          </v:shape>
          <o:OLEObject Type="Embed" ProgID="Equation.DSMT4" ShapeID="_x0000_i1037" DrawAspect="Content" ObjectID="_1661606735" r:id="rId31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38" type="#_x0000_t75" style="width:77pt;height:15pt" o:ole="">
            <v:imagedata r:id="rId14" o:title=""/>
          </v:shape>
          <o:OLEObject Type="Embed" ProgID="Equation.DSMT4" ShapeID="_x0000_i1038" DrawAspect="Content" ObjectID="_1661606736" r:id="rId32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39" type="#_x0000_t75" style="width:299.5pt;height:61pt" o:ole="">
            <v:imagedata r:id="rId16" o:title=""/>
          </v:shape>
          <o:OLEObject Type="Embed" ProgID="Equation.DSMT4" ShapeID="_x0000_i1039" DrawAspect="Content" ObjectID="_1661606737" r:id="rId3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40" type="#_x0000_t75" style="width:74pt;height:15.5pt" o:ole="">
            <v:imagedata r:id="rId18" o:title=""/>
          </v:shape>
          <o:OLEObject Type="Embed" ProgID="Equation.DSMT4" ShapeID="_x0000_i1040" DrawAspect="Content" ObjectID="_1661606738" r:id="rId34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41" type="#_x0000_t75" style="width:69pt;height:15pt" o:ole="">
            <v:imagedata r:id="rId20" o:title=""/>
          </v:shape>
          <o:OLEObject Type="Embed" ProgID="Equation.DSMT4" ShapeID="_x0000_i1041" DrawAspect="Content" ObjectID="_1661606739" r:id="rId3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42" type="#_x0000_t75" style="width:27.5pt;height:17.5pt" o:ole="">
            <v:imagedata r:id="rId22" o:title=""/>
          </v:shape>
          <o:OLEObject Type="Embed" ProgID="Equation.DSMT4" ShapeID="_x0000_i1042" DrawAspect="Content" ObjectID="_1661606740" r:id="rId36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927102">
        <w:rPr>
          <w:rFonts w:asciiTheme="minorHAnsi" w:hAnsiTheme="minorHAnsi" w:cstheme="minorHAnsi"/>
          <w:w w:val="100"/>
        </w:rPr>
        <w:t>th</w:t>
      </w:r>
      <w:proofErr w:type="spellEnd"/>
      <w:r w:rsidRPr="00927102">
        <w:rPr>
          <w:rFonts w:asciiTheme="minorHAnsi" w:hAnsiTheme="minorHAnsi" w:cstheme="minorHAnsi"/>
          <w:w w:val="100"/>
        </w:rPr>
        <w:t xml:space="preserve"> </w:t>
      </w:r>
      <w:r w:rsidR="00927102" w:rsidRPr="00927102">
        <w:rPr>
          <w:rFonts w:asciiTheme="minorHAnsi" w:hAnsiTheme="minorHAnsi" w:cstheme="minorHAnsi"/>
        </w:rPr>
        <w:t>RU or MRU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68"/>
          <w:sz w:val="24"/>
          <w:szCs w:val="24"/>
        </w:rPr>
        <w:object w:dxaOrig="8340" w:dyaOrig="1460">
          <v:shape id="_x0000_i1043" type="#_x0000_t75" style="width:417pt;height:73pt" o:ole="">
            <v:imagedata r:id="rId37" o:title=""/>
          </v:shape>
          <o:OLEObject Type="Embed" ProgID="Equation.DSMT4" ShapeID="_x0000_i1043" DrawAspect="Content" ObjectID="_1661606741" r:id="rId38"/>
        </w:object>
      </w:r>
      <w:bookmarkEnd w:id="6"/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1040" w:dyaOrig="340">
          <v:shape id="_x0000_i1044" type="#_x0000_t75" style="width:51.5pt;height:17.5pt" o:ole="">
            <v:imagedata r:id="rId39" o:title=""/>
          </v:shape>
          <o:OLEObject Type="Embed" ProgID="Equation.DSMT4" ShapeID="_x0000_i1044" DrawAspect="Content" ObjectID="_1661606742" r:id="rId40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is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927102">
        <w:rPr>
          <w:rFonts w:asciiTheme="minorHAnsi" w:hAnsiTheme="minorHAnsi" w:cstheme="minorHAnsi"/>
          <w:w w:val="100"/>
        </w:rPr>
        <w:t>th</w:t>
      </w:r>
      <w:proofErr w:type="spellEnd"/>
      <w:r w:rsidRPr="00927102">
        <w:rPr>
          <w:rFonts w:asciiTheme="minorHAnsi" w:hAnsiTheme="minorHAnsi" w:cstheme="minorHAnsi"/>
          <w:w w:val="100"/>
        </w:rPr>
        <w:t xml:space="preserve"> </w:t>
      </w:r>
      <w:r w:rsidR="00927102" w:rsidRPr="00927102">
        <w:rPr>
          <w:rFonts w:asciiTheme="minorHAnsi" w:hAnsiTheme="minorHAnsi" w:cstheme="minorHAnsi"/>
        </w:rPr>
        <w:t>RU or MRU</w:t>
      </w:r>
      <w:r w:rsidRPr="00927102">
        <w:rPr>
          <w:rFonts w:asciiTheme="minorHAnsi" w:hAnsiTheme="minorHAnsi" w:cstheme="minorHAnsi"/>
          <w:w w:val="100"/>
        </w:rPr>
        <w:t xml:space="preserve">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927102" w:rsidRDefault="00927102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>NOTE—LDPC tone mapper for a 26-, 52-,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>(52+26)-</w:t>
      </w:r>
      <w:r w:rsidR="00A57870">
        <w:rPr>
          <w:rFonts w:asciiTheme="minorHAnsi" w:hAnsiTheme="minorHAnsi" w:cstheme="minorHAnsi"/>
          <w:w w:val="100"/>
          <w:sz w:val="24"/>
          <w:szCs w:val="24"/>
        </w:rPr>
        <w:t>,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106-, </w:t>
      </w:r>
      <w:r w:rsidR="000546A5">
        <w:rPr>
          <w:rFonts w:asciiTheme="minorHAnsi" w:hAnsiTheme="minorHAnsi" w:cstheme="minorHAnsi"/>
          <w:w w:val="100"/>
          <w:sz w:val="24"/>
          <w:szCs w:val="24"/>
        </w:rPr>
        <w:t xml:space="preserve">(106+26)-,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242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>-, 484- and 996-</w:t>
      </w:r>
      <w:r w:rsidRPr="00927102">
        <w:rPr>
          <w:rFonts w:asciiTheme="minorHAnsi" w:hAnsiTheme="minorHAnsi" w:cstheme="minorHAnsi"/>
          <w:w w:val="100"/>
          <w:sz w:val="24"/>
          <w:szCs w:val="24"/>
        </w:rPr>
        <w:t xml:space="preserve">tone </w:t>
      </w:r>
      <w:r w:rsidR="00927102" w:rsidRPr="00927102">
        <w:rPr>
          <w:rFonts w:asciiTheme="minorHAnsi" w:hAnsiTheme="minorHAnsi" w:cstheme="minorHAnsi"/>
          <w:sz w:val="24"/>
          <w:szCs w:val="24"/>
        </w:rPr>
        <w:t>RU or MRU</w:t>
      </w:r>
      <w:r w:rsidRPr="00927102">
        <w:rPr>
          <w:rFonts w:asciiTheme="minorHAnsi" w:hAnsiTheme="minorHAnsi" w:cstheme="minorHAnsi"/>
          <w:w w:val="100"/>
          <w:sz w:val="24"/>
          <w:szCs w:val="24"/>
        </w:rPr>
        <w:t xml:space="preserve"> is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7" w:name="_Ref48255675"/>
      <w:bookmarkStart w:id="8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7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860" w:dyaOrig="320">
          <v:shape id="_x0000_i1045" type="#_x0000_t75" style="width:93pt;height:15.5pt" o:ole="">
            <v:imagedata r:id="rId41" o:title=""/>
          </v:shape>
          <o:OLEObject Type="Embed" ProgID="Equation.DSMT4" ShapeID="_x0000_i1045" DrawAspect="Content" ObjectID="_1661606743" r:id="rId42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000" w:dyaOrig="340">
          <v:shape id="_x0000_i1046" type="#_x0000_t75" style="width:250pt;height:17.5pt" o:ole="">
            <v:imagedata r:id="rId43" o:title=""/>
          </v:shape>
          <o:OLEObject Type="Embed" ProgID="Equation.DSMT4" ShapeID="_x0000_i1046" DrawAspect="Content" ObjectID="_1661606744" r:id="rId44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47" type="#_x0000_t75" style="width:63.5pt;height:17.5pt" o:ole="">
            <v:imagedata r:id="rId12" o:title=""/>
          </v:shape>
          <o:OLEObject Type="Embed" ProgID="Equation.DSMT4" ShapeID="_x0000_i1047" DrawAspect="Content" ObjectID="_1661606745" r:id="rId4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48" type="#_x0000_t75" style="width:77pt;height:15pt" o:ole="">
            <v:imagedata r:id="rId14" o:title=""/>
          </v:shape>
          <o:OLEObject Type="Embed" ProgID="Equation.DSMT4" ShapeID="_x0000_i1048" DrawAspect="Content" ObjectID="_1661606746" r:id="rId46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3860" w:dyaOrig="300">
          <v:shape id="_x0000_i1049" type="#_x0000_t75" style="width:193pt;height:15pt" o:ole="">
            <v:imagedata r:id="rId47" o:title=""/>
          </v:shape>
          <o:OLEObject Type="Embed" ProgID="Equation.DSMT4" ShapeID="_x0000_i1049" DrawAspect="Content" ObjectID="_1661606747" r:id="rId48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50" type="#_x0000_t75" style="width:74pt;height:15.5pt" o:ole="">
            <v:imagedata r:id="rId18" o:title=""/>
          </v:shape>
          <o:OLEObject Type="Embed" ProgID="Equation.DSMT4" ShapeID="_x0000_i1050" DrawAspect="Content" ObjectID="_1661606748" r:id="rId49"/>
        </w:object>
      </w:r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51" type="#_x0000_t75" style="width:69pt;height:15pt" o:ole="">
            <v:imagedata r:id="rId20" o:title=""/>
          </v:shape>
          <o:OLEObject Type="Embed" ProgID="Equation.DSMT4" ShapeID="_x0000_i1051" DrawAspect="Content" ObjectID="_1661606749" r:id="rId50"/>
        </w:object>
      </w:r>
    </w:p>
    <w:bookmarkEnd w:id="8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bookmarkStart w:id="9" w:name="_GoBack"/>
      <w:bookmarkEnd w:id="9"/>
    </w:p>
    <w:p w:rsidR="002D4BB6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highlight w:val="lightGray"/>
        </w:rPr>
        <w:t xml:space="preserve">The following BCC </w:t>
      </w:r>
      <w:proofErr w:type="spellStart"/>
      <w:r w:rsidRPr="006C1FFB">
        <w:rPr>
          <w:highlight w:val="lightGray"/>
        </w:rPr>
        <w:t>interleaver</w:t>
      </w:r>
      <w:proofErr w:type="spellEnd"/>
      <w:r w:rsidRPr="006C1FFB">
        <w:rPr>
          <w:highlight w:val="lightGray"/>
        </w:rPr>
        <w:t xml:space="preserve"> and LDPC DTM parameters are defined for DCM.</w:t>
      </w:r>
    </w:p>
    <w:tbl>
      <w:tblPr>
        <w:tblW w:w="9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1012"/>
        <w:gridCol w:w="1015"/>
        <w:gridCol w:w="1012"/>
        <w:gridCol w:w="1015"/>
        <w:gridCol w:w="1012"/>
        <w:gridCol w:w="1015"/>
        <w:gridCol w:w="1012"/>
        <w:gridCol w:w="1015"/>
      </w:tblGrid>
      <w:tr w:rsidR="002D4BB6" w:rsidRPr="006C1FFB" w:rsidTr="00826D59">
        <w:trPr>
          <w:trHeight w:val="202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</w:t>
            </w:r>
            <w:r w:rsidRPr="006C1FFB">
              <w:rPr>
                <w:highlight w:val="lightGray"/>
                <w:vertAlign w:val="subscript"/>
              </w:rPr>
              <w:t>SD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COL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BCC N</w:t>
            </w:r>
            <w:r w:rsidRPr="006C1FFB">
              <w:rPr>
                <w:highlight w:val="lightGray"/>
                <w:vertAlign w:val="subscript"/>
              </w:rPr>
              <w:t>ROT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LDPC D</w:t>
            </w:r>
            <w:r w:rsidRPr="006C1FFB">
              <w:rPr>
                <w:highlight w:val="lightGray"/>
                <w:vertAlign w:val="subscript"/>
              </w:rPr>
              <w:t>TM</w:t>
            </w:r>
          </w:p>
        </w:tc>
      </w:tr>
      <w:tr w:rsidR="002D4BB6" w:rsidRPr="006C1FFB" w:rsidTr="00826D59">
        <w:trPr>
          <w:trHeight w:val="520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DCM</w:t>
            </w:r>
          </w:p>
        </w:tc>
      </w:tr>
      <w:tr w:rsidR="002D4BB6" w:rsidRPr="006C1FFB" w:rsidTr="00826D59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RU78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12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b/>
                <w:bCs/>
                <w:highlight w:val="lightGray"/>
              </w:rPr>
              <w:t>3</w:t>
            </w:r>
          </w:p>
        </w:tc>
      </w:tr>
      <w:tr w:rsidR="002D4BB6" w:rsidRPr="006C1FFB" w:rsidTr="00826D59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RU132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126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</w:t>
            </w:r>
          </w:p>
        </w:tc>
      </w:tr>
      <w:tr w:rsidR="002D4BB6" w:rsidRPr="006C1FFB" w:rsidTr="00826D59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RU726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702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351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C1FFB" w:rsidRDefault="002D4BB6" w:rsidP="00826D59">
            <w:pPr>
              <w:keepNext/>
              <w:tabs>
                <w:tab w:val="left" w:pos="7075"/>
              </w:tabs>
              <w:rPr>
                <w:highlight w:val="lightGray"/>
              </w:rPr>
            </w:pPr>
            <w:r w:rsidRPr="006C1FFB">
              <w:rPr>
                <w:highlight w:val="lightGray"/>
              </w:rPr>
              <w:t>9</w:t>
            </w:r>
          </w:p>
        </w:tc>
      </w:tr>
    </w:tbl>
    <w:p w:rsidR="002D4BB6" w:rsidRPr="006C1FFB" w:rsidRDefault="002D4BB6" w:rsidP="002D4BB6">
      <w:pPr>
        <w:pStyle w:val="ListParagraph"/>
        <w:numPr>
          <w:ilvl w:val="0"/>
          <w:numId w:val="45"/>
        </w:numPr>
        <w:jc w:val="both"/>
        <w:rPr>
          <w:highlight w:val="lightGray"/>
        </w:rPr>
      </w:pPr>
      <w:r w:rsidRPr="006C1FFB">
        <w:rPr>
          <w:highlight w:val="lightGray"/>
        </w:rPr>
        <w:t xml:space="preserve">This is for R1. </w:t>
      </w:r>
    </w:p>
    <w:p w:rsidR="002D4BB6" w:rsidRPr="006C1FFB" w:rsidRDefault="002D4BB6" w:rsidP="002D4BB6">
      <w:pPr>
        <w:jc w:val="both"/>
        <w:rPr>
          <w:highlight w:val="lightGray"/>
        </w:rPr>
      </w:pPr>
      <w:r w:rsidRPr="006C1FFB">
        <w:rPr>
          <w:szCs w:val="22"/>
          <w:highlight w:val="lightGray"/>
        </w:rPr>
        <w:t xml:space="preserve">[Motion 122, #SP149, </w:t>
      </w:r>
      <w:sdt>
        <w:sdtPr>
          <w:rPr>
            <w:szCs w:val="22"/>
            <w:highlight w:val="lightGray"/>
          </w:rPr>
          <w:id w:val="-809715101"/>
          <w:citation/>
        </w:sdtPr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19_1755r7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[10]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208216648"/>
          <w:citation/>
        </w:sdtPr>
        <w:sdtContent>
          <w:r w:rsidRPr="006C1FFB">
            <w:rPr>
              <w:szCs w:val="22"/>
              <w:highlight w:val="lightGray"/>
            </w:rPr>
            <w:fldChar w:fldCharType="begin"/>
          </w:r>
          <w:r w:rsidRPr="006C1FFB">
            <w:rPr>
              <w:szCs w:val="22"/>
              <w:highlight w:val="lightGray"/>
            </w:rPr>
            <w:instrText xml:space="preserve"> CITATION 20_1119r0 \l 1033 </w:instrText>
          </w:r>
          <w:r w:rsidRPr="006C1FFB">
            <w:rPr>
              <w:szCs w:val="22"/>
              <w:highlight w:val="lightGray"/>
            </w:rPr>
            <w:fldChar w:fldCharType="separate"/>
          </w:r>
          <w:r w:rsidRPr="00F22244">
            <w:rPr>
              <w:noProof/>
              <w:szCs w:val="22"/>
              <w:highlight w:val="lightGray"/>
            </w:rPr>
            <w:t>[98]</w:t>
          </w:r>
          <w:r w:rsidRPr="006C1FFB">
            <w:rPr>
              <w:szCs w:val="22"/>
              <w:highlight w:val="lightGray"/>
            </w:rPr>
            <w:fldChar w:fldCharType="end"/>
          </w:r>
        </w:sdtContent>
      </w:sdt>
      <w:r w:rsidRPr="006C1FFB">
        <w:rPr>
          <w:szCs w:val="22"/>
          <w:highlight w:val="lightGray"/>
        </w:rPr>
        <w:t>]</w:t>
      </w:r>
    </w:p>
    <w:p w:rsidR="002D4BB6" w:rsidRPr="006E26BD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88" w:rsidRDefault="00C62088">
      <w:r>
        <w:separator/>
      </w:r>
    </w:p>
  </w:endnote>
  <w:endnote w:type="continuationSeparator" w:id="0">
    <w:p w:rsidR="00C62088" w:rsidRDefault="00C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A2" w:rsidRDefault="00800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A2" w:rsidRDefault="00800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88" w:rsidRDefault="00C62088">
      <w:r>
        <w:separator/>
      </w:r>
    </w:p>
  </w:footnote>
  <w:footnote w:type="continuationSeparator" w:id="0">
    <w:p w:rsidR="00C62088" w:rsidRDefault="00C6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A2" w:rsidRDefault="00800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246F5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F32545">
      <w:rPr>
        <w:color w:val="000000" w:themeColor="text1"/>
        <w:szCs w:val="28"/>
      </w:rPr>
      <w:t>1448r</w:t>
    </w:r>
    <w:r w:rsidR="00800BA2">
      <w:rPr>
        <w:color w:val="000000" w:themeColor="text1"/>
        <w:szCs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A2" w:rsidRDefault="00800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E084C"/>
    <w:multiLevelType w:val="hybridMultilevel"/>
    <w:tmpl w:val="8FB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24"/>
  </w:num>
  <w:num w:numId="8">
    <w:abstractNumId w:val="35"/>
  </w:num>
  <w:num w:numId="9">
    <w:abstractNumId w:val="21"/>
  </w:num>
  <w:num w:numId="10">
    <w:abstractNumId w:val="13"/>
  </w:num>
  <w:num w:numId="11">
    <w:abstractNumId w:val="42"/>
  </w:num>
  <w:num w:numId="12">
    <w:abstractNumId w:val="36"/>
  </w:num>
  <w:num w:numId="13">
    <w:abstractNumId w:val="15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6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9"/>
  </w:num>
  <w:num w:numId="37">
    <w:abstractNumId w:val="40"/>
  </w:num>
  <w:num w:numId="38">
    <w:abstractNumId w:val="23"/>
  </w:num>
  <w:num w:numId="39">
    <w:abstractNumId w:val="17"/>
  </w:num>
  <w:num w:numId="40">
    <w:abstractNumId w:val="14"/>
  </w:num>
  <w:num w:numId="41">
    <w:abstractNumId w:val="22"/>
  </w:num>
  <w:num w:numId="42">
    <w:abstractNumId w:val="39"/>
  </w:num>
  <w:num w:numId="43">
    <w:abstractNumId w:val="33"/>
  </w:num>
  <w:num w:numId="44">
    <w:abstractNumId w:val="2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6A5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2C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4BB6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FA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4D2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21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0FFE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BA2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078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8E0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102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57870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88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52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939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75E35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20_1119r0</b:Tag>
    <b:SourceType>JournalArticle</b:SourceType>
    <b:Guid>{1A3FA670-65D6-4EA2-9842-39F4F2B47D5D}</b:Guid>
    <b:Author>
      <b:Author>
        <b:Corporate>Bin Tian (Qualcomm)</b:Corporate>
      </b:Author>
    </b:Author>
    <b:Title>Remaining TBDs for DCM</b:Title>
    <b:JournalName>20/1119r0</b:JournalName>
    <b:Year>July 2020</b:Year>
    <b:RefOrder>98</b:RefOrder>
  </b:Source>
</b:Sources>
</file>

<file path=customXml/itemProps1.xml><?xml version="1.0" encoding="utf-8"?>
<ds:datastoreItem xmlns:ds="http://schemas.openxmlformats.org/officeDocument/2006/customXml" ds:itemID="{35ED7254-CF52-44A5-A69D-D4ACA158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96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8759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42</cp:revision>
  <cp:lastPrinted>2013-12-02T17:26:00Z</cp:lastPrinted>
  <dcterms:created xsi:type="dcterms:W3CDTF">2020-07-27T23:52:00Z</dcterms:created>
  <dcterms:modified xsi:type="dcterms:W3CDTF">2020-09-14T23:39:00Z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