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</w:t>
            </w:r>
            <w:proofErr w:type="spellEnd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Suh</w:t>
            </w:r>
            <w:proofErr w:type="spellEnd"/>
          </w:p>
        </w:tc>
        <w:tc>
          <w:tcPr>
            <w:tcW w:w="1472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B4AED" w:rsidRPr="006E26BD" w:rsidRDefault="008B4AED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BCC is applicable </w:t>
      </w:r>
      <w:r w:rsidR="00A64C1F" w:rsidRPr="006E26BD">
        <w:rPr>
          <w:rFonts w:asciiTheme="minorHAnsi" w:hAnsiTheme="minorHAnsi" w:cstheme="minorHAnsi"/>
        </w:rPr>
        <w:t>for small-size RUs and MRUs with</w:t>
      </w:r>
      <w:r w:rsidRPr="006E26BD">
        <w:rPr>
          <w:rFonts w:asciiTheme="minorHAnsi" w:hAnsiTheme="minorHAnsi" w:cstheme="minorHAnsi"/>
        </w:rPr>
        <w:t xml:space="preserve"> less than</w:t>
      </w:r>
      <w:r w:rsidR="00A64C1F" w:rsidRPr="006E26BD">
        <w:rPr>
          <w:rFonts w:asciiTheme="minorHAnsi" w:hAnsiTheme="minorHAnsi" w:cstheme="minorHAnsi"/>
        </w:rPr>
        <w:t xml:space="preserve"> or equal to 4</w:t>
      </w:r>
      <w:r w:rsidRPr="006E26BD">
        <w:rPr>
          <w:rFonts w:asciiTheme="minorHAnsi" w:hAnsiTheme="minorHAnsi" w:cstheme="minorHAnsi"/>
        </w:rPr>
        <w:t xml:space="preserve"> spatial streams and </w:t>
      </w:r>
      <w:r w:rsidR="00A64C1F" w:rsidRPr="006E26BD">
        <w:rPr>
          <w:rFonts w:asciiTheme="minorHAnsi" w:hAnsiTheme="minorHAnsi" w:cstheme="minorHAnsi"/>
        </w:rPr>
        <w:t xml:space="preserve">modulation size less than or equal to </w:t>
      </w:r>
      <w:r w:rsidRPr="006E26BD">
        <w:rPr>
          <w:rFonts w:asciiTheme="minorHAnsi" w:hAnsiTheme="minorHAnsi" w:cstheme="minorHAnsi"/>
        </w:rPr>
        <w:t>256 QAM.</w:t>
      </w:r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292810" w:rsidRPr="006E26BD" w:rsidRDefault="00A64C1F" w:rsidP="00292810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BCC encoder can be used for small-size</w:t>
      </w:r>
      <w:r w:rsidRPr="006E26BD">
        <w:rPr>
          <w:rFonts w:asciiTheme="minorHAnsi" w:hAnsiTheme="minorHAnsi" w:cstheme="minorHAnsi"/>
          <w:color w:val="0070C0"/>
        </w:rPr>
        <w:t xml:space="preserve"> </w:t>
      </w:r>
      <w:r w:rsidRPr="006E26BD">
        <w:rPr>
          <w:rFonts w:asciiTheme="minorHAnsi" w:hAnsiTheme="minorHAnsi" w:cstheme="minorHAnsi"/>
        </w:rPr>
        <w:t xml:space="preserve">MRUs. </w:t>
      </w:r>
      <w:r w:rsidR="008B4AED" w:rsidRPr="006E26BD">
        <w:rPr>
          <w:rFonts w:asciiTheme="minorHAnsi" w:hAnsiTheme="minorHAnsi" w:cstheme="minorHAnsi"/>
        </w:rPr>
        <w:t xml:space="preserve">A joint BCC encoder is applied to small-size MRUs. The encoded bits from the </w:t>
      </w:r>
      <w:r w:rsidR="000327EB" w:rsidRPr="006E26BD">
        <w:rPr>
          <w:rFonts w:asciiTheme="minorHAnsi" w:hAnsiTheme="minorHAnsi" w:cstheme="minorHAnsi"/>
        </w:rPr>
        <w:t>joint</w:t>
      </w:r>
      <w:r w:rsidR="008B4AED" w:rsidRPr="006E26BD">
        <w:rPr>
          <w:rFonts w:asciiTheme="minorHAnsi" w:hAnsiTheme="minorHAnsi" w:cstheme="minorHAnsi"/>
        </w:rPr>
        <w:t xml:space="preserve"> BCC are interleaved </w:t>
      </w:r>
      <w:r w:rsidR="000327EB" w:rsidRPr="006E26BD">
        <w:rPr>
          <w:rFonts w:asciiTheme="minorHAnsi" w:hAnsiTheme="minorHAnsi" w:cstheme="minorHAnsi"/>
        </w:rPr>
        <w:t>over the whole</w:t>
      </w:r>
      <w:r w:rsidR="008B4AED" w:rsidRPr="006E26BD">
        <w:rPr>
          <w:rFonts w:asciiTheme="minorHAnsi" w:hAnsiTheme="minorHAnsi" w:cstheme="minorHAnsi"/>
        </w:rPr>
        <w:t xml:space="preserve"> MRU.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</w:t>
      </w:r>
      <w:r w:rsidR="00292810">
        <w:rPr>
          <w:rFonts w:asciiTheme="minorHAnsi" w:hAnsiTheme="minorHAnsi" w:cstheme="minorHAnsi"/>
        </w:rPr>
        <w:t>T</w:t>
      </w:r>
      <w:r w:rsidR="000327EB" w:rsidRPr="006E26BD">
        <w:rPr>
          <w:rFonts w:asciiTheme="minorHAnsi" w:hAnsiTheme="minorHAnsi" w:cstheme="minorHAnsi"/>
        </w:rPr>
        <w:t xml:space="preserve">able </w:t>
      </w:r>
      <w:r w:rsidR="00292810">
        <w:rPr>
          <w:rFonts w:asciiTheme="minorHAnsi" w:hAnsiTheme="minorHAnsi" w:cstheme="minorHAnsi"/>
        </w:rPr>
        <w:t>34</w:t>
      </w:r>
      <w:r w:rsidR="000327EB" w:rsidRPr="006E26BD">
        <w:rPr>
          <w:rFonts w:asciiTheme="minorHAnsi" w:hAnsiTheme="minorHAnsi" w:cstheme="minorHAnsi"/>
        </w:rPr>
        <w:t>-x1.</w:t>
      </w:r>
      <w:r w:rsidR="00292810">
        <w:rPr>
          <w:rFonts w:asciiTheme="minorHAnsi" w:hAnsiTheme="minorHAnsi" w:cstheme="minorHAnsi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Since DCM is applied only to the BPSK and single stream case,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ROT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not applicable and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ROW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determined without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BPSCS</w:t>
      </w:r>
      <w:r w:rsidR="00292810" w:rsidRPr="001C0D36">
        <w:rPr>
          <w:rFonts w:asciiTheme="minorHAnsi" w:hAnsiTheme="minorHAnsi" w:cstheme="minorHAnsi"/>
          <w:color w:val="FF0000"/>
        </w:rPr>
        <w:t>.</w:t>
      </w:r>
    </w:p>
    <w:p w:rsidR="00292810" w:rsidRPr="006E26BD" w:rsidRDefault="00292810" w:rsidP="002928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52 + RU 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106 + RU 26</w:t>
            </w:r>
          </w:p>
        </w:tc>
      </w:tr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Not 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21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Table </w:t>
      </w:r>
      <w:r w:rsidR="00292810">
        <w:rPr>
          <w:rFonts w:asciiTheme="minorHAnsi" w:hAnsiTheme="minorHAnsi" w:cstheme="minorHAnsi"/>
        </w:rPr>
        <w:t>34</w:t>
      </w:r>
      <w:r w:rsidRPr="006E26BD">
        <w:rPr>
          <w:rFonts w:asciiTheme="minorHAnsi" w:hAnsiTheme="minorHAnsi" w:cstheme="minorHAnsi"/>
        </w:rPr>
        <w:t xml:space="preserve">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MRU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  <w:bookmarkStart w:id="0" w:name="_GoBack"/>
      <w:bookmarkEnd w:id="0"/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RU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RU and the upper half data subcarriers of the RU.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RU size and the values for different RU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RU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24659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Ref48221707"/>
            <w:bookmarkStart w:id="2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1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RU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2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RU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24659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lastRenderedPageBreak/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2/TBD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3/TBD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9/TBD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RU located in this subblock.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proofErr w:type="spellStart"/>
      <w:r w:rsidRPr="006E26BD">
        <w:rPr>
          <w:rFonts w:asciiTheme="minorHAnsi" w:hAnsiTheme="minorHAnsi" w:cstheme="minorHAnsi"/>
        </w:rPr>
        <w:t>aggeragated</w:t>
      </w:r>
      <w:proofErr w:type="spellEnd"/>
      <w:r w:rsidRPr="006E26BD">
        <w:rPr>
          <w:rFonts w:asciiTheme="minorHAnsi" w:hAnsiTheme="minorHAnsi" w:cstheme="minorHAnsi"/>
        </w:rPr>
        <w:t xml:space="preserve"> RU located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>3</w:t>
      </w:r>
      <w:r w:rsidR="00CF3470">
        <w:rPr>
          <w:rFonts w:asciiTheme="minorHAnsi" w:hAnsiTheme="minorHAnsi" w:cstheme="minorHAnsi"/>
          <w:color w:val="FF0000"/>
        </w:rPr>
        <w:t>4</w:t>
      </w:r>
      <w:r w:rsidRPr="006E26BD">
        <w:rPr>
          <w:rFonts w:asciiTheme="minorHAnsi" w:hAnsiTheme="minorHAnsi" w:cstheme="minorHAnsi"/>
          <w:color w:val="FF0000"/>
        </w:rPr>
        <w:t xml:space="preserve">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3" w:name="_Ref48235720"/>
      <w:bookmarkStart w:id="4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4"/>
    </w:p>
    <w:bookmarkStart w:id="5" w:name="RTF32323136353a204571756174"/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7.25pt" o:ole="">
            <v:imagedata r:id="rId8" o:title=""/>
          </v:shape>
          <o:OLEObject Type="Embed" ProgID="Equation.DSMT4" ShapeID="_x0000_i1025" DrawAspect="Content" ObjectID="_1661338897" r:id="rId9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620" w:dyaOrig="340">
          <v:shape id="_x0000_i1026" type="#_x0000_t75" style="width:431.25pt;height:17.25pt" o:ole="">
            <v:imagedata r:id="rId10" o:title=""/>
          </v:shape>
          <o:OLEObject Type="Embed" ProgID="Equation.DSMT4" ShapeID="_x0000_i1026" DrawAspect="Content" ObjectID="_1661338898" r:id="rId11"/>
        </w:object>
      </w:r>
      <w:bookmarkEnd w:id="5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61338899" r:id="rId1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28" type="#_x0000_t75" style="width:77.25pt;height:15pt" o:ole="">
            <v:imagedata r:id="rId14" o:title=""/>
          </v:shape>
          <o:OLEObject Type="Embed" ProgID="Equation.DSMT4" ShapeID="_x0000_i1028" DrawAspect="Content" ObjectID="_1661338900" r:id="rId1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29" type="#_x0000_t75" style="width:299.25pt;height:60.75pt" o:ole="">
            <v:imagedata r:id="rId16" o:title=""/>
          </v:shape>
          <o:OLEObject Type="Embed" ProgID="Equation.DSMT4" ShapeID="_x0000_i1029" DrawAspect="Content" ObjectID="_1661338901" r:id="rId17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30" type="#_x0000_t75" style="width:74.25pt;height:15.75pt" o:ole="">
            <v:imagedata r:id="rId18" o:title=""/>
          </v:shape>
          <o:OLEObject Type="Embed" ProgID="Equation.DSMT4" ShapeID="_x0000_i1030" DrawAspect="Content" ObjectID="_1661338902" r:id="rId19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31" type="#_x0000_t75" style="width:69pt;height:15pt" o:ole="">
            <v:imagedata r:id="rId20" o:title=""/>
          </v:shape>
          <o:OLEObject Type="Embed" ProgID="Equation.DSMT4" ShapeID="_x0000_i1031" DrawAspect="Content" ObjectID="_1661338903" r:id="rId21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32" type="#_x0000_t75" style="width:27.75pt;height:17.25pt" o:ole="">
            <v:imagedata r:id="rId22" o:title=""/>
          </v:shape>
          <o:OLEObject Type="Embed" ProgID="Equation.DSMT4" ShapeID="_x0000_i1032" DrawAspect="Content" ObjectID="_1661338904" r:id="rId23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DD688C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30"/>
          <w:sz w:val="24"/>
          <w:szCs w:val="24"/>
        </w:rPr>
        <w:object w:dxaOrig="3560" w:dyaOrig="700">
          <v:shape id="_x0000_i1033" type="#_x0000_t75" style="width:177.75pt;height:35.25pt" o:ole="">
            <v:imagedata r:id="rId24" o:title=""/>
          </v:shape>
          <o:OLEObject Type="Embed" ProgID="Equation.DSMT4" ShapeID="_x0000_i1033" DrawAspect="Content" ObjectID="_1661338905" r:id="rId2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DSMT4" ShapeID="_x0000_i1034" DrawAspect="Content" ObjectID="_1661338906" r:id="rId27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aggeragated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6" w:name="_Ref48252393"/>
      <w:bookmarkStart w:id="7" w:name="RTF3839343433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lastRenderedPageBreak/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 id="_x0000_i1035" type="#_x0000_t75" style="width:105pt;height:17.25pt" o:ole="">
            <v:imagedata r:id="rId8" o:title=""/>
          </v:shape>
          <o:OLEObject Type="Embed" ProgID="Equation.DSMT4" ShapeID="_x0000_i1035" DrawAspect="Content" ObjectID="_1661338907" r:id="rId28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740" w:dyaOrig="340">
          <v:shape id="_x0000_i1036" type="#_x0000_t75" style="width:437.25pt;height:17.25pt" o:ole="">
            <v:imagedata r:id="rId29" o:title=""/>
          </v:shape>
          <o:OLEObject Type="Embed" ProgID="Equation.DSMT4" ShapeID="_x0000_i1036" DrawAspect="Content" ObjectID="_1661338908" r:id="rId30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37" type="#_x0000_t75" style="width:63.75pt;height:17.25pt" o:ole="">
            <v:imagedata r:id="rId12" o:title=""/>
          </v:shape>
          <o:OLEObject Type="Embed" ProgID="Equation.DSMT4" ShapeID="_x0000_i1037" DrawAspect="Content" ObjectID="_1661338909" r:id="rId31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38" type="#_x0000_t75" style="width:77.25pt;height:15pt" o:ole="">
            <v:imagedata r:id="rId14" o:title=""/>
          </v:shape>
          <o:OLEObject Type="Embed" ProgID="Equation.DSMT4" ShapeID="_x0000_i1038" DrawAspect="Content" ObjectID="_1661338910" r:id="rId32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39" type="#_x0000_t75" style="width:299.25pt;height:60.75pt" o:ole="">
            <v:imagedata r:id="rId16" o:title=""/>
          </v:shape>
          <o:OLEObject Type="Embed" ProgID="Equation.DSMT4" ShapeID="_x0000_i1039" DrawAspect="Content" ObjectID="_1661338911" r:id="rId3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40" type="#_x0000_t75" style="width:74.25pt;height:15.75pt" o:ole="">
            <v:imagedata r:id="rId18" o:title=""/>
          </v:shape>
          <o:OLEObject Type="Embed" ProgID="Equation.DSMT4" ShapeID="_x0000_i1040" DrawAspect="Content" ObjectID="_1661338912" r:id="rId34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41" type="#_x0000_t75" style="width:69pt;height:15pt" o:ole="">
            <v:imagedata r:id="rId20" o:title=""/>
          </v:shape>
          <o:OLEObject Type="Embed" ProgID="Equation.DSMT4" ShapeID="_x0000_i1041" DrawAspect="Content" ObjectID="_1661338913" r:id="rId3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42" type="#_x0000_t75" style="width:27.75pt;height:17.25pt" o:ole="">
            <v:imagedata r:id="rId22" o:title=""/>
          </v:shape>
          <o:OLEObject Type="Embed" ProgID="Equation.DSMT4" ShapeID="_x0000_i1042" DrawAspect="Content" ObjectID="_1661338914" r:id="rId36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68"/>
          <w:sz w:val="24"/>
          <w:szCs w:val="24"/>
        </w:rPr>
        <w:object w:dxaOrig="8340" w:dyaOrig="1460">
          <v:shape id="_x0000_i1043" type="#_x0000_t75" style="width:417pt;height:72.75pt" o:ole="">
            <v:imagedata r:id="rId37" o:title=""/>
          </v:shape>
          <o:OLEObject Type="Embed" ProgID="Equation.DSMT4" ShapeID="_x0000_i1043" DrawAspect="Content" ObjectID="_1661338915" r:id="rId38"/>
        </w:object>
      </w:r>
      <w:bookmarkEnd w:id="7"/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1040" w:dyaOrig="340">
          <v:shape id="_x0000_i1044" type="#_x0000_t75" style="width:51.75pt;height:17.25pt" o:ole="">
            <v:imagedata r:id="rId39" o:title=""/>
          </v:shape>
          <o:OLEObject Type="Embed" ProgID="Equation.DSMT4" ShapeID="_x0000_i1044" DrawAspect="Content" ObjectID="_1661338916" r:id="rId40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NOTE—LDPC tone mapper for a 26-, 52-, 106-, 242-, 484- and 996-tone RU is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proofErr w:type="gramStart"/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proofErr w:type="gramEnd"/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8" w:name="_Ref48255675"/>
      <w:bookmarkStart w:id="9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8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860" w:dyaOrig="320">
          <v:shape id="_x0000_i1045" type="#_x0000_t75" style="width:93pt;height:15.75pt" o:ole="">
            <v:imagedata r:id="rId41" o:title=""/>
          </v:shape>
          <o:OLEObject Type="Embed" ProgID="Equation.DSMT4" ShapeID="_x0000_i1045" DrawAspect="Content" ObjectID="_1661338917" r:id="rId42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000" w:dyaOrig="340">
          <v:shape id="_x0000_i1046" type="#_x0000_t75" style="width:249.75pt;height:17.25pt" o:ole="">
            <v:imagedata r:id="rId43" o:title=""/>
          </v:shape>
          <o:OLEObject Type="Embed" ProgID="Equation.DSMT4" ShapeID="_x0000_i1046" DrawAspect="Content" ObjectID="_1661338918" r:id="rId44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47" type="#_x0000_t75" style="width:63.75pt;height:17.25pt" o:ole="">
            <v:imagedata r:id="rId12" o:title=""/>
          </v:shape>
          <o:OLEObject Type="Embed" ProgID="Equation.DSMT4" ShapeID="_x0000_i1047" DrawAspect="Content" ObjectID="_1661338919" r:id="rId4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48" type="#_x0000_t75" style="width:77.25pt;height:15pt" o:ole="">
            <v:imagedata r:id="rId14" o:title=""/>
          </v:shape>
          <o:OLEObject Type="Embed" ProgID="Equation.DSMT4" ShapeID="_x0000_i1048" DrawAspect="Content" ObjectID="_1661338920" r:id="rId46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3860" w:dyaOrig="300">
          <v:shape id="_x0000_i1049" type="#_x0000_t75" style="width:192.75pt;height:15pt" o:ole="">
            <v:imagedata r:id="rId47" o:title=""/>
          </v:shape>
          <o:OLEObject Type="Embed" ProgID="Equation.DSMT4" ShapeID="_x0000_i1049" DrawAspect="Content" ObjectID="_1661338921" r:id="rId48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50" type="#_x0000_t75" style="width:74.25pt;height:15.75pt" o:ole="">
            <v:imagedata r:id="rId18" o:title=""/>
          </v:shape>
          <o:OLEObject Type="Embed" ProgID="Equation.DSMT4" ShapeID="_x0000_i1050" DrawAspect="Content" ObjectID="_1661338922" r:id="rId49"/>
        </w:object>
      </w:r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51" type="#_x0000_t75" style="width:69pt;height:15pt" o:ole="">
            <v:imagedata r:id="rId20" o:title=""/>
          </v:shape>
          <o:OLEObject Type="Embed" ProgID="Equation.DSMT4" ShapeID="_x0000_i1051" DrawAspect="Content" ObjectID="_1661338923" r:id="rId50"/>
        </w:object>
      </w:r>
    </w:p>
    <w:bookmarkEnd w:id="9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default" r:id="rId51"/>
      <w:footerReference w:type="default" r:id="rId5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20" w:rsidRDefault="00FA6E20">
      <w:r>
        <w:separator/>
      </w:r>
    </w:p>
  </w:endnote>
  <w:endnote w:type="continuationSeparator" w:id="0">
    <w:p w:rsidR="00FA6E20" w:rsidRDefault="00FA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20" w:rsidRDefault="00FA6E20">
      <w:r>
        <w:separator/>
      </w:r>
    </w:p>
  </w:footnote>
  <w:footnote w:type="continuationSeparator" w:id="0">
    <w:p w:rsidR="00FA6E20" w:rsidRDefault="00FA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246F5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F32545">
      <w:rPr>
        <w:color w:val="000000" w:themeColor="text1"/>
        <w:szCs w:val="28"/>
      </w:rPr>
      <w:t>1448r</w:t>
    </w:r>
    <w:r w:rsidR="00292810">
      <w:rPr>
        <w:color w:val="000000" w:themeColor="text1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7"/>
  </w:num>
  <w:num w:numId="7">
    <w:abstractNumId w:val="23"/>
  </w:num>
  <w:num w:numId="8">
    <w:abstractNumId w:val="34"/>
  </w:num>
  <w:num w:numId="9">
    <w:abstractNumId w:val="20"/>
  </w:num>
  <w:num w:numId="10">
    <w:abstractNumId w:val="12"/>
  </w:num>
  <w:num w:numId="11">
    <w:abstractNumId w:val="41"/>
  </w:num>
  <w:num w:numId="12">
    <w:abstractNumId w:val="35"/>
  </w:num>
  <w:num w:numId="13">
    <w:abstractNumId w:val="14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2"/>
  </w:num>
  <w:num w:numId="21">
    <w:abstractNumId w:val="36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5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9"/>
  </w:num>
  <w:num w:numId="38">
    <w:abstractNumId w:val="22"/>
  </w:num>
  <w:num w:numId="39">
    <w:abstractNumId w:val="16"/>
  </w:num>
  <w:num w:numId="40">
    <w:abstractNumId w:val="13"/>
  </w:num>
  <w:num w:numId="41">
    <w:abstractNumId w:val="21"/>
  </w:num>
  <w:num w:numId="42">
    <w:abstractNumId w:val="38"/>
  </w:num>
  <w:num w:numId="43">
    <w:abstractNumId w:val="3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</b:Sources>
</file>

<file path=customXml/itemProps1.xml><?xml version="1.0" encoding="utf-8"?>
<ds:datastoreItem xmlns:ds="http://schemas.openxmlformats.org/officeDocument/2006/customXml" ds:itemID="{6B490BB2-EF69-42ED-BC14-5B56DA9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76</TotalTime>
  <Pages>9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8357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30</cp:revision>
  <cp:lastPrinted>2013-12-02T17:26:00Z</cp:lastPrinted>
  <dcterms:created xsi:type="dcterms:W3CDTF">2020-07-27T23:52:00Z</dcterms:created>
  <dcterms:modified xsi:type="dcterms:W3CDTF">2020-09-11T21:14:00Z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