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27AF2BD" w:rsidR="00DE584F" w:rsidRPr="00183F4C" w:rsidRDefault="00DE584F" w:rsidP="00D202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E1777C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15E08A7C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Rev1: Updated version based on received comments.</w:t>
      </w:r>
    </w:p>
    <w:p w14:paraId="09D2AC81" w14:textId="4E69A281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Rev2: Modified the definition parts and some wording changes</w:t>
      </w:r>
    </w:p>
    <w:p w14:paraId="78562D70" w14:textId="635CCE8F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Rev3: Removed the last 3 paragraphs</w:t>
      </w:r>
      <w:bookmarkStart w:id="0" w:name="_GoBack"/>
      <w:bookmarkEnd w:id="0"/>
    </w:p>
    <w:p w14:paraId="57166633" w14:textId="77777777" w:rsidR="009008D2" w:rsidRDefault="009008D2" w:rsidP="009008D2">
      <w:r>
        <w:br w:type="page"/>
      </w:r>
    </w:p>
    <w:p w14:paraId="296CFCA5" w14:textId="18F5DDBF" w:rsidR="00CE4BAA" w:rsidRPr="004F3AF6" w:rsidRDefault="000F16B9" w:rsidP="00CE4BAA">
      <w:pPr>
        <w:rPr>
          <w:lang w:eastAsia="ko-KR"/>
        </w:rPr>
      </w:pPr>
      <w:r>
        <w:lastRenderedPageBreak/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3CEA26D3" w14:textId="272FB586" w:rsidR="009058AC" w:rsidRDefault="00124236" w:rsidP="00C21B42">
      <w:pPr>
        <w:jc w:val="both"/>
      </w:pPr>
      <w:r>
        <w:rPr>
          <w:b/>
          <w:bCs/>
          <w:lang w:val="en-US"/>
        </w:rPr>
        <w:t xml:space="preserve">Soft </w:t>
      </w:r>
      <w:r w:rsidR="009058AC">
        <w:rPr>
          <w:b/>
          <w:bCs/>
        </w:rPr>
        <w:t>access point (AP) multi-link device (MLD):</w:t>
      </w:r>
      <w:r w:rsidR="009058AC">
        <w:t xml:space="preserve"> A</w:t>
      </w:r>
      <w:r w:rsidR="00B9726D">
        <w:t>n</w:t>
      </w:r>
      <w:r w:rsidR="004F1548">
        <w:t xml:space="preserve"> </w:t>
      </w:r>
      <w:r w:rsidR="009058AC">
        <w:t>MLD</w:t>
      </w:r>
      <w:r w:rsidR="00A87D9C">
        <w:t xml:space="preserve"> </w:t>
      </w:r>
      <w:r w:rsidR="00A47748">
        <w:t xml:space="preserve">that </w:t>
      </w:r>
      <w:r w:rsidR="00B9726D">
        <w:t>c</w:t>
      </w:r>
      <w:r w:rsidR="00A87D9C">
        <w:t>onsists of</w:t>
      </w:r>
      <w:r w:rsidR="009058AC">
        <w:t xml:space="preserve"> </w:t>
      </w:r>
      <w:r w:rsidR="00C21B42">
        <w:t xml:space="preserve">more than one </w:t>
      </w:r>
      <w:r w:rsidR="009058AC">
        <w:t>station (STA</w:t>
      </w:r>
      <w:r w:rsidR="00C21B42">
        <w:t>s</w:t>
      </w:r>
      <w:r w:rsidR="009058AC">
        <w:t xml:space="preserve">) affiliated with </w:t>
      </w:r>
      <w:r w:rsidR="00A87D9C">
        <w:t xml:space="preserve">a </w:t>
      </w:r>
      <w:r w:rsidR="00C21B42">
        <w:t xml:space="preserve">non-AP </w:t>
      </w:r>
      <w:r w:rsidR="009058AC">
        <w:t>MLD</w:t>
      </w:r>
      <w:r w:rsidR="00B9726D">
        <w:t>, where those STAs</w:t>
      </w:r>
      <w:r w:rsidR="009058AC">
        <w:t xml:space="preserve"> </w:t>
      </w:r>
      <w:r w:rsidR="00A47748">
        <w:t xml:space="preserve">are </w:t>
      </w:r>
      <w:r w:rsidR="00B9726D">
        <w:t>only</w:t>
      </w:r>
      <w:r w:rsidR="00970556">
        <w:t xml:space="preserve"> </w:t>
      </w:r>
      <w:r w:rsidR="00C21B42">
        <w:t>operate</w:t>
      </w:r>
      <w:r w:rsidR="00970556">
        <w:t>d</w:t>
      </w:r>
      <w:r w:rsidR="00C21B42">
        <w:t xml:space="preserve"> as A</w:t>
      </w:r>
      <w:r>
        <w:t>P</w:t>
      </w:r>
      <w:r w:rsidR="00C21B42">
        <w:t>s</w:t>
      </w:r>
      <w:r w:rsidR="00A47748">
        <w:t xml:space="preserve"> by the MLD</w:t>
      </w:r>
      <w:r w:rsidR="008750E3">
        <w:t xml:space="preserve"> </w:t>
      </w:r>
      <w:r w:rsidR="004F1548">
        <w:t xml:space="preserve">under </w:t>
      </w:r>
      <w:r w:rsidR="008750E3">
        <w:t xml:space="preserve">TBD conditions. </w:t>
      </w:r>
    </w:p>
    <w:p w14:paraId="014461DC" w14:textId="47C6779C" w:rsidR="00452DE3" w:rsidRPr="00C21B42" w:rsidRDefault="00452DE3" w:rsidP="00C21B42">
      <w:pPr>
        <w:jc w:val="both"/>
      </w:pPr>
      <w:r w:rsidRPr="00F86E1D">
        <w:rPr>
          <w:b/>
        </w:rPr>
        <w:t>Non-STR soft access point (AP) multi-link device (MLD):</w:t>
      </w:r>
      <w:r>
        <w:t xml:space="preserve"> A non-STR MLD</w:t>
      </w:r>
      <w:r w:rsidR="00A87D9C">
        <w:t xml:space="preserve"> </w:t>
      </w:r>
      <w:r w:rsidR="00A47748">
        <w:t xml:space="preserve">that </w:t>
      </w:r>
      <w:r w:rsidR="00A87D9C">
        <w:t xml:space="preserve">consists of </w:t>
      </w:r>
      <w:r>
        <w:t xml:space="preserve">more than one station (STAs) affiliated with </w:t>
      </w:r>
      <w:r w:rsidR="00A87D9C">
        <w:t>a</w:t>
      </w:r>
      <w:r>
        <w:t xml:space="preserve"> non-STR non-AP MLD</w:t>
      </w:r>
      <w:r w:rsidR="00A87D9C">
        <w:t xml:space="preserve">, where those STAs </w:t>
      </w:r>
      <w:r w:rsidR="00A47748">
        <w:t xml:space="preserve">are </w:t>
      </w:r>
      <w:r w:rsidR="00A87D9C">
        <w:t>only</w:t>
      </w:r>
      <w:r>
        <w:t xml:space="preserve"> operate</w:t>
      </w:r>
      <w:r w:rsidR="00A47748">
        <w:t>d</w:t>
      </w:r>
      <w:r>
        <w:t xml:space="preserve"> as APs</w:t>
      </w:r>
      <w:r w:rsidR="00A47748">
        <w:t xml:space="preserve"> by the non-STR MLD</w:t>
      </w:r>
      <w:r>
        <w:t xml:space="preserve"> under TBD conditions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proofErr w:type="gramEnd"/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28E0199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proofErr w:type="gramEnd"/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 xml:space="preserve">Non-STR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</w:t>
      </w:r>
      <w:proofErr w:type="gramStart"/>
      <w:r w:rsidRPr="00252719">
        <w:rPr>
          <w:rStyle w:val="SC7204809"/>
          <w:rFonts w:ascii="Arial" w:hAnsi="Arial" w:cs="Arial"/>
          <w:sz w:val="20"/>
          <w:szCs w:val="20"/>
        </w:rPr>
        <w:t>.x.y.1</w:t>
      </w:r>
      <w:proofErr w:type="gramEnd"/>
      <w:r w:rsidRPr="00252719">
        <w:rPr>
          <w:rStyle w:val="SC7204809"/>
          <w:rFonts w:ascii="Arial" w:hAnsi="Arial" w:cs="Arial"/>
          <w:sz w:val="20"/>
          <w:szCs w:val="20"/>
        </w:rPr>
        <w:t xml:space="preserve">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36355D32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r w:rsidR="00452DE3">
        <w:rPr>
          <w:rFonts w:ascii="Arial" w:eastAsia="Times New Roman" w:hAnsi="Arial" w:cs="Arial"/>
          <w:szCs w:val="18"/>
          <w:lang w:eastAsia="ko-KR"/>
        </w:rPr>
        <w:t xml:space="preserve">non-STR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>SoftAPMLDActivated to true. If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SoftAPMLDActivated is equal to true, then the soft AP MLD establishes an EHT BSS following the rules defined in 33.x (EHT BSS Operation) </w:t>
      </w:r>
      <w:ins w:id="1" w:author="Author"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and </w:t>
        </w:r>
        <w:commentRangeStart w:id="2"/>
        <w:r w:rsidR="00D64D8F">
          <w:rPr>
            <w:rFonts w:ascii="Arial" w:eastAsia="Times New Roman" w:hAnsi="Arial" w:cs="Arial"/>
            <w:szCs w:val="18"/>
            <w:lang w:eastAsia="ko-KR"/>
          </w:rPr>
          <w:t>utilizes all its links</w:t>
        </w:r>
        <w:commentRangeEnd w:id="2"/>
        <w:r w:rsidR="00D64D8F">
          <w:rPr>
            <w:rStyle w:val="CommentReference"/>
            <w:rFonts w:ascii="Calibri" w:hAnsi="Calibri"/>
          </w:rPr>
          <w:commentReference w:id="2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</w:ins>
      <w:del w:id="3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4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5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6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7" w:author="Author"/>
          <w:rFonts w:ascii="Arial" w:eastAsia="Times New Roman" w:hAnsi="Arial" w:cs="Arial"/>
          <w:szCs w:val="18"/>
          <w:lang w:eastAsia="ko-KR"/>
        </w:rPr>
      </w:pPr>
      <w:del w:id="8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9" w:author="Author"/>
          <w:rFonts w:ascii="Arial" w:eastAsia="Times New Roman" w:hAnsi="Arial" w:cs="Arial"/>
          <w:szCs w:val="18"/>
          <w:lang w:val="en-US" w:eastAsia="ko-KR"/>
        </w:rPr>
      </w:pPr>
      <w:del w:id="1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11" w:author="Author"/>
          <w:rFonts w:ascii="Arial" w:eastAsia="Times New Roman" w:hAnsi="Arial" w:cs="Arial"/>
          <w:szCs w:val="18"/>
          <w:lang w:val="en-US" w:eastAsia="ko-KR"/>
        </w:rPr>
      </w:pPr>
      <w:del w:id="12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13" w:author="Author"/>
          <w:rFonts w:ascii="Arial" w:eastAsia="Times New Roman" w:hAnsi="Arial" w:cs="Arial"/>
          <w:szCs w:val="18"/>
          <w:lang w:eastAsia="ko-KR"/>
        </w:rPr>
      </w:pPr>
      <w:del w:id="14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15"/>
        <w:commentRangeStart w:id="16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15"/>
      <w:r w:rsidR="00D64D8F">
        <w:rPr>
          <w:rStyle w:val="CommentReference"/>
          <w:rFonts w:ascii="Calibri" w:hAnsi="Calibri"/>
        </w:rPr>
        <w:commentReference w:id="15"/>
      </w:r>
      <w:commentRangeEnd w:id="16"/>
      <w:r w:rsidR="00AF74FB">
        <w:rPr>
          <w:rStyle w:val="CommentReference"/>
          <w:rFonts w:ascii="Calibri" w:hAnsi="Calibri"/>
        </w:rPr>
        <w:commentReference w:id="16"/>
      </w:r>
      <w:del w:id="1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1E8BD1C8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6533C2">
        <w:rPr>
          <w:rFonts w:eastAsiaTheme="minorEastAsia"/>
          <w:b/>
          <w:color w:val="FF0000"/>
          <w:sz w:val="20"/>
          <w:lang w:eastAsia="ko-KR"/>
        </w:rPr>
        <w:t>1407r</w:t>
      </w:r>
      <w:r w:rsidR="00C9272E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15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16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CFCAF" w14:textId="77777777" w:rsidR="00E1777C" w:rsidRDefault="00E1777C">
      <w:r>
        <w:separator/>
      </w:r>
    </w:p>
  </w:endnote>
  <w:endnote w:type="continuationSeparator" w:id="0">
    <w:p w14:paraId="61AD4442" w14:textId="77777777" w:rsidR="00E1777C" w:rsidRDefault="00E1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E177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916CCC">
      <w:rPr>
        <w:noProof/>
      </w:rPr>
      <w:t>3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8DC3F" w14:textId="77777777" w:rsidR="00E1777C" w:rsidRDefault="00E1777C">
      <w:r>
        <w:separator/>
      </w:r>
    </w:p>
  </w:footnote>
  <w:footnote w:type="continuationSeparator" w:id="0">
    <w:p w14:paraId="5A7FE13C" w14:textId="77777777" w:rsidR="00E1777C" w:rsidRDefault="00E1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35B935B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E1777C">
      <w:fldChar w:fldCharType="begin"/>
    </w:r>
    <w:r w:rsidR="00E1777C">
      <w:instrText xml:space="preserve"> TITLE  \* MERGEFORMAT </w:instrText>
    </w:r>
    <w:r w:rsidR="00E1777C">
      <w:fldChar w:fldCharType="separate"/>
    </w:r>
    <w:r w:rsidR="00DF0FE1">
      <w:t>doc.: IEEE 802.11-</w:t>
    </w:r>
    <w:r w:rsidR="007D38EA">
      <w:t>20</w:t>
    </w:r>
    <w:r w:rsidR="00DF0FE1">
      <w:t>/</w:t>
    </w:r>
    <w:r w:rsidR="007E078C">
      <w:t>1</w:t>
    </w:r>
    <w:r>
      <w:t>407</w:t>
    </w:r>
    <w:r w:rsidR="00DF0FE1">
      <w:rPr>
        <w:lang w:eastAsia="ko-KR"/>
      </w:rPr>
      <w:t>r</w:t>
    </w:r>
    <w:r w:rsidR="00E1777C">
      <w:rPr>
        <w:lang w:eastAsia="ko-KR"/>
      </w:rPr>
      <w:fldChar w:fldCharType="end"/>
    </w:r>
    <w:r w:rsidR="001E5A9E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26B2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C05E9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500C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4083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AAE474DF-3A5C-4AFE-B2CD-A042D302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2020-09-10T19:30:00Z</dcterms:created>
  <dcterms:modified xsi:type="dcterms:W3CDTF">2020-09-10T19:39:00Z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