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27AF2BD" w:rsidR="00DE584F" w:rsidRPr="00183F4C" w:rsidRDefault="00DE584F" w:rsidP="00D202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277326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  <w:rPr>
          <w:ins w:id="0" w:author="Author"/>
        </w:rPr>
      </w:pPr>
      <w:r>
        <w:t>Rev 0: Initial version of the document.</w:t>
      </w:r>
    </w:p>
    <w:p w14:paraId="55FB986A" w14:textId="15E08A7C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ins w:id="1" w:author="Author">
        <w:r>
          <w:t>Rev1: Updated version based on received comments.</w:t>
        </w:r>
      </w:ins>
    </w:p>
    <w:p w14:paraId="57166633" w14:textId="77777777" w:rsidR="009008D2" w:rsidRDefault="009008D2" w:rsidP="009008D2">
      <w:r>
        <w:br w:type="page"/>
      </w:r>
    </w:p>
    <w:p w14:paraId="296CFCA5" w14:textId="18F5DDBF" w:rsidR="00CE4BAA" w:rsidRPr="004F3AF6" w:rsidRDefault="000F16B9" w:rsidP="00CE4BAA">
      <w:pPr>
        <w:rPr>
          <w:lang w:eastAsia="ko-KR"/>
        </w:rPr>
      </w:pPr>
      <w:r>
        <w:lastRenderedPageBreak/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77777777" w:rsidR="009058AC" w:rsidRDefault="009058AC" w:rsidP="009058AC">
      <w:pPr>
        <w:pStyle w:val="H1"/>
        <w:numPr>
          <w:ilvl w:val="0"/>
          <w:numId w:val="16"/>
        </w:numPr>
        <w:ind w:left="0"/>
        <w:rPr>
          <w:w w:val="100"/>
        </w:rPr>
      </w:pPr>
      <w:r>
        <w:rPr>
          <w:w w:val="100"/>
        </w:rPr>
        <w:t>Definitions, acronyms, and abbreviations</w:t>
      </w:r>
    </w:p>
    <w:p w14:paraId="33A401D8" w14:textId="77777777" w:rsidR="009058AC" w:rsidRDefault="009058AC" w:rsidP="009058AC">
      <w:pPr>
        <w:pStyle w:val="H2"/>
        <w:numPr>
          <w:ilvl w:val="0"/>
          <w:numId w:val="17"/>
        </w:numPr>
        <w:rPr>
          <w:w w:val="100"/>
        </w:rPr>
      </w:pPr>
      <w:r>
        <w:rPr>
          <w:w w:val="100"/>
        </w:rPr>
        <w:t>Definitions specific to IEEE 802.11</w:t>
      </w:r>
    </w:p>
    <w:p w14:paraId="35E79310" w14:textId="49BC2DFD" w:rsidR="009058AC" w:rsidRDefault="009058AC" w:rsidP="009058AC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Insert the following definitions (maintaining alphabetical order) except green tag:</w:t>
      </w:r>
    </w:p>
    <w:p w14:paraId="10018D41" w14:textId="77777777" w:rsidR="009058AC" w:rsidRPr="009058AC" w:rsidRDefault="009058AC" w:rsidP="009058AC">
      <w:pPr>
        <w:jc w:val="both"/>
        <w:rPr>
          <w:highlight w:val="lightGray"/>
          <w:lang w:val="en-US"/>
        </w:rPr>
      </w:pPr>
    </w:p>
    <w:p w14:paraId="3CEA26D3" w14:textId="339102F5" w:rsidR="009058AC" w:rsidRDefault="00124236" w:rsidP="00C21B42">
      <w:pPr>
        <w:jc w:val="both"/>
        <w:rPr>
          <w:ins w:id="2" w:author="Author"/>
        </w:rPr>
      </w:pPr>
      <w:r>
        <w:rPr>
          <w:b/>
          <w:bCs/>
          <w:lang w:val="en-US"/>
        </w:rPr>
        <w:t xml:space="preserve">Soft </w:t>
      </w:r>
      <w:r w:rsidR="009058AC">
        <w:rPr>
          <w:b/>
          <w:bCs/>
        </w:rPr>
        <w:t>access point (AP) multi-link device (MLD):</w:t>
      </w:r>
      <w:r w:rsidR="009058AC">
        <w:t xml:space="preserve"> </w:t>
      </w:r>
      <w:commentRangeStart w:id="3"/>
      <w:commentRangeStart w:id="4"/>
      <w:r w:rsidR="009058AC">
        <w:t>A</w:t>
      </w:r>
      <w:ins w:id="5" w:author="Author">
        <w:r w:rsidR="00B9726D">
          <w:t>n</w:t>
        </w:r>
        <w:r w:rsidR="004F1548">
          <w:t xml:space="preserve"> </w:t>
        </w:r>
        <w:del w:id="6" w:author="Author">
          <w:r w:rsidR="00C524E3" w:rsidDel="00402411">
            <w:delText>non-</w:delText>
          </w:r>
          <w:r w:rsidR="004F1548" w:rsidDel="00402411">
            <w:delText>STR</w:delText>
          </w:r>
        </w:del>
      </w:ins>
      <w:commentRangeStart w:id="7"/>
      <w:commentRangeStart w:id="8"/>
      <w:del w:id="9" w:author="Author">
        <w:r w:rsidR="009058AC" w:rsidDel="00402411">
          <w:delText xml:space="preserve"> </w:delText>
        </w:r>
        <w:r w:rsidR="00C21B42" w:rsidDel="00B9726D">
          <w:delText>non-AP</w:delText>
        </w:r>
        <w:r w:rsidR="00C21B42" w:rsidDel="00A87D9C">
          <w:delText xml:space="preserve"> </w:delText>
        </w:r>
      </w:del>
      <w:r w:rsidR="009058AC">
        <w:t>MLD</w:t>
      </w:r>
      <w:ins w:id="10" w:author="Author">
        <w:r w:rsidR="00A87D9C">
          <w:t xml:space="preserve"> </w:t>
        </w:r>
        <w:r w:rsidR="00A47748">
          <w:t xml:space="preserve">that </w:t>
        </w:r>
      </w:ins>
      <w:del w:id="11" w:author="Author">
        <w:r w:rsidR="009058AC" w:rsidDel="00A87D9C">
          <w:delText>,</w:delText>
        </w:r>
      </w:del>
      <w:commentRangeEnd w:id="7"/>
      <w:r w:rsidR="005C2030">
        <w:rPr>
          <w:rStyle w:val="CommentReference"/>
          <w:rFonts w:ascii="Calibri" w:hAnsi="Calibri"/>
        </w:rPr>
        <w:commentReference w:id="7"/>
      </w:r>
      <w:commentRangeEnd w:id="8"/>
      <w:r w:rsidR="004F1548">
        <w:rPr>
          <w:rStyle w:val="CommentReference"/>
          <w:rFonts w:ascii="Calibri" w:hAnsi="Calibri"/>
        </w:rPr>
        <w:commentReference w:id="8"/>
      </w:r>
      <w:del w:id="12" w:author="Author">
        <w:r w:rsidR="009058AC" w:rsidDel="00B9726D">
          <w:delText xml:space="preserve"> </w:delText>
        </w:r>
      </w:del>
      <w:ins w:id="13" w:author="Author">
        <w:r w:rsidR="00B9726D">
          <w:t>c</w:t>
        </w:r>
        <w:r w:rsidR="00A87D9C">
          <w:t>onsists of</w:t>
        </w:r>
      </w:ins>
      <w:del w:id="14" w:author="Author">
        <w:r w:rsidR="009058AC" w:rsidDel="00B9726D">
          <w:delText>where</w:delText>
        </w:r>
      </w:del>
      <w:r w:rsidR="009058AC">
        <w:t xml:space="preserve"> </w:t>
      </w:r>
      <w:r w:rsidR="00C21B42">
        <w:t xml:space="preserve">more than one </w:t>
      </w:r>
      <w:r w:rsidR="009058AC">
        <w:t>station (STA</w:t>
      </w:r>
      <w:r w:rsidR="00C21B42">
        <w:t>s</w:t>
      </w:r>
      <w:r w:rsidR="009058AC">
        <w:t xml:space="preserve">) affiliated with </w:t>
      </w:r>
      <w:del w:id="15" w:author="Author">
        <w:r w:rsidR="009058AC" w:rsidDel="00A87D9C">
          <w:delText xml:space="preserve">the </w:delText>
        </w:r>
      </w:del>
      <w:ins w:id="16" w:author="Author">
        <w:r w:rsidR="00A87D9C">
          <w:t xml:space="preserve">a </w:t>
        </w:r>
      </w:ins>
      <w:r w:rsidR="00C21B42">
        <w:t xml:space="preserve">non-AP </w:t>
      </w:r>
      <w:r w:rsidR="009058AC">
        <w:t>MLD</w:t>
      </w:r>
      <w:ins w:id="17" w:author="Author">
        <w:r w:rsidR="00B9726D">
          <w:t>, where those STAs</w:t>
        </w:r>
      </w:ins>
      <w:r w:rsidR="009058AC">
        <w:t xml:space="preserve"> </w:t>
      </w:r>
      <w:r w:rsidR="00A47748">
        <w:t>are</w:t>
      </w:r>
      <w:ins w:id="18" w:author="Author">
        <w:r w:rsidR="00A47748">
          <w:t xml:space="preserve"> </w:t>
        </w:r>
        <w:r w:rsidR="00B9726D">
          <w:t>only</w:t>
        </w:r>
      </w:ins>
      <w:r w:rsidR="00970556">
        <w:t xml:space="preserve"> </w:t>
      </w:r>
      <w:r w:rsidR="00C21B42">
        <w:t>operate</w:t>
      </w:r>
      <w:r w:rsidR="00970556">
        <w:t>d</w:t>
      </w:r>
      <w:r w:rsidR="00C21B42">
        <w:t xml:space="preserve"> as A</w:t>
      </w:r>
      <w:r>
        <w:t>P</w:t>
      </w:r>
      <w:r w:rsidR="00C21B42">
        <w:t>s</w:t>
      </w:r>
      <w:ins w:id="19" w:author="Author">
        <w:r w:rsidR="00A47748">
          <w:t xml:space="preserve"> by the MLD</w:t>
        </w:r>
      </w:ins>
      <w:del w:id="20" w:author="Author">
        <w:r w:rsidR="00C21B42" w:rsidDel="004F1548">
          <w:delText>.</w:delText>
        </w:r>
      </w:del>
      <w:commentRangeEnd w:id="3"/>
      <w:r w:rsidR="00C51954">
        <w:rPr>
          <w:rStyle w:val="CommentReference"/>
          <w:rFonts w:ascii="Calibri" w:hAnsi="Calibri"/>
        </w:rPr>
        <w:commentReference w:id="3"/>
      </w:r>
      <w:commentRangeEnd w:id="4"/>
      <w:r w:rsidR="004F1548">
        <w:rPr>
          <w:rStyle w:val="CommentReference"/>
          <w:rFonts w:ascii="Calibri" w:hAnsi="Calibri"/>
        </w:rPr>
        <w:commentReference w:id="4"/>
      </w:r>
      <w:ins w:id="21" w:author="Author">
        <w:del w:id="22" w:author="Author">
          <w:r w:rsidR="008750E3" w:rsidDel="004F1548">
            <w:delText>that satisifies</w:delText>
          </w:r>
        </w:del>
        <w:r w:rsidR="008750E3">
          <w:t xml:space="preserve"> </w:t>
        </w:r>
        <w:r w:rsidR="004F1548">
          <w:t xml:space="preserve">under </w:t>
        </w:r>
        <w:r w:rsidR="008750E3">
          <w:t xml:space="preserve">TBD conditions. </w:t>
        </w:r>
      </w:ins>
    </w:p>
    <w:p w14:paraId="014461DC" w14:textId="67B6AAB5" w:rsidR="00452DE3" w:rsidRPr="00C21B42" w:rsidRDefault="00452DE3" w:rsidP="00C21B42">
      <w:pPr>
        <w:jc w:val="both"/>
      </w:pPr>
      <w:ins w:id="23" w:author="Author">
        <w:r w:rsidRPr="00A87D9C">
          <w:rPr>
            <w:b/>
            <w:rPrChange w:id="24" w:author="Author">
              <w:rPr/>
            </w:rPrChange>
          </w:rPr>
          <w:t>Non-STR soft access point (AP) multi-link device (MLD):</w:t>
        </w:r>
        <w:r>
          <w:t xml:space="preserve"> A non-STR </w:t>
        </w:r>
        <w:del w:id="25" w:author="Author">
          <w:r w:rsidDel="00A87D9C">
            <w:delText xml:space="preserve">non-AP </w:delText>
          </w:r>
        </w:del>
        <w:r>
          <w:t>MLD</w:t>
        </w:r>
        <w:r w:rsidR="00A87D9C">
          <w:t xml:space="preserve"> </w:t>
        </w:r>
        <w:r w:rsidR="00A47748">
          <w:t xml:space="preserve">that </w:t>
        </w:r>
        <w:r w:rsidR="00A87D9C">
          <w:t xml:space="preserve">consists of </w:t>
        </w:r>
        <w:del w:id="26" w:author="Author">
          <w:r w:rsidDel="00A87D9C">
            <w:delText xml:space="preserve">, where </w:delText>
          </w:r>
        </w:del>
        <w:r>
          <w:t xml:space="preserve">more than one station (STAs) affiliated with </w:t>
        </w:r>
        <w:del w:id="27" w:author="Author">
          <w:r w:rsidDel="00A87D9C">
            <w:delText>the</w:delText>
          </w:r>
        </w:del>
        <w:r w:rsidR="00A87D9C">
          <w:t>a</w:t>
        </w:r>
        <w:r>
          <w:t xml:space="preserve"> non-</w:t>
        </w:r>
        <w:del w:id="28" w:author="Author">
          <w:r w:rsidDel="00A87D9C">
            <w:delText xml:space="preserve"> </w:delText>
          </w:r>
        </w:del>
        <w:r>
          <w:t>STR non-AP MLD</w:t>
        </w:r>
        <w:r w:rsidR="00A87D9C">
          <w:t xml:space="preserve">, where those STAs </w:t>
        </w:r>
        <w:r w:rsidR="00A47748">
          <w:t xml:space="preserve">are </w:t>
        </w:r>
        <w:r w:rsidR="00A87D9C">
          <w:t>only</w:t>
        </w:r>
        <w:del w:id="29" w:author="Author">
          <w:r w:rsidDel="00A87D9C">
            <w:delText xml:space="preserve"> is</w:delText>
          </w:r>
        </w:del>
        <w:r>
          <w:t xml:space="preserve"> operate</w:t>
        </w:r>
        <w:r w:rsidR="00A47748">
          <w:t>d</w:t>
        </w:r>
        <w:del w:id="30" w:author="Author">
          <w:r w:rsidDel="00A87D9C">
            <w:delText>d</w:delText>
          </w:r>
        </w:del>
        <w:r>
          <w:t xml:space="preserve"> as APs</w:t>
        </w:r>
        <w:r>
          <w:rPr>
            <w:rStyle w:val="CommentReference"/>
            <w:rFonts w:ascii="Calibri" w:hAnsi="Calibri"/>
          </w:rPr>
          <w:commentReference w:id="31"/>
        </w:r>
        <w:r w:rsidR="00A47748">
          <w:t xml:space="preserve"> by the non-STR MLD</w:t>
        </w:r>
        <w:r>
          <w:rPr>
            <w:rStyle w:val="CommentReference"/>
            <w:rFonts w:ascii="Calibri" w:hAnsi="Calibri"/>
          </w:rPr>
          <w:commentReference w:id="32"/>
        </w:r>
        <w:r>
          <w:t xml:space="preserve"> under TBD conditions</w:t>
        </w:r>
      </w:ins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4B68403F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proofErr w:type="gramEnd"/>
      <w:r w:rsidRPr="00252719">
        <w:rPr>
          <w:rStyle w:val="SC7204809"/>
          <w:sz w:val="20"/>
          <w:szCs w:val="20"/>
        </w:rPr>
        <w:t xml:space="preserve"> </w:t>
      </w:r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728E0199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y</w:t>
      </w:r>
      <w:proofErr w:type="gramEnd"/>
      <w:r w:rsidR="001A7A9D" w:rsidRPr="00252719">
        <w:rPr>
          <w:rStyle w:val="SC7204809"/>
          <w:sz w:val="20"/>
          <w:szCs w:val="20"/>
        </w:rPr>
        <w:t xml:space="preserve"> </w:t>
      </w:r>
      <w:ins w:id="33" w:author="Author">
        <w:r w:rsidR="00452DE3">
          <w:rPr>
            <w:rStyle w:val="SC7204809"/>
            <w:sz w:val="20"/>
            <w:szCs w:val="20"/>
          </w:rPr>
          <w:t xml:space="preserve">Non-STR </w:t>
        </w:r>
      </w:ins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37DD8BAA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33</w:t>
      </w:r>
      <w:proofErr w:type="gramStart"/>
      <w:r w:rsidRPr="00252719">
        <w:rPr>
          <w:rStyle w:val="SC7204809"/>
          <w:rFonts w:ascii="Arial" w:hAnsi="Arial" w:cs="Arial"/>
          <w:sz w:val="20"/>
          <w:szCs w:val="20"/>
        </w:rPr>
        <w:t>.x.y.1</w:t>
      </w:r>
      <w:proofErr w:type="gramEnd"/>
      <w:r w:rsidRPr="00252719">
        <w:rPr>
          <w:rStyle w:val="SC7204809"/>
          <w:rFonts w:ascii="Arial" w:hAnsi="Arial" w:cs="Arial"/>
          <w:sz w:val="20"/>
          <w:szCs w:val="20"/>
        </w:rPr>
        <w:t xml:space="preserve">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43904A67" w14:textId="69FB4F3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A</w:t>
      </w:r>
      <w:commentRangeStart w:id="34"/>
      <w:commentRangeStart w:id="35"/>
      <w:r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ins w:id="36" w:author="Author">
        <w:r w:rsidR="00452DE3">
          <w:rPr>
            <w:rFonts w:ascii="Arial" w:eastAsia="Times New Roman" w:hAnsi="Arial" w:cs="Arial"/>
            <w:szCs w:val="18"/>
            <w:lang w:eastAsia="ko-KR"/>
          </w:rPr>
          <w:t xml:space="preserve">non-STR 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>soft AP MLD</w:t>
      </w:r>
      <w:commentRangeEnd w:id="34"/>
      <w:r w:rsidR="00C46327">
        <w:rPr>
          <w:rStyle w:val="CommentReference"/>
          <w:rFonts w:ascii="Calibri" w:hAnsi="Calibri"/>
        </w:rPr>
        <w:commentReference w:id="34"/>
      </w:r>
      <w:commentRangeEnd w:id="35"/>
      <w:r w:rsidR="004F1548">
        <w:rPr>
          <w:rStyle w:val="CommentReference"/>
          <w:rFonts w:ascii="Calibri" w:hAnsi="Calibri"/>
        </w:rPr>
        <w:commentReference w:id="35"/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 shall set dot11</w:t>
      </w:r>
      <w:ins w:id="37" w:author="Author">
        <w:r w:rsidR="00754462">
          <w:rPr>
            <w:rFonts w:ascii="Arial" w:eastAsia="Times New Roman" w:hAnsi="Arial" w:cs="Arial"/>
            <w:szCs w:val="18"/>
            <w:lang w:eastAsia="ko-KR"/>
          </w:rPr>
          <w:t>NSTR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>SoftAPMLDActivated to true. If dot11</w:t>
      </w:r>
      <w:ins w:id="38" w:author="Author">
        <w:r w:rsidR="00754462">
          <w:rPr>
            <w:rFonts w:ascii="Arial" w:eastAsia="Times New Roman" w:hAnsi="Arial" w:cs="Arial"/>
            <w:szCs w:val="18"/>
            <w:lang w:eastAsia="ko-KR"/>
          </w:rPr>
          <w:t>NSTR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SoftAPMLDActivated is equal to true, then the soft AP MLD establishes an EHT BSS following the rules defined in 33.x (EHT BSS Operation) with the following TBD exceptions. </w:t>
      </w:r>
    </w:p>
    <w:p w14:paraId="1183354D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6F2F84AD" w14:textId="77777777" w:rsidR="00A47748" w:rsidRDefault="00252719" w:rsidP="00252719">
      <w:pPr>
        <w:jc w:val="both"/>
        <w:rPr>
          <w:ins w:id="39" w:author="Author"/>
          <w:rFonts w:ascii="Arial" w:eastAsia="Times New Roman" w:hAnsi="Arial" w:cs="Arial"/>
          <w:szCs w:val="18"/>
          <w:lang w:eastAsia="ko-KR"/>
        </w:rPr>
      </w:pPr>
      <w:commentRangeStart w:id="40"/>
      <w:commentRangeStart w:id="41"/>
      <w:r w:rsidRPr="00252719">
        <w:rPr>
          <w:rFonts w:ascii="Arial" w:eastAsia="Times New Roman" w:hAnsi="Arial" w:cs="Arial"/>
          <w:szCs w:val="18"/>
          <w:lang w:eastAsia="ko-KR"/>
        </w:rPr>
        <w:t xml:space="preserve">A </w:t>
      </w:r>
      <w:ins w:id="42" w:author="Author">
        <w:r w:rsidR="00452DE3">
          <w:rPr>
            <w:rFonts w:ascii="Arial" w:eastAsia="Times New Roman" w:hAnsi="Arial" w:cs="Arial"/>
            <w:szCs w:val="18"/>
            <w:lang w:eastAsia="ko-KR"/>
          </w:rPr>
          <w:t xml:space="preserve">non-STR 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soft AP MLD </w:t>
      </w:r>
      <w:ins w:id="43" w:author="Author">
        <w:del w:id="44" w:author="Author">
          <w:r w:rsidR="0062193C" w:rsidDel="00A47748">
            <w:rPr>
              <w:rFonts w:ascii="Arial" w:eastAsia="Times New Roman" w:hAnsi="Arial" w:cs="Arial"/>
              <w:szCs w:val="18"/>
              <w:lang w:eastAsia="ko-KR"/>
            </w:rPr>
            <w:delText xml:space="preserve">may not </w:delText>
          </w:r>
        </w:del>
      </w:ins>
      <w:r w:rsidRPr="00252719">
        <w:rPr>
          <w:rFonts w:ascii="Arial" w:eastAsia="Times New Roman" w:hAnsi="Arial" w:cs="Arial"/>
          <w:szCs w:val="18"/>
          <w:lang w:eastAsia="ko-KR"/>
        </w:rPr>
        <w:t>support</w:t>
      </w:r>
      <w:ins w:id="45" w:author="Author">
        <w:r w:rsidR="00A47748">
          <w:rPr>
            <w:rFonts w:ascii="Arial" w:eastAsia="Times New Roman" w:hAnsi="Arial" w:cs="Arial"/>
            <w:szCs w:val="18"/>
            <w:lang w:eastAsia="ko-KR"/>
          </w:rPr>
          <w:t>s</w:t>
        </w:r>
      </w:ins>
      <w:del w:id="46" w:author="Author">
        <w:r w:rsidRPr="00252719" w:rsidDel="004F1548">
          <w:rPr>
            <w:rFonts w:ascii="Arial" w:eastAsia="Times New Roman" w:hAnsi="Arial" w:cs="Arial"/>
            <w:szCs w:val="18"/>
            <w:lang w:eastAsia="ko-KR"/>
          </w:rPr>
          <w:delText>s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 xml:space="preserve"> simultaneous transmi</w:t>
      </w:r>
      <w:r w:rsidR="00970556">
        <w:rPr>
          <w:rFonts w:ascii="Arial" w:eastAsia="Times New Roman" w:hAnsi="Arial" w:cs="Arial"/>
          <w:szCs w:val="18"/>
          <w:lang w:eastAsia="ko-KR"/>
        </w:rPr>
        <w:t>ssion o</w:t>
      </w:r>
      <w:r w:rsidR="0027382E">
        <w:rPr>
          <w:rFonts w:ascii="Arial" w:eastAsia="Times New Roman" w:hAnsi="Arial" w:cs="Arial"/>
          <w:szCs w:val="18"/>
          <w:lang w:eastAsia="ko-KR"/>
        </w:rPr>
        <w:t>f more than one</w:t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 PPDU</w:t>
      </w:r>
      <w:r w:rsidR="002A525A">
        <w:rPr>
          <w:rFonts w:ascii="Arial" w:eastAsia="Times New Roman" w:hAnsi="Arial" w:cs="Arial"/>
          <w:szCs w:val="18"/>
          <w:lang w:eastAsia="ko-KR"/>
        </w:rPr>
        <w:t xml:space="preserve"> </w:t>
      </w:r>
      <w:ins w:id="47" w:author="Author">
        <w:r w:rsidR="00A47748">
          <w:rPr>
            <w:rFonts w:ascii="Arial" w:eastAsia="Times New Roman" w:hAnsi="Arial" w:cs="Arial"/>
            <w:szCs w:val="18"/>
            <w:lang w:eastAsia="ko-KR"/>
          </w:rPr>
          <w:t>under TBD conditions</w:t>
        </w:r>
        <w:r w:rsidR="00A47748">
          <w:rPr>
            <w:rFonts w:ascii="Arial" w:eastAsia="Times New Roman" w:hAnsi="Arial" w:cs="Arial"/>
            <w:szCs w:val="18"/>
            <w:lang w:eastAsia="ko-KR"/>
          </w:rPr>
          <w:t>.</w:t>
        </w:r>
      </w:ins>
    </w:p>
    <w:p w14:paraId="71A08351" w14:textId="254D1309" w:rsidR="00252719" w:rsidRPr="00252719" w:rsidRDefault="00A47748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ins w:id="48" w:author="Author">
        <w:r w:rsidRPr="00252719">
          <w:rPr>
            <w:rFonts w:ascii="Arial" w:eastAsia="Times New Roman" w:hAnsi="Arial" w:cs="Arial"/>
            <w:szCs w:val="18"/>
            <w:lang w:eastAsia="ko-KR"/>
          </w:rPr>
          <w:t xml:space="preserve">A </w:t>
        </w:r>
        <w:r>
          <w:rPr>
            <w:rFonts w:ascii="Arial" w:eastAsia="Times New Roman" w:hAnsi="Arial" w:cs="Arial"/>
            <w:szCs w:val="18"/>
            <w:lang w:eastAsia="ko-KR"/>
          </w:rPr>
          <w:t xml:space="preserve">non-STR </w:t>
        </w:r>
        <w:r w:rsidRPr="00252719">
          <w:rPr>
            <w:rFonts w:ascii="Arial" w:eastAsia="Times New Roman" w:hAnsi="Arial" w:cs="Arial"/>
            <w:szCs w:val="18"/>
            <w:lang w:eastAsia="ko-KR"/>
          </w:rPr>
          <w:t>soft AP MLD support</w:t>
        </w:r>
        <w:r>
          <w:rPr>
            <w:rFonts w:ascii="Arial" w:eastAsia="Times New Roman" w:hAnsi="Arial" w:cs="Arial"/>
            <w:szCs w:val="18"/>
            <w:lang w:eastAsia="ko-KR"/>
          </w:rPr>
          <w:t>s</w:t>
        </w:r>
      </w:ins>
      <w:bookmarkStart w:id="49" w:name="_GoBack"/>
      <w:bookmarkEnd w:id="49"/>
      <w:del w:id="50" w:author="Author">
        <w:r w:rsidR="00252719" w:rsidRPr="00252719" w:rsidDel="00A47748">
          <w:rPr>
            <w:rFonts w:ascii="Arial" w:eastAsia="Times New Roman" w:hAnsi="Arial" w:cs="Arial"/>
            <w:szCs w:val="18"/>
            <w:lang w:eastAsia="ko-KR"/>
          </w:rPr>
          <w:delText>and</w:delText>
        </w:r>
      </w:del>
      <w:r w:rsidR="00252719" w:rsidRPr="00252719">
        <w:rPr>
          <w:rFonts w:ascii="Arial" w:eastAsia="Times New Roman" w:hAnsi="Arial" w:cs="Arial"/>
          <w:szCs w:val="18"/>
          <w:lang w:eastAsia="ko-KR"/>
        </w:rPr>
        <w:t xml:space="preserve"> simultaneous 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>rece</w:t>
      </w:r>
      <w:r w:rsidR="00970556">
        <w:rPr>
          <w:rFonts w:ascii="Arial" w:eastAsia="Times New Roman" w:hAnsi="Arial" w:cs="Arial"/>
          <w:szCs w:val="18"/>
          <w:lang w:eastAsia="ko-KR"/>
        </w:rPr>
        <w:t>ption of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r w:rsidR="00252719" w:rsidRPr="00252719">
        <w:rPr>
          <w:rFonts w:ascii="Arial" w:eastAsia="Times New Roman" w:hAnsi="Arial" w:cs="Arial"/>
          <w:szCs w:val="18"/>
          <w:lang w:eastAsia="ko-KR"/>
        </w:rPr>
        <w:t>more than one PPDU</w:t>
      </w:r>
      <w:ins w:id="51" w:author="Author">
        <w:r w:rsidR="004F1548">
          <w:rPr>
            <w:rFonts w:ascii="Arial" w:eastAsia="Times New Roman" w:hAnsi="Arial" w:cs="Arial"/>
            <w:szCs w:val="18"/>
            <w:lang w:eastAsia="ko-KR"/>
          </w:rPr>
          <w:t xml:space="preserve"> under TBD conditions</w:t>
        </w:r>
      </w:ins>
      <w:del w:id="52" w:author="Author">
        <w:r w:rsidR="00252719" w:rsidRPr="00252719" w:rsidDel="00277326">
          <w:rPr>
            <w:rFonts w:ascii="Arial" w:eastAsia="Times New Roman" w:hAnsi="Arial" w:cs="Arial"/>
            <w:szCs w:val="18"/>
            <w:lang w:eastAsia="ko-KR"/>
          </w:rPr>
          <w:delText>.</w:delText>
        </w:r>
        <w:commentRangeEnd w:id="40"/>
        <w:r w:rsidR="005C2030" w:rsidDel="00277326">
          <w:rPr>
            <w:rStyle w:val="CommentReference"/>
            <w:rFonts w:ascii="Calibri" w:hAnsi="Calibri"/>
          </w:rPr>
          <w:commentReference w:id="40"/>
        </w:r>
        <w:commentRangeEnd w:id="41"/>
        <w:r w:rsidR="004F1548" w:rsidDel="00277326">
          <w:rPr>
            <w:rStyle w:val="CommentReference"/>
            <w:rFonts w:ascii="Calibri" w:hAnsi="Calibri"/>
          </w:rPr>
          <w:commentReference w:id="41"/>
        </w:r>
        <w:r w:rsidR="00252719" w:rsidRPr="00252719" w:rsidDel="00277326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</w:del>
      <w:ins w:id="53" w:author="Author">
        <w:r>
          <w:rPr>
            <w:rFonts w:ascii="Arial" w:eastAsia="Times New Roman" w:hAnsi="Arial" w:cs="Arial"/>
            <w:szCs w:val="18"/>
            <w:lang w:eastAsia="ko-KR"/>
          </w:rPr>
          <w:t>.</w:t>
        </w:r>
        <w:del w:id="54" w:author="Author">
          <w:r w:rsidR="00277326" w:rsidDel="00A47748">
            <w:rPr>
              <w:rFonts w:ascii="Arial" w:eastAsia="Times New Roman" w:hAnsi="Arial" w:cs="Arial"/>
              <w:szCs w:val="18"/>
              <w:lang w:eastAsia="ko-KR"/>
            </w:rPr>
            <w:delText>, but does not support simulataneous transmission and reception of more than one PPDU.</w:delText>
          </w:r>
        </w:del>
      </w:ins>
    </w:p>
    <w:p w14:paraId="35DAAB0B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0611A170" w14:textId="6E78BA28" w:rsidR="00252719" w:rsidRPr="005C78CC" w:rsidRDefault="00252719" w:rsidP="005C78CC">
      <w:pPr>
        <w:jc w:val="both"/>
        <w:rPr>
          <w:rFonts w:ascii="Arial" w:eastAsia="Times New Roman" w:hAnsi="Arial" w:cs="Arial"/>
          <w:szCs w:val="18"/>
          <w:lang w:eastAsia="ko-KR"/>
        </w:rPr>
      </w:pPr>
      <w:commentRangeStart w:id="55"/>
      <w:commentRangeStart w:id="56"/>
      <w:r w:rsidRPr="00252719">
        <w:rPr>
          <w:rFonts w:ascii="Arial" w:eastAsia="Times New Roman" w:hAnsi="Arial" w:cs="Arial"/>
          <w:szCs w:val="18"/>
          <w:lang w:eastAsia="ko-KR"/>
        </w:rPr>
        <w:t xml:space="preserve">A </w:t>
      </w:r>
      <w:ins w:id="57" w:author="Author">
        <w:r w:rsidR="00452DE3">
          <w:rPr>
            <w:rFonts w:ascii="Arial" w:eastAsia="Times New Roman" w:hAnsi="Arial" w:cs="Arial"/>
            <w:szCs w:val="18"/>
            <w:lang w:eastAsia="ko-KR"/>
          </w:rPr>
          <w:t xml:space="preserve">non-STR 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>soft AP MLD aligns the end time of the PPDUs as described in 33.x.y1 (PPDU end time alignment)</w:t>
      </w:r>
      <w:r w:rsidR="00970556">
        <w:rPr>
          <w:rFonts w:ascii="Arial" w:eastAsia="Times New Roman" w:hAnsi="Arial" w:cs="Arial"/>
          <w:szCs w:val="18"/>
          <w:lang w:eastAsia="ko-KR"/>
        </w:rPr>
        <w:t xml:space="preserve"> when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r w:rsidR="00970556">
        <w:rPr>
          <w:rFonts w:ascii="Arial" w:eastAsia="Times New Roman" w:hAnsi="Arial" w:cs="Arial"/>
          <w:szCs w:val="18"/>
          <w:lang w:eastAsia="ko-KR"/>
        </w:rPr>
        <w:t xml:space="preserve">the </w:t>
      </w:r>
      <w:ins w:id="58" w:author="Author">
        <w:r w:rsidR="00452DE3">
          <w:rPr>
            <w:rFonts w:ascii="Arial" w:eastAsia="Times New Roman" w:hAnsi="Arial" w:cs="Arial"/>
            <w:szCs w:val="18"/>
            <w:lang w:eastAsia="ko-KR"/>
          </w:rPr>
          <w:t xml:space="preserve">non-STR </w:t>
        </w:r>
      </w:ins>
      <w:r w:rsidR="00970556">
        <w:rPr>
          <w:rFonts w:ascii="Arial" w:eastAsia="Times New Roman" w:hAnsi="Arial" w:cs="Arial"/>
          <w:szCs w:val="18"/>
          <w:lang w:eastAsia="ko-KR"/>
        </w:rPr>
        <w:t xml:space="preserve">soft AP MLD 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>simultaneously transmit</w:t>
      </w:r>
      <w:r w:rsidR="00970556">
        <w:rPr>
          <w:rFonts w:ascii="Arial" w:eastAsia="Times New Roman" w:hAnsi="Arial" w:cs="Arial"/>
          <w:szCs w:val="18"/>
          <w:lang w:eastAsia="ko-KR"/>
        </w:rPr>
        <w:t>s</w:t>
      </w:r>
      <w:r w:rsidR="00970556" w:rsidRPr="00252719">
        <w:rPr>
          <w:rFonts w:ascii="Arial" w:eastAsia="Times New Roman" w:hAnsi="Arial" w:cs="Arial"/>
          <w:szCs w:val="18"/>
          <w:lang w:eastAsia="ko-KR"/>
        </w:rPr>
        <w:t xml:space="preserve"> more than one PPDU</w:t>
      </w:r>
      <w:ins w:id="59" w:author="Author">
        <w:r w:rsidR="00452DE3">
          <w:rPr>
            <w:rFonts w:ascii="Arial" w:eastAsia="Times New Roman" w:hAnsi="Arial" w:cs="Arial"/>
            <w:szCs w:val="18"/>
            <w:lang w:eastAsia="ko-KR"/>
          </w:rPr>
          <w:t xml:space="preserve"> under TBD 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>.</w:t>
      </w:r>
      <w:commentRangeEnd w:id="55"/>
      <w:r w:rsidR="005673B8">
        <w:rPr>
          <w:rStyle w:val="CommentReference"/>
          <w:rFonts w:ascii="Calibri" w:hAnsi="Calibri"/>
        </w:rPr>
        <w:commentReference w:id="55"/>
      </w:r>
      <w:commentRangeEnd w:id="56"/>
      <w:r w:rsidR="004F1548">
        <w:rPr>
          <w:rStyle w:val="CommentReference"/>
          <w:rFonts w:ascii="Calibri" w:hAnsi="Calibri"/>
        </w:rPr>
        <w:commentReference w:id="56"/>
      </w:r>
    </w:p>
    <w:p w14:paraId="5FF1419B" w14:textId="55CC7D5C" w:rsidR="009B0D82" w:rsidRDefault="008C0D7E" w:rsidP="00024800">
      <w:pPr>
        <w:jc w:val="both"/>
      </w:pPr>
      <w:del w:id="60" w:author="Author">
        <w:r w:rsidDel="003E006F">
          <w:delText xml:space="preserve"> </w:delText>
        </w:r>
      </w:del>
    </w:p>
    <w:p w14:paraId="456ED317" w14:textId="1E8BD1C8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6533C2">
        <w:rPr>
          <w:rFonts w:eastAsiaTheme="minorEastAsia"/>
          <w:b/>
          <w:color w:val="FF0000"/>
          <w:sz w:val="20"/>
          <w:lang w:eastAsia="ko-KR"/>
        </w:rPr>
        <w:t>1407r</w:t>
      </w:r>
      <w:r w:rsidR="00C9272E"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Author" w:initials="A">
    <w:p w14:paraId="782BBF61" w14:textId="5FC8F39D" w:rsidR="005C2030" w:rsidRPr="005C2030" w:rsidRDefault="005C2030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[</w:t>
      </w:r>
      <w:proofErr w:type="spellStart"/>
      <w:proofErr w:type="gramStart"/>
      <w:r>
        <w:rPr>
          <w:rFonts w:eastAsia="SimSun"/>
          <w:lang w:eastAsia="zh-CN"/>
        </w:rPr>
        <w:t>dxd</w:t>
      </w:r>
      <w:proofErr w:type="spellEnd"/>
      <w:proofErr w:type="gramEnd"/>
      <w:r>
        <w:rPr>
          <w:rFonts w:eastAsia="SimSun"/>
          <w:lang w:eastAsia="zh-CN"/>
        </w:rPr>
        <w:t>]:</w:t>
      </w:r>
      <w:r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on-STR Non-AP MLD?</w:t>
      </w:r>
    </w:p>
  </w:comment>
  <w:comment w:id="8" w:author="Author" w:initials="A">
    <w:p w14:paraId="08B45B60" w14:textId="53027075" w:rsidR="004F1548" w:rsidRDefault="004F1548">
      <w:pPr>
        <w:pStyle w:val="CommentText"/>
      </w:pPr>
      <w:r>
        <w:rPr>
          <w:rStyle w:val="CommentReference"/>
        </w:rPr>
        <w:annotationRef/>
      </w:r>
      <w:r>
        <w:t>Ok.</w:t>
      </w:r>
    </w:p>
  </w:comment>
  <w:comment w:id="3" w:author="Author" w:initials="A">
    <w:p w14:paraId="0A3E1FA8" w14:textId="4FCD1B6E" w:rsidR="00C51954" w:rsidRDefault="00C51954">
      <w:pPr>
        <w:pStyle w:val="CommentText"/>
      </w:pPr>
      <w:r>
        <w:rPr>
          <w:rStyle w:val="CommentReference"/>
        </w:rPr>
        <w:annotationRef/>
      </w:r>
      <w:r w:rsidR="006B12C5">
        <w:t xml:space="preserve">[DD} </w:t>
      </w:r>
      <w:r>
        <w:t xml:space="preserve">The group has not agreed on a definition for </w:t>
      </w:r>
      <w:proofErr w:type="spellStart"/>
      <w:r>
        <w:t>softAP</w:t>
      </w:r>
      <w:proofErr w:type="spellEnd"/>
      <w:r>
        <w:t xml:space="preserve"> MLD. As such, just say. “TBD” in the definition for now. </w:t>
      </w:r>
    </w:p>
  </w:comment>
  <w:comment w:id="4" w:author="Author" w:initials="A">
    <w:p w14:paraId="748BC85E" w14:textId="1FD35018" w:rsidR="004F1548" w:rsidRDefault="004F1548">
      <w:pPr>
        <w:pStyle w:val="CommentText"/>
      </w:pPr>
      <w:r>
        <w:rPr>
          <w:rStyle w:val="CommentReference"/>
        </w:rPr>
        <w:annotationRef/>
      </w:r>
      <w:r>
        <w:t xml:space="preserve">Agree to add “TBD conditions”. The motion text </w:t>
      </w:r>
      <w:proofErr w:type="spellStart"/>
      <w:r>
        <w:t>implys</w:t>
      </w:r>
      <w:proofErr w:type="spellEnd"/>
      <w:r>
        <w:t xml:space="preserve"> that the STAs affiliated with the NSTR non-AP MLD operates as APs.</w:t>
      </w:r>
    </w:p>
  </w:comment>
  <w:comment w:id="31" w:author="Author" w:initials="A">
    <w:p w14:paraId="79C7348F" w14:textId="77777777" w:rsidR="00452DE3" w:rsidRDefault="00452DE3" w:rsidP="00452DE3">
      <w:pPr>
        <w:pStyle w:val="CommentText"/>
      </w:pPr>
      <w:r>
        <w:rPr>
          <w:rStyle w:val="CommentReference"/>
        </w:rPr>
        <w:annotationRef/>
      </w:r>
      <w:r>
        <w:t xml:space="preserve">[DD} The group has not agreed on a definition for </w:t>
      </w:r>
      <w:proofErr w:type="spellStart"/>
      <w:r>
        <w:t>softAP</w:t>
      </w:r>
      <w:proofErr w:type="spellEnd"/>
      <w:r>
        <w:t xml:space="preserve"> MLD. As such, just say. “TBD” in the definition for now. </w:t>
      </w:r>
    </w:p>
  </w:comment>
  <w:comment w:id="32" w:author="Author" w:initials="A">
    <w:p w14:paraId="6A384C74" w14:textId="77777777" w:rsidR="00452DE3" w:rsidRDefault="00452DE3" w:rsidP="00452DE3">
      <w:pPr>
        <w:pStyle w:val="CommentText"/>
      </w:pPr>
      <w:r>
        <w:rPr>
          <w:rStyle w:val="CommentReference"/>
        </w:rPr>
        <w:annotationRef/>
      </w:r>
      <w:r>
        <w:t xml:space="preserve">Agree to add “TBD conditions”. The motion text </w:t>
      </w:r>
      <w:proofErr w:type="spellStart"/>
      <w:r>
        <w:t>implys</w:t>
      </w:r>
      <w:proofErr w:type="spellEnd"/>
      <w:r>
        <w:t xml:space="preserve"> that the STAs affiliated with the NSTR non-AP MLD operates as APs.</w:t>
      </w:r>
    </w:p>
  </w:comment>
  <w:comment w:id="34" w:author="Author" w:initials="A">
    <w:p w14:paraId="7FA599EB" w14:textId="2E02114B" w:rsidR="00C46327" w:rsidRDefault="00C46327">
      <w:pPr>
        <w:pStyle w:val="CommentText"/>
      </w:pPr>
      <w:r>
        <w:rPr>
          <w:rStyle w:val="CommentReference"/>
        </w:rPr>
        <w:annotationRef/>
      </w:r>
      <w:r>
        <w:rPr>
          <w:rFonts w:ascii="SimSun" w:eastAsia="SimSun" w:hAnsi="SimSun"/>
          <w:lang w:eastAsia="zh-CN"/>
        </w:rPr>
        <w:t>[</w:t>
      </w:r>
      <w:proofErr w:type="spellStart"/>
      <w:proofErr w:type="gramStart"/>
      <w:r>
        <w:rPr>
          <w:rFonts w:ascii="SimSun" w:eastAsia="SimSun" w:hAnsi="SimSun"/>
          <w:lang w:eastAsia="zh-CN"/>
        </w:rPr>
        <w:t>dxd</w:t>
      </w:r>
      <w:proofErr w:type="spellEnd"/>
      <w:proofErr w:type="gramEnd"/>
      <w:r>
        <w:rPr>
          <w:rFonts w:ascii="SimSun" w:eastAsia="SimSun" w:hAnsi="SimSun"/>
          <w:lang w:eastAsia="zh-CN"/>
        </w:rPr>
        <w:t>]:P</w:t>
      </w:r>
      <w:r>
        <w:rPr>
          <w:rFonts w:ascii="SimSun" w:eastAsia="SimSun" w:hAnsi="SimSun" w:hint="eastAsia"/>
          <w:lang w:eastAsia="zh-CN"/>
        </w:rPr>
        <w:t>ropose</w:t>
      </w:r>
      <w:r>
        <w:t xml:space="preserve"> </w:t>
      </w:r>
      <w:r>
        <w:rPr>
          <w:rFonts w:ascii="SimSun" w:eastAsia="SimSun" w:hAnsi="SimSun" w:hint="eastAsia"/>
          <w:lang w:eastAsia="zh-CN"/>
        </w:rPr>
        <w:t>to</w:t>
      </w:r>
      <w:r>
        <w:t xml:space="preserve"> change as “</w:t>
      </w:r>
      <w:r w:rsidRPr="006C3B82">
        <w:rPr>
          <w:szCs w:val="22"/>
          <w:lang w:val="en-US"/>
        </w:rPr>
        <w:t>Non-STR Non-AP MLD</w:t>
      </w:r>
      <w:r>
        <w:t>”.</w:t>
      </w:r>
    </w:p>
  </w:comment>
  <w:comment w:id="35" w:author="Author" w:initials="A">
    <w:p w14:paraId="1FA12753" w14:textId="394AA175" w:rsidR="004F1548" w:rsidRDefault="004F1548">
      <w:pPr>
        <w:pStyle w:val="CommentText"/>
      </w:pPr>
      <w:r>
        <w:rPr>
          <w:rStyle w:val="CommentReference"/>
        </w:rPr>
        <w:annotationRef/>
      </w:r>
      <w:r>
        <w:t>Changed it in the definition part</w:t>
      </w:r>
    </w:p>
  </w:comment>
  <w:comment w:id="40" w:author="Author" w:initials="A">
    <w:p w14:paraId="526C7CE0" w14:textId="6FBC0070" w:rsidR="005C2030" w:rsidRPr="005C2030" w:rsidRDefault="005C2030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[</w:t>
      </w:r>
      <w:proofErr w:type="spellStart"/>
      <w:proofErr w:type="gramStart"/>
      <w:r>
        <w:rPr>
          <w:rFonts w:eastAsia="SimSun"/>
          <w:lang w:eastAsia="zh-CN"/>
        </w:rPr>
        <w:t>dxd</w:t>
      </w:r>
      <w:proofErr w:type="spellEnd"/>
      <w:proofErr w:type="gramEnd"/>
      <w:r>
        <w:rPr>
          <w:rFonts w:eastAsia="SimSun"/>
          <w:lang w:eastAsia="zh-CN"/>
        </w:rPr>
        <w:t>]: I don’t understand the intention of this sentence, since the Non-AP  MLD is Non-STR MLD.</w:t>
      </w:r>
    </w:p>
  </w:comment>
  <w:comment w:id="41" w:author="Author" w:initials="A">
    <w:p w14:paraId="7F20D3BA" w14:textId="18F733CC" w:rsidR="004F1548" w:rsidRDefault="004F1548">
      <w:pPr>
        <w:pStyle w:val="CommentText"/>
      </w:pPr>
      <w:r>
        <w:rPr>
          <w:rStyle w:val="CommentReference"/>
        </w:rPr>
        <w:annotationRef/>
      </w:r>
      <w:r>
        <w:t xml:space="preserve">Since the definition of soft AP MLD is an NSTR MLD, it </w:t>
      </w:r>
      <w:proofErr w:type="spellStart"/>
      <w:r>
        <w:t>alreay</w:t>
      </w:r>
      <w:proofErr w:type="spellEnd"/>
      <w:r>
        <w:t xml:space="preserve"> </w:t>
      </w:r>
      <w:proofErr w:type="spellStart"/>
      <w:r>
        <w:t>implys</w:t>
      </w:r>
      <w:proofErr w:type="spellEnd"/>
      <w:r>
        <w:t xml:space="preserve"> no </w:t>
      </w:r>
      <w:proofErr w:type="spellStart"/>
      <w:r>
        <w:t>simulatenous</w:t>
      </w:r>
      <w:proofErr w:type="spellEnd"/>
      <w:r>
        <w:t xml:space="preserve"> </w:t>
      </w:r>
      <w:proofErr w:type="spellStart"/>
      <w:r>
        <w:t>Tx</w:t>
      </w:r>
      <w:proofErr w:type="spellEnd"/>
      <w:r>
        <w:t xml:space="preserve"> and Rx on different links. Here the intention is to allow the soft AP MLD operate in multiple links under TBD conditions.</w:t>
      </w:r>
    </w:p>
  </w:comment>
  <w:comment w:id="55" w:author="Author" w:initials="A">
    <w:p w14:paraId="20100EB5" w14:textId="46230141" w:rsidR="005673B8" w:rsidRDefault="005673B8">
      <w:pPr>
        <w:pStyle w:val="CommentText"/>
      </w:pPr>
      <w:r>
        <w:rPr>
          <w:rStyle w:val="CommentReference"/>
        </w:rPr>
        <w:annotationRef/>
      </w:r>
      <w:r>
        <w:t>Not sure how this is an exception as its currently allowed by regular STR APs</w:t>
      </w:r>
    </w:p>
  </w:comment>
  <w:comment w:id="56" w:author="Author" w:initials="A">
    <w:p w14:paraId="5E8AD713" w14:textId="5389A9A7" w:rsidR="004F1548" w:rsidRDefault="004F1548">
      <w:pPr>
        <w:pStyle w:val="CommentText"/>
      </w:pPr>
      <w:r>
        <w:rPr>
          <w:rStyle w:val="CommentReference"/>
        </w:rPr>
        <w:annotationRef/>
      </w:r>
      <w:r>
        <w:t xml:space="preserve">Since a soft AP MLD is not a regular STR AP, here the intention is to say that a soft AP MLD should align the end time for simultaneous </w:t>
      </w:r>
      <w:proofErr w:type="spellStart"/>
      <w:r>
        <w:t>tx</w:t>
      </w:r>
      <w:proofErr w:type="spellEnd"/>
      <w:r>
        <w:t xml:space="preserve"> and follow the same rule as currently allowed by regular STR APs for PPDU end time </w:t>
      </w:r>
      <w:proofErr w:type="spellStart"/>
      <w:r>
        <w:t>alignement</w:t>
      </w:r>
      <w:proofErr w:type="spellEnd"/>
      <w:r>
        <w:t xml:space="preserve"> and give the reference.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2BBF61" w15:done="0"/>
  <w15:commentEx w15:paraId="08B45B60" w15:paraIdParent="782BBF61" w15:done="0"/>
  <w15:commentEx w15:paraId="0A3E1FA8" w15:done="0"/>
  <w15:commentEx w15:paraId="748BC85E" w15:paraIdParent="0A3E1FA8" w15:done="0"/>
  <w15:commentEx w15:paraId="79C7348F" w15:done="0"/>
  <w15:commentEx w15:paraId="6A384C74" w15:paraIdParent="79C7348F" w15:done="0"/>
  <w15:commentEx w15:paraId="7FA599EB" w15:done="0"/>
  <w15:commentEx w15:paraId="1FA12753" w15:paraIdParent="7FA599EB" w15:done="0"/>
  <w15:commentEx w15:paraId="526C7CE0" w15:done="0"/>
  <w15:commentEx w15:paraId="7F20D3BA" w15:paraIdParent="526C7CE0" w15:done="0"/>
  <w15:commentEx w15:paraId="20100EB5" w15:done="0"/>
  <w15:commentEx w15:paraId="5E8AD713" w15:paraIdParent="20100E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12FA0" w14:textId="77777777" w:rsidR="00B47D97" w:rsidRDefault="00B47D97">
      <w:r>
        <w:separator/>
      </w:r>
    </w:p>
  </w:endnote>
  <w:endnote w:type="continuationSeparator" w:id="0">
    <w:p w14:paraId="3B05E5EF" w14:textId="77777777" w:rsidR="00B47D97" w:rsidRDefault="00B4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2772B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A47748">
      <w:rPr>
        <w:noProof/>
      </w:rPr>
      <w:t>3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 xml:space="preserve">, </w:t>
    </w:r>
    <w:proofErr w:type="spellStart"/>
    <w:r w:rsidR="00DF0FE1">
      <w:t>Mediatek</w:t>
    </w:r>
    <w:proofErr w:type="spellEnd"/>
    <w:r w:rsidR="00DF0FE1">
      <w:t xml:space="preserve">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16179" w14:textId="77777777" w:rsidR="00B47D97" w:rsidRDefault="00B47D97">
      <w:r>
        <w:separator/>
      </w:r>
    </w:p>
  </w:footnote>
  <w:footnote w:type="continuationSeparator" w:id="0">
    <w:p w14:paraId="736A1816" w14:textId="77777777" w:rsidR="00B47D97" w:rsidRDefault="00B47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4D31022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fldSimple w:instr=" TITLE  \* MERGEFORMAT ">
      <w:r w:rsidR="00DF0FE1">
        <w:t>doc.: IEEE 802.11-</w:t>
      </w:r>
      <w:r w:rsidR="007D38EA">
        <w:t>20</w:t>
      </w:r>
      <w:r w:rsidR="00DF0FE1">
        <w:t>/</w:t>
      </w:r>
      <w:r w:rsidR="007E078C">
        <w:t>1</w:t>
      </w:r>
      <w:r>
        <w:t>407</w:t>
      </w:r>
      <w:r w:rsidR="00DF0FE1">
        <w:rPr>
          <w:lang w:eastAsia="ko-KR"/>
        </w:rPr>
        <w:t>r</w:t>
      </w:r>
    </w:fldSimple>
    <w:r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42FC"/>
    <w:rsid w:val="0006469A"/>
    <w:rsid w:val="00066421"/>
    <w:rsid w:val="00067151"/>
    <w:rsid w:val="0006732A"/>
    <w:rsid w:val="00070B0E"/>
    <w:rsid w:val="00071971"/>
    <w:rsid w:val="000726B2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26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254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47B4"/>
    <w:rsid w:val="008B4925"/>
    <w:rsid w:val="008B5396"/>
    <w:rsid w:val="008B581F"/>
    <w:rsid w:val="008B740D"/>
    <w:rsid w:val="008C05E9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290B"/>
    <w:rsid w:val="00A2298C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48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7D97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361E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500C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B79A5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4083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59B6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00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12756C6F-F88B-408C-8AAB-93399DE5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2020-09-08T07:28:00Z</dcterms:created>
  <dcterms:modified xsi:type="dcterms:W3CDTF">2020-09-09T23:12:00Z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