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772"/>
        <w:gridCol w:w="3098"/>
      </w:tblGrid>
      <w:tr w:rsidR="00694F0A" w:rsidRPr="00FA777D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5D62D4" w:rsidRDefault="002F0FF8" w:rsidP="00022778">
            <w:pPr>
              <w:pStyle w:val="T2"/>
              <w:rPr>
                <w:szCs w:val="28"/>
                <w:lang w:val="en-US" w:eastAsia="zh-CN"/>
              </w:rPr>
            </w:pPr>
            <w:r>
              <w:rPr>
                <w:color w:val="000000" w:themeColor="text1"/>
                <w:szCs w:val="28"/>
              </w:rPr>
              <w:t>Draft text</w:t>
            </w:r>
            <w:r w:rsidR="002D7043">
              <w:rPr>
                <w:color w:val="000000" w:themeColor="text1"/>
                <w:szCs w:val="28"/>
              </w:rPr>
              <w:t xml:space="preserve"> </w:t>
            </w:r>
            <w:r w:rsidR="00495F61">
              <w:rPr>
                <w:color w:val="000000" w:themeColor="text1"/>
                <w:szCs w:val="28"/>
              </w:rPr>
              <w:t xml:space="preserve">for </w:t>
            </w:r>
            <w:r w:rsidR="00094583" w:rsidRPr="00094583">
              <w:rPr>
                <w:color w:val="000000" w:themeColor="text1"/>
                <w:szCs w:val="28"/>
              </w:rPr>
              <w:t xml:space="preserve">34.3.2.3 </w:t>
            </w:r>
            <w:bookmarkStart w:id="0" w:name="_Toc47186427"/>
            <w:r w:rsidR="00094583" w:rsidRPr="00094583">
              <w:rPr>
                <w:szCs w:val="28"/>
              </w:rPr>
              <w:t>Support for large bandwidth</w:t>
            </w:r>
            <w:bookmarkEnd w:id="0"/>
          </w:p>
        </w:tc>
      </w:tr>
      <w:tr w:rsidR="00694F0A" w:rsidRPr="00FA777D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693FDD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693FDD">
              <w:rPr>
                <w:b w:val="0"/>
                <w:sz w:val="20"/>
              </w:rPr>
              <w:t xml:space="preserve">  2020</w:t>
            </w:r>
            <w:r w:rsidRPr="00FA777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022778">
              <w:rPr>
                <w:b w:val="0"/>
                <w:sz w:val="20"/>
                <w:lang w:eastAsia="zh-CN"/>
              </w:rPr>
              <w:t>8</w:t>
            </w:r>
            <w:r w:rsidR="006E0653">
              <w:rPr>
                <w:b w:val="0"/>
                <w:sz w:val="20"/>
                <w:lang w:eastAsia="zh-CN"/>
              </w:rPr>
              <w:t>-</w:t>
            </w:r>
            <w:r w:rsidR="001F2C4F">
              <w:rPr>
                <w:b w:val="0"/>
                <w:sz w:val="20"/>
                <w:lang w:eastAsia="zh-CN"/>
              </w:rPr>
              <w:t>25</w:t>
            </w:r>
          </w:p>
        </w:tc>
      </w:tr>
      <w:tr w:rsidR="00694F0A" w:rsidRPr="00FA777D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:rsidTr="00656145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7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3098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694F0A" w:rsidRPr="00FA777D" w:rsidTr="00656145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02277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Xin</w:t>
            </w:r>
          </w:p>
        </w:tc>
        <w:tc>
          <w:tcPr>
            <w:tcW w:w="1472" w:type="dxa"/>
            <w:vAlign w:val="center"/>
          </w:tcPr>
          <w:p w:rsidR="00694F0A" w:rsidRPr="00FA777D" w:rsidRDefault="00022778" w:rsidP="0002277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  <w:r w:rsidR="00E102AE">
              <w:rPr>
                <w:b w:val="0"/>
                <w:sz w:val="20"/>
                <w:lang w:eastAsia="zh-CN"/>
              </w:rPr>
              <w:t xml:space="preserve"> Canada</w:t>
            </w:r>
          </w:p>
        </w:tc>
        <w:tc>
          <w:tcPr>
            <w:tcW w:w="2970" w:type="dxa"/>
            <w:vAlign w:val="center"/>
          </w:tcPr>
          <w:p w:rsidR="00694F0A" w:rsidRPr="00FA777D" w:rsidRDefault="00E102AE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303 Terry Fox Drive, Suite#400, Kanata, ON, Canada </w:t>
            </w:r>
          </w:p>
        </w:tc>
        <w:tc>
          <w:tcPr>
            <w:tcW w:w="7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694F0A" w:rsidRPr="007305B7" w:rsidRDefault="0002277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yan.xin@huawei.com</w:t>
            </w:r>
          </w:p>
        </w:tc>
      </w:tr>
      <w:tr w:rsidR="00341A63" w:rsidRPr="00FA777D" w:rsidTr="00656145">
        <w:trPr>
          <w:jc w:val="center"/>
        </w:trPr>
        <w:tc>
          <w:tcPr>
            <w:tcW w:w="1711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341A63" w:rsidRDefault="00341A63" w:rsidP="00DF2B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41A63" w:rsidRPr="00FA777D" w:rsidTr="00656145">
        <w:trPr>
          <w:jc w:val="center"/>
        </w:trPr>
        <w:tc>
          <w:tcPr>
            <w:tcW w:w="1711" w:type="dxa"/>
            <w:vAlign w:val="center"/>
          </w:tcPr>
          <w:p w:rsidR="00341A63" w:rsidRPr="00C130CD" w:rsidRDefault="00341A63" w:rsidP="0061570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72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41A63" w:rsidRPr="00FA777D" w:rsidTr="00656145">
        <w:trPr>
          <w:jc w:val="center"/>
        </w:trPr>
        <w:tc>
          <w:tcPr>
            <w:tcW w:w="1711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</w:tbl>
    <w:p w:rsidR="00372F00" w:rsidRDefault="00372F00" w:rsidP="00694F0A"/>
    <w:p w:rsidR="00341A63" w:rsidRDefault="00341A63" w:rsidP="00694F0A">
      <w:pPr>
        <w:rPr>
          <w:sz w:val="22"/>
          <w:szCs w:val="22"/>
        </w:rPr>
      </w:pPr>
    </w:p>
    <w:p w:rsidR="003F0427" w:rsidRDefault="003F0427" w:rsidP="00694F0A">
      <w:pPr>
        <w:rPr>
          <w:sz w:val="22"/>
          <w:szCs w:val="22"/>
        </w:rPr>
      </w:pPr>
    </w:p>
    <w:p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</w:p>
    <w:p w:rsidR="00694F0A" w:rsidRPr="00356392" w:rsidRDefault="00694F0A" w:rsidP="00694F0A">
      <w:pPr>
        <w:rPr>
          <w:sz w:val="22"/>
          <w:szCs w:val="22"/>
        </w:rPr>
      </w:pPr>
    </w:p>
    <w:p w:rsidR="005D4D09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</w:t>
      </w:r>
      <w:r w:rsidR="00F051F7">
        <w:rPr>
          <w:sz w:val="22"/>
          <w:szCs w:val="22"/>
        </w:rPr>
        <w:t>proposes</w:t>
      </w:r>
      <w:r w:rsidRPr="00356392">
        <w:rPr>
          <w:sz w:val="22"/>
          <w:szCs w:val="22"/>
        </w:rPr>
        <w:t xml:space="preserve"> </w:t>
      </w:r>
      <w:r w:rsidR="003339BE">
        <w:rPr>
          <w:sz w:val="22"/>
          <w:szCs w:val="22"/>
        </w:rPr>
        <w:t xml:space="preserve">draft text </w:t>
      </w:r>
      <w:r w:rsidR="001F2C4F">
        <w:rPr>
          <w:sz w:val="22"/>
          <w:szCs w:val="22"/>
        </w:rPr>
        <w:t>for</w:t>
      </w:r>
      <w:r w:rsidR="00E102AE">
        <w:rPr>
          <w:sz w:val="22"/>
          <w:szCs w:val="22"/>
        </w:rPr>
        <w:t xml:space="preserve"> </w:t>
      </w:r>
      <w:r w:rsidR="00FF1A46">
        <w:rPr>
          <w:sz w:val="22"/>
          <w:szCs w:val="22"/>
        </w:rPr>
        <w:t>“</w:t>
      </w:r>
      <w:r w:rsidR="00094583" w:rsidRPr="00094583">
        <w:rPr>
          <w:color w:val="000000" w:themeColor="text1"/>
          <w:sz w:val="22"/>
          <w:szCs w:val="22"/>
        </w:rPr>
        <w:t xml:space="preserve">34.3.2.3 </w:t>
      </w:r>
      <w:r w:rsidR="00094583" w:rsidRPr="00094583">
        <w:rPr>
          <w:sz w:val="22"/>
          <w:szCs w:val="22"/>
        </w:rPr>
        <w:t>Support for large bandwidth</w:t>
      </w:r>
      <w:r w:rsidR="00FF1A46">
        <w:rPr>
          <w:sz w:val="22"/>
          <w:szCs w:val="22"/>
        </w:rPr>
        <w:t>”</w:t>
      </w:r>
      <w:r w:rsidR="00022778">
        <w:rPr>
          <w:sz w:val="22"/>
          <w:szCs w:val="22"/>
        </w:rPr>
        <w:t xml:space="preserve"> </w:t>
      </w:r>
      <w:r w:rsidR="005D4D09">
        <w:rPr>
          <w:sz w:val="22"/>
          <w:szCs w:val="22"/>
        </w:rPr>
        <w:t xml:space="preserve">in </w:t>
      </w:r>
      <w:proofErr w:type="spellStart"/>
      <w:r w:rsidR="005D4D09">
        <w:rPr>
          <w:sz w:val="22"/>
          <w:szCs w:val="22"/>
        </w:rPr>
        <w:t>TGbe</w:t>
      </w:r>
      <w:proofErr w:type="spellEnd"/>
      <w:r w:rsidR="005D4D09">
        <w:rPr>
          <w:sz w:val="22"/>
          <w:szCs w:val="22"/>
        </w:rPr>
        <w:t xml:space="preserve"> D0.1 </w:t>
      </w:r>
    </w:p>
    <w:p w:rsidR="005D4D09" w:rsidRDefault="005D4D09" w:rsidP="00694F0A">
      <w:pPr>
        <w:rPr>
          <w:sz w:val="22"/>
          <w:szCs w:val="22"/>
        </w:rPr>
      </w:pPr>
    </w:p>
    <w:p w:rsidR="00694F0A" w:rsidRPr="00AB0CCC" w:rsidRDefault="005D4D09" w:rsidP="00694F0A">
      <w:pPr>
        <w:rPr>
          <w:sz w:val="22"/>
          <w:szCs w:val="22"/>
        </w:rPr>
      </w:pPr>
      <w:r>
        <w:rPr>
          <w:sz w:val="22"/>
          <w:szCs w:val="22"/>
        </w:rPr>
        <w:t>The corresponding</w:t>
      </w:r>
      <w:r w:rsidR="004C1857">
        <w:rPr>
          <w:sz w:val="22"/>
          <w:szCs w:val="22"/>
        </w:rPr>
        <w:t xml:space="preserve"> motion</w:t>
      </w:r>
      <w:r w:rsidR="00AB0CCC">
        <w:rPr>
          <w:sz w:val="22"/>
          <w:szCs w:val="22"/>
        </w:rPr>
        <w:t>s</w:t>
      </w:r>
      <w:r w:rsidR="004C1857">
        <w:rPr>
          <w:sz w:val="22"/>
          <w:szCs w:val="22"/>
        </w:rPr>
        <w:t xml:space="preserve"> </w:t>
      </w:r>
      <w:r w:rsidR="0059389E">
        <w:rPr>
          <w:sz w:val="22"/>
          <w:szCs w:val="22"/>
        </w:rPr>
        <w:t xml:space="preserve">related to R1 </w:t>
      </w:r>
      <w:r w:rsidR="00F739CF">
        <w:rPr>
          <w:sz w:val="22"/>
          <w:szCs w:val="22"/>
        </w:rPr>
        <w:t xml:space="preserve">of </w:t>
      </w:r>
      <w:proofErr w:type="spellStart"/>
      <w:r w:rsidR="00F739CF">
        <w:rPr>
          <w:sz w:val="22"/>
          <w:szCs w:val="22"/>
        </w:rPr>
        <w:t>TGbe</w:t>
      </w:r>
      <w:proofErr w:type="spellEnd"/>
      <w:r w:rsidR="00F739CF">
        <w:rPr>
          <w:sz w:val="22"/>
          <w:szCs w:val="22"/>
        </w:rPr>
        <w:t xml:space="preserve"> are </w:t>
      </w:r>
      <w:r w:rsidR="004C1857">
        <w:rPr>
          <w:sz w:val="22"/>
          <w:szCs w:val="22"/>
        </w:rPr>
        <w:t xml:space="preserve">shown </w:t>
      </w:r>
      <w:r w:rsidR="00F739CF">
        <w:rPr>
          <w:sz w:val="22"/>
          <w:szCs w:val="22"/>
        </w:rPr>
        <w:t>in [1] and</w:t>
      </w:r>
      <w:r>
        <w:rPr>
          <w:sz w:val="22"/>
          <w:szCs w:val="22"/>
        </w:rPr>
        <w:t xml:space="preserve"> listed as below</w:t>
      </w:r>
      <w:r w:rsidR="003339BE">
        <w:rPr>
          <w:sz w:val="22"/>
          <w:szCs w:val="22"/>
        </w:rPr>
        <w:t>:</w:t>
      </w:r>
      <w:r w:rsidR="00694F0A" w:rsidRPr="00356392">
        <w:rPr>
          <w:bCs/>
          <w:sz w:val="22"/>
          <w:szCs w:val="22"/>
        </w:rPr>
        <w:t xml:space="preserve"> </w:t>
      </w:r>
    </w:p>
    <w:p w:rsidR="00022778" w:rsidRDefault="00022778" w:rsidP="00022778">
      <w:pPr>
        <w:rPr>
          <w:sz w:val="22"/>
          <w:szCs w:val="22"/>
        </w:rPr>
      </w:pPr>
    </w:p>
    <w:p w:rsidR="00AB0CCC" w:rsidRPr="00AB0CCC" w:rsidRDefault="00592622" w:rsidP="00AB0CCC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AB0CCC" w:rsidRPr="00AB0CCC">
        <w:rPr>
          <w:sz w:val="22"/>
          <w:szCs w:val="22"/>
        </w:rPr>
        <w:t>otions</w:t>
      </w:r>
      <w:r w:rsidR="0059389E">
        <w:rPr>
          <w:sz w:val="22"/>
          <w:szCs w:val="22"/>
        </w:rPr>
        <w:t>: 115 (#SP75)</w:t>
      </w:r>
      <w:r w:rsidR="00AB0CCC" w:rsidRPr="00AB0CCC">
        <w:rPr>
          <w:sz w:val="22"/>
          <w:szCs w:val="22"/>
        </w:rPr>
        <w:t xml:space="preserve"> </w:t>
      </w:r>
    </w:p>
    <w:p w:rsidR="00AB0CCC" w:rsidRPr="00AB0CCC" w:rsidRDefault="00AB0CCC" w:rsidP="00AB0CCC">
      <w:pPr>
        <w:pStyle w:val="ListParagraph"/>
        <w:rPr>
          <w:sz w:val="22"/>
          <w:szCs w:val="22"/>
        </w:rPr>
      </w:pPr>
    </w:p>
    <w:p w:rsidR="002747EB" w:rsidRDefault="002747EB" w:rsidP="00694F0A"/>
    <w:p w:rsid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  <w:r w:rsidRPr="005D4D09">
        <w:rPr>
          <w:rFonts w:eastAsia="宋体"/>
          <w:color w:val="000000"/>
          <w:sz w:val="22"/>
          <w:szCs w:val="22"/>
          <w:lang w:eastAsia="en-US"/>
        </w:rPr>
        <w:t>R0</w:t>
      </w:r>
      <w:r>
        <w:rPr>
          <w:rFonts w:eastAsia="宋体"/>
          <w:color w:val="000000"/>
          <w:sz w:val="22"/>
          <w:szCs w:val="22"/>
          <w:lang w:eastAsia="en-US"/>
        </w:rPr>
        <w:t xml:space="preserve">: Initial </w:t>
      </w:r>
      <w:r w:rsidR="00094583">
        <w:rPr>
          <w:rFonts w:eastAsia="宋体"/>
          <w:color w:val="000000"/>
          <w:sz w:val="22"/>
          <w:szCs w:val="22"/>
          <w:lang w:eastAsia="en-US"/>
        </w:rPr>
        <w:t xml:space="preserve">proposed </w:t>
      </w:r>
      <w:r>
        <w:rPr>
          <w:rFonts w:eastAsia="宋体"/>
          <w:color w:val="000000"/>
          <w:sz w:val="22"/>
          <w:szCs w:val="22"/>
          <w:lang w:eastAsia="en-US"/>
        </w:rPr>
        <w:t>draft text.</w:t>
      </w:r>
    </w:p>
    <w:p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:rsidR="005D4D09" w:rsidRDefault="005D4D09">
      <w:pPr>
        <w:rPr>
          <w:rFonts w:ascii="Arial" w:eastAsia="宋体" w:hAnsi="Arial" w:cs="Arial"/>
          <w:color w:val="000000"/>
          <w:lang w:eastAsia="en-US"/>
        </w:rPr>
      </w:pPr>
      <w:bookmarkStart w:id="1" w:name="_GoBack"/>
      <w:bookmarkEnd w:id="1"/>
      <w:r>
        <w:rPr>
          <w:rFonts w:ascii="Arial" w:eastAsia="宋体" w:hAnsi="Arial" w:cs="Arial"/>
          <w:color w:val="000000"/>
          <w:lang w:eastAsia="en-US"/>
        </w:rPr>
        <w:br w:type="page"/>
      </w:r>
    </w:p>
    <w:p w:rsidR="005D4D09" w:rsidRPr="00EB5AC5" w:rsidRDefault="005D4D09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:rsidR="00EB5AC5" w:rsidRP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:rsidR="002747EB" w:rsidRPr="009E1852" w:rsidRDefault="00EB5AC5" w:rsidP="00EB5AC5">
      <w:r w:rsidRPr="009E1852">
        <w:rPr>
          <w:rFonts w:ascii="Arial" w:eastAsia="宋体" w:hAnsi="Arial" w:cs="Arial"/>
          <w:b/>
          <w:bCs/>
          <w:color w:val="000000"/>
          <w:lang w:eastAsia="en-US"/>
        </w:rPr>
        <w:t>34.3.2 Subcarrier</w:t>
      </w:r>
      <w:r w:rsidR="00570DF2" w:rsidRPr="009E1852">
        <w:rPr>
          <w:rFonts w:ascii="Arial" w:eastAsia="宋体" w:hAnsi="Arial" w:cs="Arial"/>
          <w:b/>
          <w:bCs/>
          <w:color w:val="000000"/>
          <w:lang w:eastAsia="en-US"/>
        </w:rPr>
        <w:t>s</w:t>
      </w:r>
      <w:r w:rsidRPr="009E1852">
        <w:rPr>
          <w:rFonts w:ascii="Arial" w:eastAsia="宋体" w:hAnsi="Arial" w:cs="Arial"/>
          <w:b/>
          <w:bCs/>
          <w:color w:val="000000"/>
          <w:lang w:eastAsia="en-US"/>
        </w:rPr>
        <w:t xml:space="preserve"> and resource allocation</w:t>
      </w:r>
    </w:p>
    <w:p w:rsidR="00EB5AC5" w:rsidRPr="009E1852" w:rsidRDefault="00EB5AC5"/>
    <w:p w:rsidR="00EB5AC5" w:rsidRPr="009E1852" w:rsidRDefault="00EB5AC5">
      <w:pPr>
        <w:rPr>
          <w:rFonts w:ascii="Arial" w:hAnsi="Arial" w:cs="Arial"/>
          <w:b/>
          <w:color w:val="000000" w:themeColor="text1"/>
        </w:rPr>
      </w:pPr>
      <w:r w:rsidRPr="009E1852">
        <w:rPr>
          <w:rFonts w:ascii="Arial" w:hAnsi="Arial" w:cs="Arial"/>
          <w:b/>
          <w:color w:val="000000" w:themeColor="text1"/>
        </w:rPr>
        <w:t>34.3.2.1 General</w:t>
      </w:r>
      <w:r w:rsidR="00E102AE" w:rsidRPr="009E1852">
        <w:rPr>
          <w:rFonts w:ascii="Arial" w:hAnsi="Arial" w:cs="Arial"/>
          <w:b/>
          <w:color w:val="000000" w:themeColor="text1"/>
        </w:rPr>
        <w:t xml:space="preserve"> </w:t>
      </w:r>
    </w:p>
    <w:p w:rsidR="00EB5AC5" w:rsidRPr="009E1852" w:rsidRDefault="00EB5AC5"/>
    <w:p w:rsidR="00EB5AC5" w:rsidRPr="009E1852" w:rsidRDefault="00EB5AC5" w:rsidP="00EB5AC5">
      <w:pPr>
        <w:rPr>
          <w:rFonts w:ascii="Arial" w:hAnsi="Arial" w:cs="Arial"/>
          <w:b/>
          <w:color w:val="000000" w:themeColor="text1"/>
        </w:rPr>
      </w:pPr>
      <w:r w:rsidRPr="009E1852">
        <w:rPr>
          <w:rFonts w:ascii="Arial" w:hAnsi="Arial" w:cs="Arial"/>
          <w:b/>
          <w:color w:val="000000" w:themeColor="text1"/>
        </w:rPr>
        <w:t>34.3.2.2 Wideband and noncontiguous spectrum utilization</w:t>
      </w:r>
      <w:r w:rsidR="00487E41" w:rsidRPr="009E1852">
        <w:rPr>
          <w:rFonts w:ascii="Arial" w:hAnsi="Arial" w:cs="Arial"/>
          <w:b/>
          <w:color w:val="000000" w:themeColor="text1"/>
        </w:rPr>
        <w:t xml:space="preserve"> </w:t>
      </w:r>
    </w:p>
    <w:p w:rsidR="00EB5AC5" w:rsidRPr="009E1852" w:rsidRDefault="00EB5AC5">
      <w:pPr>
        <w:rPr>
          <w:rFonts w:ascii="Arial" w:hAnsi="Arial" w:cs="Arial"/>
          <w:b/>
        </w:rPr>
      </w:pPr>
    </w:p>
    <w:p w:rsidR="00867495" w:rsidRPr="00094583" w:rsidRDefault="00094583" w:rsidP="00E91E3D">
      <w:pPr>
        <w:jc w:val="both"/>
        <w:rPr>
          <w:rFonts w:ascii="Arial" w:hAnsi="Arial" w:cs="Arial"/>
        </w:rPr>
      </w:pPr>
      <w:r w:rsidRPr="00094583">
        <w:rPr>
          <w:rFonts w:ascii="Arial" w:hAnsi="Arial" w:cs="Arial"/>
          <w:b/>
          <w:color w:val="000000" w:themeColor="text1"/>
        </w:rPr>
        <w:t xml:space="preserve">34.3.2.3 </w:t>
      </w:r>
      <w:r w:rsidRPr="00094583">
        <w:rPr>
          <w:rFonts w:ascii="Arial" w:hAnsi="Arial" w:cs="Arial"/>
          <w:b/>
        </w:rPr>
        <w:t>Support for large bandwidth</w:t>
      </w:r>
    </w:p>
    <w:p w:rsidR="00867495" w:rsidRDefault="00867495" w:rsidP="00867495">
      <w:pPr>
        <w:autoSpaceDE w:val="0"/>
        <w:autoSpaceDN w:val="0"/>
        <w:adjustRightInd w:val="0"/>
        <w:rPr>
          <w:rFonts w:ascii="Arial-BoldMT" w:eastAsia="Arial-BoldMT" w:cs="Arial-BoldMT"/>
          <w:b/>
          <w:bCs/>
          <w:sz w:val="20"/>
          <w:szCs w:val="20"/>
          <w:lang w:eastAsia="en-US"/>
        </w:rPr>
      </w:pPr>
    </w:p>
    <w:p w:rsidR="004960F3" w:rsidRDefault="00F739CF" w:rsidP="000D3DBE">
      <w:pPr>
        <w:jc w:val="both"/>
      </w:pPr>
      <w:r>
        <w:t xml:space="preserve">In EHT, 80 MHz operating STAs shall be able to </w:t>
      </w:r>
      <w:r w:rsidR="000D3DBE">
        <w:t xml:space="preserve">be </w:t>
      </w:r>
      <w:r>
        <w:t>multiplexed into 160/80+80 MHz, 240/160+80 MHz and 320/160+160 MHz DL and UL PPDU transmission</w:t>
      </w:r>
      <w:r w:rsidR="000D3DBE">
        <w:t>s, and 160 MHz operating STAs shall be able to be multiplexed into 240/160+80 MHz and 320/160+160 MHz DL and UL PPDU transmissions</w:t>
      </w:r>
      <w:r>
        <w:t xml:space="preserve">. </w:t>
      </w:r>
      <w:r w:rsidR="000D3DBE">
        <w:t>An 80 MHz or 160 MHz operating STA shall be able to decode the preamble and the RU information assigned to the STA</w:t>
      </w:r>
      <w:r w:rsidR="00772E79">
        <w:t xml:space="preserve"> in </w:t>
      </w:r>
      <w:r w:rsidR="00772E79">
        <w:t>DL and UL PPDU transmissions</w:t>
      </w:r>
      <w:r w:rsidR="00772E79">
        <w:t xml:space="preserve"> with a larger bandwidth</w:t>
      </w:r>
      <w:r w:rsidR="000D3DBE">
        <w:t>.</w:t>
      </w:r>
    </w:p>
    <w:p w:rsidR="004960F3" w:rsidRDefault="004960F3"/>
    <w:p w:rsidR="00F739CF" w:rsidRDefault="00F739CF"/>
    <w:p w:rsidR="00F739CF" w:rsidRDefault="00F739CF"/>
    <w:p w:rsidR="004960F3" w:rsidRDefault="004960F3"/>
    <w:p w:rsidR="0054761D" w:rsidRDefault="0054761D">
      <w:r>
        <w:br w:type="page"/>
      </w:r>
    </w:p>
    <w:p w:rsidR="002D2A20" w:rsidRDefault="002D2A20"/>
    <w:p w:rsidR="002D2A20" w:rsidRDefault="002D2A20" w:rsidP="002D2A20">
      <w:pPr>
        <w:rPr>
          <w:rFonts w:ascii="Arial-BoldMT" w:eastAsia="宋体" w:hAnsi="Arial-BoldMT" w:cs="Arial-BoldMT"/>
          <w:b/>
          <w:bCs/>
          <w:sz w:val="20"/>
          <w:szCs w:val="20"/>
          <w:lang w:eastAsia="en-US"/>
        </w:rPr>
      </w:pPr>
    </w:p>
    <w:p w:rsidR="002747EB" w:rsidRDefault="00D60BC2" w:rsidP="00694F0A">
      <w:pPr>
        <w:rPr>
          <w:b/>
          <w:sz w:val="32"/>
        </w:rPr>
      </w:pPr>
      <w:r w:rsidRPr="00676CA5">
        <w:rPr>
          <w:b/>
          <w:sz w:val="32"/>
        </w:rPr>
        <w:t>References:</w:t>
      </w:r>
    </w:p>
    <w:p w:rsidR="00676CA5" w:rsidRPr="00676CA5" w:rsidRDefault="00676CA5" w:rsidP="00694F0A">
      <w:pPr>
        <w:rPr>
          <w:b/>
          <w:sz w:val="32"/>
        </w:rPr>
      </w:pPr>
    </w:p>
    <w:p w:rsidR="002747EB" w:rsidRDefault="00D60BC2" w:rsidP="00694F0A">
      <w:r>
        <w:t>[1]</w:t>
      </w:r>
      <w:r w:rsidR="00676CA5">
        <w:t xml:space="preserve"> </w:t>
      </w:r>
      <w:r w:rsidR="00022778">
        <w:t>802.</w:t>
      </w:r>
      <w:r w:rsidR="00676CA5">
        <w:t>11</w:t>
      </w:r>
      <w:r w:rsidR="00135012">
        <w:t>-20/0566r5</w:t>
      </w:r>
      <w:r w:rsidR="00135012" w:rsidRPr="005D4D09">
        <w:t>9</w:t>
      </w:r>
      <w:r w:rsidR="00022778">
        <w:t xml:space="preserve">, Edward Au, Compendium of straw polls and potential changes to </w:t>
      </w:r>
      <w:r w:rsidR="00676CA5" w:rsidRPr="00676CA5">
        <w:t>the</w:t>
      </w:r>
      <w:r w:rsidR="00022778">
        <w:t xml:space="preserve"> specification framework </w:t>
      </w:r>
      <w:r w:rsidR="00676CA5" w:rsidRPr="00676CA5">
        <w:t>document</w:t>
      </w:r>
      <w:r w:rsidR="00676CA5">
        <w:t>.</w:t>
      </w:r>
    </w:p>
    <w:p w:rsidR="005D4D09" w:rsidRDefault="005D4D09" w:rsidP="005D4D09">
      <w:pPr>
        <w:spacing w:before="240"/>
      </w:pPr>
    </w:p>
    <w:p w:rsidR="002747EB" w:rsidRDefault="002747EB" w:rsidP="00694F0A"/>
    <w:p w:rsidR="002747EB" w:rsidRDefault="002747EB" w:rsidP="00694F0A"/>
    <w:p w:rsidR="002747EB" w:rsidRDefault="002747EB" w:rsidP="002747EB"/>
    <w:p w:rsidR="002747EB" w:rsidRDefault="002747EB" w:rsidP="002747EB"/>
    <w:p w:rsidR="002747EB" w:rsidRDefault="002747EB" w:rsidP="002747EB"/>
    <w:p w:rsidR="00694F0A" w:rsidRDefault="00694F0A" w:rsidP="002747EB"/>
    <w:p w:rsidR="00694F0A" w:rsidRDefault="00694F0A" w:rsidP="002747EB"/>
    <w:p w:rsidR="00372F00" w:rsidRDefault="00372F00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E1EE2" w:rsidRDefault="002E1EE2" w:rsidP="001E6210"/>
    <w:sectPr w:rsidR="002E1EE2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4AB" w:rsidRDefault="00B974AB">
      <w:r>
        <w:separator/>
      </w:r>
    </w:p>
  </w:endnote>
  <w:endnote w:type="continuationSeparator" w:id="0">
    <w:p w:rsidR="00B974AB" w:rsidRDefault="00B9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 w:rsidR="00094583">
      <w:rPr>
        <w:lang w:val="fr-FR" w:eastAsia="zh-CN"/>
      </w:rPr>
      <w:t>Yan Xin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4AB" w:rsidRDefault="00B974AB">
      <w:r>
        <w:separator/>
      </w:r>
    </w:p>
  </w:footnote>
  <w:footnote w:type="continuationSeparator" w:id="0">
    <w:p w:rsidR="00B974AB" w:rsidRDefault="00B97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0A6C43" w:rsidRPr="00D54162" w:rsidRDefault="002D7043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August 25</w:t>
    </w:r>
    <w:r w:rsidR="000A6C43" w:rsidRPr="00D54162">
      <w:rPr>
        <w:color w:val="000000" w:themeColor="text1"/>
        <w:szCs w:val="28"/>
        <w:lang w:eastAsia="zh-CN"/>
      </w:rPr>
      <w:t>, 20</w:t>
    </w:r>
    <w:r w:rsidR="00693FDD">
      <w:rPr>
        <w:color w:val="000000" w:themeColor="text1"/>
        <w:szCs w:val="28"/>
        <w:lang w:eastAsia="zh-CN"/>
      </w:rPr>
      <w:t>20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693FDD">
      <w:rPr>
        <w:color w:val="000000" w:themeColor="text1"/>
        <w:szCs w:val="28"/>
      </w:rPr>
      <w:t>IEEE 802.11-20</w:t>
    </w:r>
    <w:r w:rsidR="00F56090">
      <w:rPr>
        <w:color w:val="000000" w:themeColor="text1"/>
        <w:szCs w:val="28"/>
      </w:rPr>
      <w:t>/</w:t>
    </w:r>
    <w:r w:rsidR="006847AE">
      <w:rPr>
        <w:color w:val="000000" w:themeColor="text1"/>
        <w:szCs w:val="28"/>
      </w:rPr>
      <w:t>1315</w:t>
    </w:r>
    <w:r w:rsidR="001F2C4F">
      <w:rPr>
        <w:color w:val="000000" w:themeColor="text1"/>
        <w:szCs w:val="28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F0D1C"/>
    <w:multiLevelType w:val="hybridMultilevel"/>
    <w:tmpl w:val="3F9EE854"/>
    <w:lvl w:ilvl="0" w:tplc="B74A1426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22"/>
  </w:num>
  <w:num w:numId="8">
    <w:abstractNumId w:val="33"/>
  </w:num>
  <w:num w:numId="9">
    <w:abstractNumId w:val="20"/>
  </w:num>
  <w:num w:numId="10">
    <w:abstractNumId w:val="12"/>
  </w:num>
  <w:num w:numId="11">
    <w:abstractNumId w:val="39"/>
  </w:num>
  <w:num w:numId="12">
    <w:abstractNumId w:val="34"/>
  </w:num>
  <w:num w:numId="13">
    <w:abstractNumId w:val="14"/>
  </w:num>
  <w:num w:numId="14">
    <w:abstractNumId w:val="36"/>
  </w:num>
  <w:num w:numId="15">
    <w:abstractNumId w:val="11"/>
  </w:num>
  <w:num w:numId="16">
    <w:abstractNumId w:val="9"/>
  </w:num>
  <w:num w:numId="17">
    <w:abstractNumId w:val="7"/>
  </w:num>
  <w:num w:numId="18">
    <w:abstractNumId w:val="29"/>
  </w:num>
  <w:num w:numId="19">
    <w:abstractNumId w:val="15"/>
  </w:num>
  <w:num w:numId="20">
    <w:abstractNumId w:val="40"/>
  </w:num>
  <w:num w:numId="21">
    <w:abstractNumId w:val="35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6"/>
  </w:num>
  <w:num w:numId="30">
    <w:abstractNumId w:val="30"/>
  </w:num>
  <w:num w:numId="31">
    <w:abstractNumId w:val="19"/>
  </w:num>
  <w:num w:numId="32">
    <w:abstractNumId w:val="24"/>
  </w:num>
  <w:num w:numId="33">
    <w:abstractNumId w:val="6"/>
  </w:num>
  <w:num w:numId="34">
    <w:abstractNumId w:val="23"/>
  </w:num>
  <w:num w:numId="35">
    <w:abstractNumId w:val="31"/>
  </w:num>
  <w:num w:numId="36">
    <w:abstractNumId w:val="18"/>
  </w:num>
  <w:num w:numId="37">
    <w:abstractNumId w:val="37"/>
  </w:num>
  <w:num w:numId="38">
    <w:abstractNumId w:val="21"/>
  </w:num>
  <w:num w:numId="39">
    <w:abstractNumId w:val="16"/>
  </w:num>
  <w:num w:numId="40">
    <w:abstractNumId w:val="13"/>
  </w:num>
  <w:num w:numId="41">
    <w:abstractNumId w:val="28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78"/>
    <w:rsid w:val="000227C8"/>
    <w:rsid w:val="00022A87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2A7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425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5B9D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BAF"/>
    <w:rsid w:val="00083C10"/>
    <w:rsid w:val="00084AD8"/>
    <w:rsid w:val="00084B9F"/>
    <w:rsid w:val="00084D4C"/>
    <w:rsid w:val="00084F4B"/>
    <w:rsid w:val="00085FCC"/>
    <w:rsid w:val="000875EE"/>
    <w:rsid w:val="00087BAE"/>
    <w:rsid w:val="00090B52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4583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3DBE"/>
    <w:rsid w:val="000D472D"/>
    <w:rsid w:val="000D4963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012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5B40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09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2C4F"/>
    <w:rsid w:val="001F3370"/>
    <w:rsid w:val="001F4A1B"/>
    <w:rsid w:val="001F4D42"/>
    <w:rsid w:val="001F504F"/>
    <w:rsid w:val="001F510A"/>
    <w:rsid w:val="001F57B6"/>
    <w:rsid w:val="001F6AA7"/>
    <w:rsid w:val="001F705A"/>
    <w:rsid w:val="001F7541"/>
    <w:rsid w:val="002006C3"/>
    <w:rsid w:val="00200994"/>
    <w:rsid w:val="002009FD"/>
    <w:rsid w:val="00200CC8"/>
    <w:rsid w:val="00201499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0360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6F13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2A20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43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0FF8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5C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0D80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3CE9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0427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0F5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14D8"/>
    <w:rsid w:val="00471A72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87E41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F61"/>
    <w:rsid w:val="00495F83"/>
    <w:rsid w:val="004960F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85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4B9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1056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3FC6"/>
    <w:rsid w:val="005041B6"/>
    <w:rsid w:val="0050495E"/>
    <w:rsid w:val="00504BCE"/>
    <w:rsid w:val="00504DB7"/>
    <w:rsid w:val="00507836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1BD0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195D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0DF2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622"/>
    <w:rsid w:val="00592BD9"/>
    <w:rsid w:val="00592FF2"/>
    <w:rsid w:val="0059389E"/>
    <w:rsid w:val="00593ED0"/>
    <w:rsid w:val="005944B2"/>
    <w:rsid w:val="00594880"/>
    <w:rsid w:val="00594F6E"/>
    <w:rsid w:val="00595391"/>
    <w:rsid w:val="0059541B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1D68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4D09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1500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570D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145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47AE"/>
    <w:rsid w:val="006853F5"/>
    <w:rsid w:val="00685695"/>
    <w:rsid w:val="00685739"/>
    <w:rsid w:val="0068573D"/>
    <w:rsid w:val="00685C9C"/>
    <w:rsid w:val="00686190"/>
    <w:rsid w:val="00686372"/>
    <w:rsid w:val="00686E5E"/>
    <w:rsid w:val="00687C94"/>
    <w:rsid w:val="0069022F"/>
    <w:rsid w:val="006905B9"/>
    <w:rsid w:val="00690669"/>
    <w:rsid w:val="00691154"/>
    <w:rsid w:val="0069166E"/>
    <w:rsid w:val="00691BCC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36"/>
    <w:rsid w:val="006D5783"/>
    <w:rsid w:val="006D5F4A"/>
    <w:rsid w:val="006D6653"/>
    <w:rsid w:val="006D6F59"/>
    <w:rsid w:val="006D7077"/>
    <w:rsid w:val="006E0653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BE7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63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3E5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2E79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063"/>
    <w:rsid w:val="007B32E5"/>
    <w:rsid w:val="007B3E47"/>
    <w:rsid w:val="007B4373"/>
    <w:rsid w:val="007B490D"/>
    <w:rsid w:val="007B528B"/>
    <w:rsid w:val="007B52AC"/>
    <w:rsid w:val="007B61CE"/>
    <w:rsid w:val="007B6A0C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857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4B6"/>
    <w:rsid w:val="007E0ACF"/>
    <w:rsid w:val="007E2017"/>
    <w:rsid w:val="007E2250"/>
    <w:rsid w:val="007E2495"/>
    <w:rsid w:val="007E293C"/>
    <w:rsid w:val="007E3186"/>
    <w:rsid w:val="007E3B1D"/>
    <w:rsid w:val="007E3F09"/>
    <w:rsid w:val="007E4446"/>
    <w:rsid w:val="007E49E3"/>
    <w:rsid w:val="007E49F5"/>
    <w:rsid w:val="007E4F2C"/>
    <w:rsid w:val="007E53F9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7AF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460"/>
    <w:rsid w:val="00826C91"/>
    <w:rsid w:val="00827110"/>
    <w:rsid w:val="0082747A"/>
    <w:rsid w:val="0082779E"/>
    <w:rsid w:val="00827923"/>
    <w:rsid w:val="0082794D"/>
    <w:rsid w:val="00830523"/>
    <w:rsid w:val="00830836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495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2A8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3B3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0FD7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440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2FC8"/>
    <w:rsid w:val="008F302B"/>
    <w:rsid w:val="008F3506"/>
    <w:rsid w:val="008F36DF"/>
    <w:rsid w:val="008F3DE7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A72D3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6B7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852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1A23"/>
    <w:rsid w:val="00AA2194"/>
    <w:rsid w:val="00AA2318"/>
    <w:rsid w:val="00AA2B4B"/>
    <w:rsid w:val="00AA2C2D"/>
    <w:rsid w:val="00AA3201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0CCC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D7F1E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0104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739"/>
    <w:rsid w:val="00B25915"/>
    <w:rsid w:val="00B26663"/>
    <w:rsid w:val="00B26F3C"/>
    <w:rsid w:val="00B2734A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D7C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974AB"/>
    <w:rsid w:val="00BA1D88"/>
    <w:rsid w:val="00BA20F5"/>
    <w:rsid w:val="00BA24C8"/>
    <w:rsid w:val="00BA2878"/>
    <w:rsid w:val="00BA2912"/>
    <w:rsid w:val="00BA2A8F"/>
    <w:rsid w:val="00BA2F9C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137F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0CD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27F5E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ABB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A76C3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4E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6C98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507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0F3C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A8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1E5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2BC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2AE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50F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09DA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760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1E3D"/>
    <w:rsid w:val="00E926AB"/>
    <w:rsid w:val="00E9472B"/>
    <w:rsid w:val="00E94881"/>
    <w:rsid w:val="00E94AD1"/>
    <w:rsid w:val="00E94CC5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5AC5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18EA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51F7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5FD8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9CF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264"/>
    <w:rsid w:val="00FF1476"/>
    <w:rsid w:val="00FF1A4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宋体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宋体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宋体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2A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宋体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宋体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宋体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宋体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宋体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宋体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宋体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宋体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宋体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宋体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宋体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宋体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宋体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宋体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semiHidden/>
    <w:rsid w:val="002D2A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customStyle="1" w:styleId="SP13167983">
    <w:name w:val="SP.13.167983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  <w:style w:type="paragraph" w:customStyle="1" w:styleId="SP13167984">
    <w:name w:val="SP.13.167984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CF99802A-8322-45D4-BC42-5EEC239F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96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802.11-20/xxxxr0</vt:lpstr>
      <vt:lpstr>doc.: IEEE 802.11-11/xxxxr0</vt:lpstr>
    </vt:vector>
  </TitlesOfParts>
  <Company>Nokia Corporation</Company>
  <LinksUpToDate>false</LinksUpToDate>
  <CharactersWithSpaces>1311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802.11-20/xxxxr0</dc:title>
  <dc:subject>Submission</dc:subject>
  <dc:creator>Yan Xin</dc:creator>
  <cp:keywords>Aug. 2020</cp:keywords>
  <dc:description>Yan Xin</dc:description>
  <cp:lastModifiedBy>Yan Xin</cp:lastModifiedBy>
  <cp:revision>15</cp:revision>
  <cp:lastPrinted>2013-12-02T17:26:00Z</cp:lastPrinted>
  <dcterms:created xsi:type="dcterms:W3CDTF">2020-08-25T20:03:00Z</dcterms:created>
  <dcterms:modified xsi:type="dcterms:W3CDTF">2020-08-25T23:44:00Z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