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6E181410" w:rsidR="00B6527E" w:rsidRPr="00174660" w:rsidRDefault="00654E8A" w:rsidP="002E26A6">
            <w:pPr>
              <w:pStyle w:val="T2"/>
              <w:rPr>
                <w:rFonts w:eastAsia="ＭＳ 明朝"/>
                <w:lang w:eastAsia="ja-JP"/>
              </w:rPr>
            </w:pPr>
            <w:r>
              <w:rPr>
                <w:rFonts w:eastAsia="ＭＳ 明朝" w:hint="eastAsia"/>
                <w:lang w:eastAsia="ja-JP"/>
              </w:rPr>
              <w:t xml:space="preserve"> </w:t>
            </w:r>
            <w:r w:rsidR="00144AB4" w:rsidRPr="00144AB4">
              <w:rPr>
                <w:rFonts w:eastAsia="ＭＳ 明朝"/>
                <w:lang w:eastAsia="ja-JP"/>
              </w:rPr>
              <w:t>CID</w:t>
            </w:r>
            <w:r w:rsidR="008D2619">
              <w:rPr>
                <w:rFonts w:eastAsia="ＭＳ 明朝"/>
                <w:lang w:eastAsia="ja-JP"/>
              </w:rPr>
              <w:t>237 240 NGV 60 GHz STA definition</w:t>
            </w:r>
          </w:p>
        </w:tc>
      </w:tr>
      <w:tr w:rsidR="00B6527E" w14:paraId="0985BDBF" w14:textId="77777777" w:rsidTr="005A7A86">
        <w:trPr>
          <w:trHeight w:val="359"/>
          <w:jc w:val="center"/>
        </w:trPr>
        <w:tc>
          <w:tcPr>
            <w:tcW w:w="9779" w:type="dxa"/>
            <w:gridSpan w:val="5"/>
            <w:vAlign w:val="center"/>
          </w:tcPr>
          <w:p w14:paraId="2322CFAC" w14:textId="4E613BFA"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7413099A" w:rsidRPr="1B77B1D1">
              <w:rPr>
                <w:b w:val="0"/>
                <w:sz w:val="20"/>
              </w:rPr>
              <w:t>20</w:t>
            </w:r>
            <w:r w:rsidRPr="1B77B1D1">
              <w:rPr>
                <w:b w:val="0"/>
                <w:sz w:val="20"/>
              </w:rPr>
              <w:t>-</w:t>
            </w:r>
            <w:r w:rsidR="007F6342">
              <w:rPr>
                <w:b w:val="0"/>
                <w:sz w:val="20"/>
              </w:rPr>
              <w:t>9</w:t>
            </w:r>
            <w:r w:rsidR="0016322C" w:rsidRPr="1B77B1D1">
              <w:rPr>
                <w:b w:val="0"/>
                <w:sz w:val="20"/>
              </w:rPr>
              <w:t>-</w:t>
            </w:r>
            <w:r w:rsidR="007F6342">
              <w:rPr>
                <w:b w:val="0"/>
                <w:sz w:val="20"/>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E816F6" w14:paraId="42EFB723" w14:textId="77777777" w:rsidTr="005A7A86">
        <w:trPr>
          <w:jc w:val="center"/>
        </w:trPr>
        <w:tc>
          <w:tcPr>
            <w:tcW w:w="2190"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5A7A86">
        <w:trPr>
          <w:jc w:val="center"/>
        </w:trPr>
        <w:tc>
          <w:tcPr>
            <w:tcW w:w="2190" w:type="dxa"/>
            <w:vAlign w:val="center"/>
          </w:tcPr>
          <w:p w14:paraId="01519834" w14:textId="37636879" w:rsidR="00E816F6" w:rsidRPr="00922E81" w:rsidRDefault="0006634C"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BABC2D2" w:rsidR="00E816F6" w:rsidRPr="00EF7A85" w:rsidRDefault="22835D75"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8D2619" w:rsidRDefault="008D2619">
                            <w:pPr>
                              <w:pStyle w:val="T1"/>
                              <w:spacing w:after="120"/>
                            </w:pPr>
                            <w:r>
                              <w:t>Abstract</w:t>
                            </w:r>
                          </w:p>
                          <w:p w14:paraId="7547E6B8" w14:textId="65205C68"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Comment Collection on TGbd Draft 0.3.</w:t>
                            </w:r>
                          </w:p>
                          <w:p w14:paraId="626B0ED6" w14:textId="77777777" w:rsidR="008D2619" w:rsidRPr="00DA5396" w:rsidRDefault="008D2619" w:rsidP="000619B9">
                            <w:pPr>
                              <w:rPr>
                                <w:rFonts w:eastAsia="ＭＳ 明朝"/>
                                <w:lang w:eastAsia="ja-JP"/>
                              </w:rPr>
                            </w:pPr>
                          </w:p>
                          <w:p w14:paraId="40251A75" w14:textId="16B601CA" w:rsidR="008D2619" w:rsidRDefault="008D2619" w:rsidP="00F64120">
                            <w:pPr>
                              <w:ind w:firstLine="110"/>
                              <w:rPr>
                                <w:rFonts w:eastAsia="ＭＳ 明朝"/>
                                <w:lang w:eastAsia="ja-JP"/>
                              </w:rPr>
                            </w:pPr>
                            <w:r>
                              <w:rPr>
                                <w:rFonts w:eastAsia="ＭＳ 明朝"/>
                                <w:lang w:eastAsia="ja-JP"/>
                              </w:rPr>
                              <w:t xml:space="preserve">2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237, 240</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8D2619" w:rsidRPr="008C5234" w:rsidRDefault="008D2619"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8D2619" w:rsidRDefault="008D2619">
                      <w:pPr>
                        <w:pStyle w:val="T1"/>
                        <w:spacing w:after="120"/>
                      </w:pPr>
                      <w:r>
                        <w:t>Abstract</w:t>
                      </w:r>
                    </w:p>
                    <w:p w14:paraId="7547E6B8" w14:textId="65205C68"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Comment Collection on TGbd Draft 0.3.</w:t>
                      </w:r>
                    </w:p>
                    <w:p w14:paraId="626B0ED6" w14:textId="77777777" w:rsidR="008D2619" w:rsidRPr="00DA5396" w:rsidRDefault="008D2619" w:rsidP="000619B9">
                      <w:pPr>
                        <w:rPr>
                          <w:rFonts w:eastAsia="ＭＳ 明朝"/>
                          <w:lang w:eastAsia="ja-JP"/>
                        </w:rPr>
                      </w:pPr>
                    </w:p>
                    <w:p w14:paraId="40251A75" w14:textId="16B601CA" w:rsidR="008D2619" w:rsidRDefault="008D2619" w:rsidP="00F64120">
                      <w:pPr>
                        <w:ind w:firstLine="110"/>
                        <w:rPr>
                          <w:rFonts w:eastAsia="ＭＳ 明朝"/>
                          <w:lang w:eastAsia="ja-JP"/>
                        </w:rPr>
                      </w:pPr>
                      <w:r>
                        <w:rPr>
                          <w:rFonts w:eastAsia="ＭＳ 明朝"/>
                          <w:lang w:eastAsia="ja-JP"/>
                        </w:rPr>
                        <w:t xml:space="preserve">2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237, 240</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77777777" w:rsidR="008D2619" w:rsidRPr="008C5234" w:rsidRDefault="008D2619"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8D04E2" w:rsidRPr="007E2CDA" w14:paraId="0F52CC9A" w14:textId="77777777" w:rsidTr="483DD4DC">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483DD4DC">
        <w:tc>
          <w:tcPr>
            <w:tcW w:w="675" w:type="dxa"/>
            <w:tcBorders>
              <w:top w:val="single" w:sz="4" w:space="0" w:color="auto"/>
              <w:left w:val="single" w:sz="4" w:space="0" w:color="auto"/>
              <w:bottom w:val="single" w:sz="4" w:space="0" w:color="auto"/>
              <w:right w:val="single" w:sz="4" w:space="0" w:color="auto"/>
            </w:tcBorders>
          </w:tcPr>
          <w:p w14:paraId="767FE0A5" w14:textId="1D7BC370" w:rsidR="008D04E2" w:rsidRPr="007E2CDA" w:rsidRDefault="008D2619" w:rsidP="005C6746">
            <w:pPr>
              <w:jc w:val="right"/>
              <w:rPr>
                <w:rFonts w:eastAsia="ＭＳ 明朝"/>
                <w:color w:val="000000"/>
                <w:sz w:val="20"/>
                <w:szCs w:val="20"/>
                <w:lang w:eastAsia="ja-JP"/>
              </w:rPr>
            </w:pPr>
            <w:r>
              <w:rPr>
                <w:rFonts w:eastAsia="ＭＳ 明朝"/>
                <w:color w:val="000000"/>
                <w:sz w:val="20"/>
                <w:szCs w:val="20"/>
                <w:lang w:eastAsia="ja-JP"/>
              </w:rPr>
              <w:t>237</w:t>
            </w:r>
          </w:p>
        </w:tc>
        <w:tc>
          <w:tcPr>
            <w:tcW w:w="851" w:type="dxa"/>
            <w:tcBorders>
              <w:top w:val="single" w:sz="4" w:space="0" w:color="auto"/>
              <w:left w:val="single" w:sz="4" w:space="0" w:color="auto"/>
              <w:bottom w:val="single" w:sz="4" w:space="0" w:color="auto"/>
              <w:right w:val="single" w:sz="4" w:space="0" w:color="auto"/>
            </w:tcBorders>
          </w:tcPr>
          <w:p w14:paraId="22DA1CB2" w14:textId="4AF81626" w:rsidR="008D04E2" w:rsidRPr="007E2CDA" w:rsidRDefault="008D2619" w:rsidP="005C6746">
            <w:pPr>
              <w:jc w:val="left"/>
              <w:rPr>
                <w:rFonts w:eastAsia="ＭＳ 明朝"/>
                <w:color w:val="000000"/>
                <w:sz w:val="20"/>
                <w:szCs w:val="20"/>
                <w:lang w:eastAsia="ja-JP"/>
              </w:rPr>
            </w:pPr>
            <w:r>
              <w:rPr>
                <w:rFonts w:eastAsia="ＭＳ 明朝" w:hint="eastAsia"/>
                <w:color w:val="000000"/>
                <w:sz w:val="20"/>
                <w:szCs w:val="20"/>
                <w:lang w:eastAsia="ja-JP"/>
              </w:rPr>
              <w:t>31.3.1</w:t>
            </w:r>
          </w:p>
        </w:tc>
        <w:tc>
          <w:tcPr>
            <w:tcW w:w="851" w:type="dxa"/>
            <w:tcBorders>
              <w:top w:val="single" w:sz="4" w:space="0" w:color="auto"/>
              <w:left w:val="single" w:sz="4" w:space="0" w:color="auto"/>
              <w:bottom w:val="single" w:sz="4" w:space="0" w:color="auto"/>
              <w:right w:val="single" w:sz="4" w:space="0" w:color="auto"/>
            </w:tcBorders>
          </w:tcPr>
          <w:p w14:paraId="248B8ACB" w14:textId="54E55C4E" w:rsidR="008D04E2" w:rsidRPr="007E2CDA" w:rsidRDefault="008D2619" w:rsidP="005C6746">
            <w:pPr>
              <w:jc w:val="right"/>
              <w:rPr>
                <w:rFonts w:eastAsia="ＭＳ 明朝"/>
                <w:color w:val="000000"/>
                <w:sz w:val="20"/>
                <w:szCs w:val="20"/>
                <w:lang w:eastAsia="ja-JP"/>
              </w:rPr>
            </w:pPr>
            <w:r>
              <w:rPr>
                <w:color w:val="000000"/>
                <w:sz w:val="20"/>
                <w:szCs w:val="20"/>
              </w:rPr>
              <w:t>23.64</w:t>
            </w:r>
          </w:p>
        </w:tc>
        <w:tc>
          <w:tcPr>
            <w:tcW w:w="2551" w:type="dxa"/>
            <w:tcBorders>
              <w:top w:val="single" w:sz="4" w:space="0" w:color="auto"/>
              <w:left w:val="single" w:sz="4" w:space="0" w:color="auto"/>
              <w:bottom w:val="single" w:sz="4" w:space="0" w:color="auto"/>
              <w:right w:val="single" w:sz="4" w:space="0" w:color="auto"/>
            </w:tcBorders>
          </w:tcPr>
          <w:p w14:paraId="18585515" w14:textId="534E58F1" w:rsidR="008D04E2" w:rsidRPr="007E2CDA" w:rsidRDefault="008D2619" w:rsidP="005C6746">
            <w:pPr>
              <w:jc w:val="left"/>
              <w:rPr>
                <w:color w:val="000000"/>
                <w:sz w:val="20"/>
                <w:szCs w:val="20"/>
              </w:rPr>
            </w:pPr>
            <w:r w:rsidRPr="008D2619">
              <w:rPr>
                <w:color w:val="000000"/>
                <w:sz w:val="20"/>
                <w:szCs w:val="20"/>
              </w:rPr>
              <w:t>Clause 32 should be Clause 31</w:t>
            </w:r>
          </w:p>
        </w:tc>
        <w:tc>
          <w:tcPr>
            <w:tcW w:w="2268" w:type="dxa"/>
            <w:tcBorders>
              <w:top w:val="single" w:sz="4" w:space="0" w:color="auto"/>
              <w:left w:val="single" w:sz="4" w:space="0" w:color="auto"/>
              <w:bottom w:val="single" w:sz="4" w:space="0" w:color="auto"/>
              <w:right w:val="single" w:sz="4" w:space="0" w:color="auto"/>
            </w:tcBorders>
          </w:tcPr>
          <w:p w14:paraId="0FC4B71C" w14:textId="77777777" w:rsidR="008D04E2" w:rsidRPr="007E2CDA" w:rsidRDefault="008D04E2" w:rsidP="005C6746">
            <w:pPr>
              <w:rPr>
                <w:color w:val="000000"/>
                <w:sz w:val="20"/>
                <w:szCs w:val="20"/>
              </w:rPr>
            </w:pPr>
            <w:r w:rsidRPr="007E2CDA">
              <w:rPr>
                <w:rFonts w:hint="eastAsia"/>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5BAA5CA1" w14:textId="77777777" w:rsidR="008D04E2" w:rsidRDefault="004B0818"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Revised</w:t>
            </w:r>
          </w:p>
          <w:p w14:paraId="2CA54440" w14:textId="77777777" w:rsidR="004B0818" w:rsidRPr="004B0818" w:rsidRDefault="004B0818" w:rsidP="005C6746">
            <w:pPr>
              <w:jc w:val="left"/>
              <w:rPr>
                <w:rFonts w:asciiTheme="minorHAnsi" w:eastAsia="ＭＳ 明朝" w:hAnsiTheme="minorHAnsi"/>
                <w:sz w:val="20"/>
                <w:szCs w:val="20"/>
                <w:lang w:eastAsia="ja-JP"/>
              </w:rPr>
            </w:pPr>
          </w:p>
          <w:p w14:paraId="08B174A8" w14:textId="67C68AB8" w:rsidR="004B0818" w:rsidRPr="004B0818" w:rsidRDefault="004B0818" w:rsidP="00720068">
            <w:pPr>
              <w:jc w:val="left"/>
              <w:rPr>
                <w:rFonts w:asciiTheme="minorHAnsi" w:eastAsia="ＭＳ 明朝" w:hAnsiTheme="minorHAnsi"/>
                <w:b/>
                <w:sz w:val="20"/>
                <w:szCs w:val="20"/>
                <w:u w:val="single"/>
                <w:lang w:eastAsia="ja-JP"/>
              </w:rPr>
            </w:pPr>
            <w:r w:rsidRPr="004B0818">
              <w:rPr>
                <w:rFonts w:asciiTheme="minorHAnsi" w:eastAsia="ＭＳ 明朝" w:hAnsiTheme="minorHAnsi" w:hint="eastAsia"/>
                <w:sz w:val="20"/>
                <w:szCs w:val="20"/>
                <w:lang w:eastAsia="ja-JP"/>
              </w:rPr>
              <w:t>Agr</w:t>
            </w:r>
            <w:r w:rsidRPr="004B0818">
              <w:rPr>
                <w:rFonts w:asciiTheme="minorHAnsi" w:eastAsia="ＭＳ 明朝" w:hAnsiTheme="minorHAnsi"/>
                <w:sz w:val="20"/>
                <w:szCs w:val="20"/>
                <w:lang w:eastAsia="ja-JP"/>
              </w:rPr>
              <w:t>ee</w:t>
            </w:r>
            <w:r>
              <w:rPr>
                <w:rFonts w:asciiTheme="minorHAnsi" w:eastAsia="ＭＳ 明朝" w:hAnsiTheme="minorHAnsi"/>
                <w:sz w:val="20"/>
                <w:szCs w:val="20"/>
                <w:lang w:eastAsia="ja-JP"/>
              </w:rPr>
              <w:t xml:space="preserve"> with the commenter in principle. </w:t>
            </w:r>
            <w:r w:rsidR="00720068">
              <w:rPr>
                <w:rFonts w:asciiTheme="minorHAnsi" w:eastAsia="ＭＳ 明朝" w:hAnsiTheme="minorHAnsi"/>
                <w:sz w:val="20"/>
                <w:szCs w:val="20"/>
                <w:lang w:eastAsia="ja-JP"/>
              </w:rPr>
              <w:t>It</w:t>
            </w:r>
            <w:r>
              <w:rPr>
                <w:rFonts w:asciiTheme="minorHAnsi" w:eastAsia="ＭＳ 明朝" w:hAnsiTheme="minorHAnsi"/>
                <w:sz w:val="20"/>
                <w:szCs w:val="20"/>
                <w:lang w:eastAsia="ja-JP"/>
              </w:rPr>
              <w:t xml:space="preserve"> was fixed as CID183.</w:t>
            </w:r>
          </w:p>
        </w:tc>
      </w:tr>
      <w:tr w:rsidR="008D2619" w:rsidRPr="007E2CDA" w14:paraId="4EC65F22" w14:textId="77777777" w:rsidTr="483DD4DC">
        <w:tc>
          <w:tcPr>
            <w:tcW w:w="675" w:type="dxa"/>
            <w:tcBorders>
              <w:top w:val="single" w:sz="4" w:space="0" w:color="auto"/>
              <w:left w:val="single" w:sz="4" w:space="0" w:color="auto"/>
              <w:bottom w:val="single" w:sz="4" w:space="0" w:color="auto"/>
              <w:right w:val="single" w:sz="4" w:space="0" w:color="auto"/>
            </w:tcBorders>
          </w:tcPr>
          <w:p w14:paraId="21E7D774" w14:textId="4DB2609A" w:rsidR="008D2619" w:rsidRPr="007E2CDA" w:rsidRDefault="008D2619" w:rsidP="005C6746">
            <w:pPr>
              <w:jc w:val="right"/>
              <w:rPr>
                <w:rFonts w:eastAsia="ＭＳ 明朝"/>
                <w:color w:val="000000"/>
                <w:sz w:val="20"/>
                <w:lang w:eastAsia="ja-JP"/>
              </w:rPr>
            </w:pPr>
            <w:r>
              <w:rPr>
                <w:rFonts w:eastAsia="ＭＳ 明朝" w:hint="eastAsia"/>
                <w:color w:val="000000"/>
                <w:sz w:val="20"/>
                <w:lang w:eastAsia="ja-JP"/>
              </w:rPr>
              <w:t>240</w:t>
            </w:r>
          </w:p>
        </w:tc>
        <w:tc>
          <w:tcPr>
            <w:tcW w:w="851" w:type="dxa"/>
            <w:tcBorders>
              <w:top w:val="single" w:sz="4" w:space="0" w:color="auto"/>
              <w:left w:val="single" w:sz="4" w:space="0" w:color="auto"/>
              <w:bottom w:val="single" w:sz="4" w:space="0" w:color="auto"/>
              <w:right w:val="single" w:sz="4" w:space="0" w:color="auto"/>
            </w:tcBorders>
          </w:tcPr>
          <w:p w14:paraId="564134BD" w14:textId="0E044CA6" w:rsidR="008D2619" w:rsidRPr="008D2619" w:rsidRDefault="008D2619" w:rsidP="005C6746">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1E9107F6" w14:textId="6F084A25" w:rsidR="008D2619" w:rsidRPr="008D2619" w:rsidRDefault="008D2619" w:rsidP="005C6746">
            <w:pPr>
              <w:jc w:val="right"/>
              <w:rPr>
                <w:rFonts w:eastAsia="ＭＳ 明朝"/>
                <w:color w:val="000000"/>
                <w:sz w:val="20"/>
                <w:lang w:eastAsia="ja-JP"/>
              </w:rPr>
            </w:pPr>
            <w:r>
              <w:rPr>
                <w:rFonts w:eastAsia="ＭＳ 明朝" w:hint="eastAsia"/>
                <w:color w:val="000000"/>
                <w:sz w:val="20"/>
                <w:lang w:eastAsia="ja-JP"/>
              </w:rPr>
              <w:t>24.06</w:t>
            </w:r>
          </w:p>
        </w:tc>
        <w:tc>
          <w:tcPr>
            <w:tcW w:w="2551" w:type="dxa"/>
            <w:tcBorders>
              <w:top w:val="single" w:sz="4" w:space="0" w:color="auto"/>
              <w:left w:val="single" w:sz="4" w:space="0" w:color="auto"/>
              <w:bottom w:val="single" w:sz="4" w:space="0" w:color="auto"/>
              <w:right w:val="single" w:sz="4" w:space="0" w:color="auto"/>
            </w:tcBorders>
          </w:tcPr>
          <w:p w14:paraId="3CEB1EEA" w14:textId="0618C8FF" w:rsidR="008D2619" w:rsidRPr="008D2619" w:rsidRDefault="008D2619" w:rsidP="005C6746">
            <w:pPr>
              <w:jc w:val="left"/>
              <w:rPr>
                <w:rFonts w:eastAsia="ＭＳ 明朝"/>
                <w:color w:val="000000"/>
                <w:sz w:val="20"/>
                <w:lang w:eastAsia="ja-JP"/>
              </w:rPr>
            </w:pPr>
            <w:r>
              <w:rPr>
                <w:rFonts w:eastAsia="ＭＳ 明朝" w:hint="eastAsia"/>
                <w:color w:val="000000"/>
                <w:sz w:val="20"/>
                <w:lang w:eastAsia="ja-JP"/>
              </w:rPr>
              <w:t>fill TBD</w:t>
            </w:r>
          </w:p>
        </w:tc>
        <w:tc>
          <w:tcPr>
            <w:tcW w:w="2268" w:type="dxa"/>
            <w:tcBorders>
              <w:top w:val="single" w:sz="4" w:space="0" w:color="auto"/>
              <w:left w:val="single" w:sz="4" w:space="0" w:color="auto"/>
              <w:bottom w:val="single" w:sz="4" w:space="0" w:color="auto"/>
              <w:right w:val="single" w:sz="4" w:space="0" w:color="auto"/>
            </w:tcBorders>
          </w:tcPr>
          <w:p w14:paraId="230DD9D7" w14:textId="280C9366" w:rsidR="008D2619" w:rsidRPr="007E2CDA" w:rsidRDefault="008D2619" w:rsidP="005C6746">
            <w:pPr>
              <w:rPr>
                <w:color w:val="000000"/>
                <w:sz w:val="20"/>
              </w:rPr>
            </w:pPr>
            <w:r w:rsidRPr="007E2CDA">
              <w:rPr>
                <w:rFonts w:hint="eastAsia"/>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4AB8716A" w14:textId="77777777" w:rsidR="008D2619" w:rsidRDefault="008D2619" w:rsidP="005C6746">
            <w:pPr>
              <w:jc w:val="left"/>
              <w:rPr>
                <w:rFonts w:asciiTheme="minorHAnsi" w:eastAsia="ＭＳ 明朝" w:hAnsiTheme="minorHAnsi"/>
                <w:b/>
                <w:sz w:val="20"/>
                <w:lang w:eastAsia="ja-JP"/>
              </w:rPr>
            </w:pPr>
            <w:r>
              <w:rPr>
                <w:rFonts w:asciiTheme="minorHAnsi" w:eastAsia="ＭＳ 明朝" w:hAnsiTheme="minorHAnsi" w:hint="eastAsia"/>
                <w:b/>
                <w:sz w:val="20"/>
                <w:lang w:eastAsia="ja-JP"/>
              </w:rPr>
              <w:t>Revised</w:t>
            </w:r>
          </w:p>
          <w:p w14:paraId="728DE74D" w14:textId="77777777" w:rsidR="00720068" w:rsidRPr="00720068" w:rsidRDefault="00720068" w:rsidP="005C6746">
            <w:pPr>
              <w:jc w:val="left"/>
              <w:rPr>
                <w:rFonts w:asciiTheme="minorHAnsi" w:eastAsia="ＭＳ 明朝" w:hAnsiTheme="minorHAnsi"/>
                <w:sz w:val="20"/>
                <w:lang w:eastAsia="ja-JP"/>
              </w:rPr>
            </w:pPr>
          </w:p>
          <w:p w14:paraId="656AD6FC" w14:textId="36DF838B" w:rsidR="00720068" w:rsidRDefault="325E4FDA" w:rsidP="483DD4DC">
            <w:pPr>
              <w:spacing w:line="259" w:lineRule="auto"/>
              <w:jc w:val="left"/>
              <w:rPr>
                <w:rFonts w:asciiTheme="minorHAnsi" w:eastAsia="ＭＳ 明朝" w:hAnsiTheme="minorHAnsi"/>
                <w:sz w:val="20"/>
                <w:szCs w:val="20"/>
                <w:lang w:eastAsia="ja-JP"/>
              </w:rPr>
            </w:pPr>
            <w:r w:rsidRPr="483DD4DC">
              <w:rPr>
                <w:rFonts w:asciiTheme="minorHAnsi" w:eastAsia="ＭＳ 明朝" w:hAnsiTheme="minorHAnsi"/>
                <w:sz w:val="20"/>
                <w:szCs w:val="20"/>
                <w:lang w:eastAsia="ja-JP"/>
              </w:rPr>
              <w:t>TGbd editor to make changes in 11-20-1301r0.</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5BA1A895" w14:textId="6C9BC1AE" w:rsidR="00100536" w:rsidRDefault="00100536" w:rsidP="00BB7063">
      <w:pPr>
        <w:jc w:val="left"/>
        <w:rPr>
          <w:rStyle w:val="af0"/>
          <w:rFonts w:eastAsia="ＭＳ 明朝"/>
          <w:b w:val="0"/>
          <w:szCs w:val="22"/>
          <w:lang w:eastAsia="ja-JP"/>
        </w:rPr>
      </w:pPr>
    </w:p>
    <w:p w14:paraId="6D210ED2" w14:textId="77777777" w:rsidR="002948EB" w:rsidRDefault="002948EB" w:rsidP="00BB7063">
      <w:pPr>
        <w:jc w:val="left"/>
        <w:rPr>
          <w:rStyle w:val="af0"/>
          <w:rFonts w:eastAsia="ＭＳ 明朝"/>
          <w:b w:val="0"/>
          <w:szCs w:val="22"/>
          <w:lang w:eastAsia="ja-JP"/>
        </w:rPr>
      </w:pPr>
      <w:r>
        <w:rPr>
          <w:rStyle w:val="af0"/>
          <w:rFonts w:eastAsia="ＭＳ 明朝"/>
          <w:b w:val="0"/>
          <w:szCs w:val="22"/>
          <w:lang w:eastAsia="ja-JP"/>
        </w:rPr>
        <w:t>The TBD part in s</w:t>
      </w:r>
      <w:r>
        <w:rPr>
          <w:rStyle w:val="af0"/>
          <w:rFonts w:eastAsia="ＭＳ 明朝" w:hint="eastAsia"/>
          <w:b w:val="0"/>
          <w:szCs w:val="22"/>
          <w:lang w:eastAsia="ja-JP"/>
        </w:rPr>
        <w:t xml:space="preserve">ubclause 31.3.2 is to define </w:t>
      </w:r>
      <w:r w:rsidR="00C07C5B">
        <w:rPr>
          <w:rStyle w:val="af0"/>
          <w:rFonts w:eastAsia="ＭＳ 明朝"/>
          <w:b w:val="0"/>
          <w:szCs w:val="22"/>
          <w:lang w:eastAsia="ja-JP"/>
        </w:rPr>
        <w:t xml:space="preserve">what kind of MAC frames can be transmitted by a DMG STA communicating data frames </w:t>
      </w:r>
      <w:r>
        <w:rPr>
          <w:rStyle w:val="af0"/>
          <w:rFonts w:eastAsia="ＭＳ 明朝"/>
          <w:b w:val="0"/>
          <w:szCs w:val="22"/>
          <w:lang w:eastAsia="ja-JP"/>
        </w:rPr>
        <w:t>outside the context of a BSS.</w:t>
      </w:r>
    </w:p>
    <w:p w14:paraId="2E620EEC" w14:textId="2A37EFCE" w:rsidR="00C07C5B" w:rsidRPr="002948EB" w:rsidRDefault="002948EB" w:rsidP="483DD4DC">
      <w:pPr>
        <w:pStyle w:val="ad"/>
        <w:numPr>
          <w:ilvl w:val="0"/>
          <w:numId w:val="38"/>
        </w:numPr>
        <w:jc w:val="left"/>
        <w:rPr>
          <w:rStyle w:val="af0"/>
          <w:rFonts w:eastAsia="ＭＳ 明朝"/>
          <w:b w:val="0"/>
          <w:bCs w:val="0"/>
          <w:lang w:eastAsia="ja-JP"/>
        </w:rPr>
      </w:pPr>
      <w:r w:rsidRPr="483DD4DC">
        <w:rPr>
          <w:rStyle w:val="af0"/>
          <w:rFonts w:eastAsia="ＭＳ 明朝"/>
          <w:b w:val="0"/>
          <w:bCs w:val="0"/>
          <w:lang w:eastAsia="ja-JP"/>
        </w:rPr>
        <w:t>Unlike 11p, 60 GHz STA needs to perform beamforming tra</w:t>
      </w:r>
      <w:r w:rsidR="4C76D515" w:rsidRPr="483DD4DC">
        <w:rPr>
          <w:rStyle w:val="af0"/>
          <w:rFonts w:eastAsia="ＭＳ 明朝"/>
          <w:b w:val="0"/>
          <w:bCs w:val="0"/>
          <w:lang w:eastAsia="ja-JP"/>
        </w:rPr>
        <w:t>i</w:t>
      </w:r>
      <w:r w:rsidRPr="483DD4DC">
        <w:rPr>
          <w:rStyle w:val="af0"/>
          <w:rFonts w:eastAsia="ＭＳ 明朝"/>
          <w:b w:val="0"/>
          <w:bCs w:val="0"/>
          <w:lang w:eastAsia="ja-JP"/>
        </w:rPr>
        <w:t>ning before initiating transmission of data frames. We propose to specify: “STA may send DMG Beacon frames with discovery mode field set to one.”</w:t>
      </w:r>
    </w:p>
    <w:p w14:paraId="19DF9820" w14:textId="5E3DFC87" w:rsidR="002948EB" w:rsidRPr="002948EB" w:rsidRDefault="002948EB" w:rsidP="00540946">
      <w:pPr>
        <w:pStyle w:val="ad"/>
        <w:numPr>
          <w:ilvl w:val="0"/>
          <w:numId w:val="38"/>
        </w:numPr>
        <w:rPr>
          <w:rStyle w:val="af0"/>
          <w:rFonts w:eastAsia="ＭＳ 明朝"/>
          <w:b w:val="0"/>
          <w:szCs w:val="22"/>
          <w:lang w:eastAsia="ja-JP"/>
        </w:rPr>
      </w:pPr>
      <w:r w:rsidRPr="002948EB">
        <w:rPr>
          <w:rStyle w:val="af0"/>
          <w:rFonts w:eastAsia="ＭＳ 明朝" w:hint="eastAsia"/>
          <w:b w:val="0"/>
          <w:szCs w:val="22"/>
          <w:lang w:eastAsia="ja-JP"/>
        </w:rPr>
        <w:t>As STA</w:t>
      </w:r>
      <w:r w:rsidRPr="002948EB">
        <w:rPr>
          <w:rStyle w:val="af0"/>
          <w:rFonts w:eastAsia="ＭＳ 明朝"/>
          <w:b w:val="0"/>
          <w:szCs w:val="22"/>
          <w:lang w:eastAsia="ja-JP"/>
        </w:rPr>
        <w:t>s</w:t>
      </w:r>
      <w:r w:rsidRPr="002948EB">
        <w:rPr>
          <w:rStyle w:val="af0"/>
          <w:rFonts w:eastAsia="ＭＳ 明朝" w:hint="eastAsia"/>
          <w:b w:val="0"/>
          <w:szCs w:val="22"/>
          <w:lang w:eastAsia="ja-JP"/>
        </w:rPr>
        <w:t xml:space="preserve"> operating outside </w:t>
      </w:r>
      <w:r w:rsidRPr="002948EB">
        <w:rPr>
          <w:rStyle w:val="af0"/>
          <w:rFonts w:eastAsia="ＭＳ 明朝"/>
          <w:b w:val="0"/>
          <w:szCs w:val="22"/>
          <w:lang w:eastAsia="ja-JP"/>
        </w:rPr>
        <w:t xml:space="preserve">the context </w:t>
      </w:r>
      <w:r w:rsidRPr="002948EB">
        <w:rPr>
          <w:rStyle w:val="af0"/>
          <w:rFonts w:eastAsia="ＭＳ 明朝" w:hint="eastAsia"/>
          <w:b w:val="0"/>
          <w:szCs w:val="22"/>
          <w:lang w:eastAsia="ja-JP"/>
        </w:rPr>
        <w:t xml:space="preserve">of </w:t>
      </w:r>
      <w:r w:rsidRPr="002948EB">
        <w:rPr>
          <w:rStyle w:val="af0"/>
          <w:rFonts w:eastAsia="ＭＳ 明朝"/>
          <w:b w:val="0"/>
          <w:szCs w:val="22"/>
          <w:lang w:eastAsia="ja-JP"/>
        </w:rPr>
        <w:t xml:space="preserve">a </w:t>
      </w:r>
      <w:r w:rsidRPr="002948EB">
        <w:rPr>
          <w:rStyle w:val="af0"/>
          <w:rFonts w:eastAsia="ＭＳ 明朝" w:hint="eastAsia"/>
          <w:b w:val="0"/>
          <w:szCs w:val="22"/>
          <w:lang w:eastAsia="ja-JP"/>
        </w:rPr>
        <w:t>BSS</w:t>
      </w:r>
      <w:r w:rsidRPr="002948EB">
        <w:rPr>
          <w:rStyle w:val="af0"/>
          <w:rFonts w:eastAsia="ＭＳ 明朝"/>
          <w:b w:val="0"/>
          <w:szCs w:val="22"/>
          <w:lang w:eastAsia="ja-JP"/>
        </w:rPr>
        <w:t xml:space="preserve"> don’t expect existence of an AP or PCP, the STAs shall not transmit MAC frames relate to scheduling. We propose to specify: “</w:t>
      </w:r>
      <w:r w:rsidR="00540946" w:rsidRPr="00540946">
        <w:rPr>
          <w:rStyle w:val="af0"/>
          <w:rFonts w:eastAsia="ＭＳ 明朝"/>
          <w:b w:val="0"/>
          <w:szCs w:val="22"/>
          <w:lang w:eastAsia="ja-JP"/>
        </w:rPr>
        <w:t>The STA may send Control frames, except those of subtype CF-End, Poll, SPR, Grant, Grant Ack, Sector Ack, Block Ack Schedule and TDD Beamforming</w:t>
      </w:r>
      <w:r>
        <w:rPr>
          <w:rStyle w:val="af0"/>
          <w:rFonts w:eastAsia="ＭＳ 明朝"/>
          <w:b w:val="0"/>
          <w:szCs w:val="22"/>
          <w:lang w:eastAsia="ja-JP"/>
        </w:rPr>
        <w:t>”</w:t>
      </w:r>
      <w:r w:rsidR="00540946">
        <w:rPr>
          <w:rStyle w:val="af0"/>
          <w:rFonts w:eastAsia="ＭＳ 明朝"/>
          <w:b w:val="0"/>
          <w:szCs w:val="22"/>
          <w:lang w:eastAsia="ja-JP"/>
        </w:rPr>
        <w:t xml:space="preserve"> in subclause 31.3.2</w:t>
      </w:r>
      <w:r w:rsidR="00BC31C4">
        <w:rPr>
          <w:rStyle w:val="af0"/>
          <w:rFonts w:eastAsia="ＭＳ 明朝"/>
          <w:b w:val="0"/>
          <w:szCs w:val="22"/>
          <w:lang w:eastAsia="ja-JP"/>
        </w:rPr>
        <w:t xml:space="preserve"> With the same reason, we propose to specify that a DMG STA uses CBAP, not SP (Service Period, in which scheduling is performed) in OCB mode.</w:t>
      </w:r>
    </w:p>
    <w:p w14:paraId="77D6DB04" w14:textId="1F8F00D0" w:rsidR="0047602E" w:rsidRPr="00BC31C4" w:rsidRDefault="0047602E" w:rsidP="002948EB">
      <w:pPr>
        <w:jc w:val="left"/>
        <w:rPr>
          <w:rStyle w:val="af0"/>
          <w:rFonts w:eastAsia="ＭＳ 明朝"/>
          <w:b w:val="0"/>
          <w:szCs w:val="22"/>
          <w:lang w:eastAsia="ja-JP"/>
        </w:rPr>
      </w:pPr>
      <w:r w:rsidRPr="4867564F">
        <w:rPr>
          <w:rStyle w:val="af0"/>
          <w:rFonts w:eastAsia="ＭＳ 明朝"/>
          <w:b w:val="0"/>
          <w:bCs w:val="0"/>
          <w:lang w:eastAsia="ja-JP"/>
        </w:rPr>
        <w:t xml:space="preserve">We also propose changes to text in </w:t>
      </w:r>
      <w:r w:rsidR="64EE6966" w:rsidRPr="4867564F">
        <w:rPr>
          <w:rStyle w:val="af0"/>
          <w:rFonts w:eastAsia="ＭＳ 明朝"/>
          <w:b w:val="0"/>
          <w:bCs w:val="0"/>
          <w:lang w:eastAsia="ja-JP"/>
        </w:rPr>
        <w:t>clause</w:t>
      </w:r>
      <w:r w:rsidRPr="4867564F">
        <w:rPr>
          <w:rStyle w:val="af0"/>
          <w:rFonts w:eastAsia="ＭＳ 明朝"/>
          <w:b w:val="0"/>
          <w:bCs w:val="0"/>
          <w:lang w:eastAsia="ja-JP"/>
        </w:rPr>
        <w:t xml:space="preserve"> 4, 9, and B to make consistent with the proposed text above.</w:t>
      </w:r>
    </w:p>
    <w:p w14:paraId="36C86B6F" w14:textId="77777777" w:rsidR="00CD1D44" w:rsidRPr="003D045F" w:rsidRDefault="00CD1D44" w:rsidP="00BB7063">
      <w:pPr>
        <w:jc w:val="left"/>
        <w:rPr>
          <w:rStyle w:val="af0"/>
          <w:rFonts w:eastAsia="ＭＳ 明朝" w:hint="eastAsia"/>
          <w:b w:val="0"/>
          <w:szCs w:val="22"/>
          <w:lang w:eastAsia="ja-JP"/>
        </w:rPr>
      </w:pPr>
    </w:p>
    <w:p w14:paraId="066114CA" w14:textId="0F92C485" w:rsid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008D2619">
        <w:rPr>
          <w:rStyle w:val="af0"/>
          <w:rFonts w:eastAsia="ＭＳ 明朝" w:hint="eastAsia"/>
          <w:szCs w:val="22"/>
          <w:u w:val="single"/>
          <w:lang w:eastAsia="ja-JP"/>
        </w:rPr>
        <w:t>0.3</w:t>
      </w:r>
    </w:p>
    <w:p w14:paraId="4738FA9C" w14:textId="4969160E" w:rsidR="00C07C5B" w:rsidRDefault="00C07C5B" w:rsidP="00C07C5B"/>
    <w:p w14:paraId="5E91AB0F" w14:textId="77777777" w:rsidR="00F606EB" w:rsidRPr="004B0818" w:rsidRDefault="00F606EB" w:rsidP="00F606EB">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Add the following to</w:t>
      </w:r>
      <w:r w:rsidRPr="00C83C02">
        <w:rPr>
          <w:rStyle w:val="af0"/>
          <w:rFonts w:eastAsia="ＭＳ 明朝"/>
          <w:b w:val="0"/>
          <w:i/>
          <w:highlight w:val="yellow"/>
        </w:rPr>
        <w:t xml:space="preserve"> Draft P802.11bd D0.3 as follows:</w:t>
      </w:r>
    </w:p>
    <w:p w14:paraId="1F59F7AA" w14:textId="54B67674" w:rsidR="00F606EB" w:rsidRDefault="00F606EB" w:rsidP="00F606EB">
      <w:pPr>
        <w:pStyle w:val="IEEEStdsLevel6Header"/>
        <w:numPr>
          <w:ilvl w:val="0"/>
          <w:numId w:val="0"/>
        </w:numPr>
      </w:pPr>
      <w:r>
        <w:t>4.3.17 STA transmission of Data frames outside the context of a BSS</w:t>
      </w:r>
    </w:p>
    <w:p w14:paraId="597EF33F" w14:textId="382C3D13" w:rsidR="00F606EB" w:rsidRPr="009A6005" w:rsidRDefault="00F606EB" w:rsidP="00F606EB">
      <w:pPr>
        <w:pStyle w:val="IEEEStdsParagraph"/>
        <w:rPr>
          <w:rFonts w:eastAsia="ＭＳ 明朝"/>
          <w:i/>
        </w:rPr>
      </w:pPr>
      <w:r w:rsidRPr="009A6005">
        <w:rPr>
          <w:rFonts w:eastAsia="ＭＳ 明朝" w:hint="eastAsia"/>
          <w:i/>
        </w:rPr>
        <w:t xml:space="preserve">Change the </w:t>
      </w:r>
      <w:r>
        <w:rPr>
          <w:rFonts w:eastAsia="ＭＳ 明朝"/>
          <w:i/>
        </w:rPr>
        <w:t>text in NOTE after the first paragraph as follows:</w:t>
      </w:r>
    </w:p>
    <w:p w14:paraId="6422A2F0" w14:textId="61CBF7E0" w:rsidR="00F606EB" w:rsidRDefault="00F606EB" w:rsidP="00C07C5B">
      <w:r w:rsidRPr="00DC69E5">
        <w:rPr>
          <w:sz w:val="20"/>
        </w:rPr>
        <w:t>NOTE—The specific frame subtypes that a STA is allowed to send when it has dot11OCBActivated true are specified in 11.18 (STAs communicating Data frames outside the context of a BSS)</w:t>
      </w:r>
      <w:r w:rsidRPr="00DC69E5">
        <w:rPr>
          <w:color w:val="FF0000"/>
          <w:sz w:val="20"/>
          <w:u w:val="single"/>
        </w:rPr>
        <w:t xml:space="preserve"> and 31.3.2 (DMG STAs communicating Data frames outside the context of a BSS)</w:t>
      </w:r>
      <w:r>
        <w:rPr>
          <w:sz w:val="20"/>
        </w:rPr>
        <w:t>.</w:t>
      </w:r>
    </w:p>
    <w:p w14:paraId="47004754" w14:textId="723397AA" w:rsidR="00F606EB" w:rsidRDefault="00F606EB" w:rsidP="00C07C5B"/>
    <w:p w14:paraId="404E5410" w14:textId="77777777" w:rsidR="00F606EB" w:rsidRDefault="00F606EB" w:rsidP="00C07C5B"/>
    <w:p w14:paraId="2E6759EB" w14:textId="67F0E109" w:rsidR="009A6005" w:rsidRPr="004B0818" w:rsidRDefault="009A6005" w:rsidP="009A6005">
      <w:pPr>
        <w:pStyle w:val="IEEEStdsParagraph"/>
        <w:rPr>
          <w:rStyle w:val="af0"/>
          <w:rFonts w:eastAsia="ＭＳ 明朝"/>
          <w:b w:val="0"/>
          <w:i/>
        </w:rPr>
      </w:pPr>
      <w:r w:rsidRPr="00C83C02">
        <w:rPr>
          <w:rStyle w:val="af0"/>
          <w:rFonts w:eastAsia="ＭＳ 明朝"/>
          <w:b w:val="0"/>
          <w:i/>
          <w:highlight w:val="yellow"/>
        </w:rPr>
        <w:t>TGbd Editor:</w:t>
      </w:r>
      <w:r w:rsidR="00F606EB">
        <w:rPr>
          <w:rStyle w:val="af0"/>
          <w:rFonts w:eastAsia="ＭＳ 明朝"/>
          <w:b w:val="0"/>
          <w:i/>
          <w:highlight w:val="yellow"/>
        </w:rPr>
        <w:t xml:space="preserve"> </w:t>
      </w:r>
      <w:r>
        <w:rPr>
          <w:rStyle w:val="af0"/>
          <w:rFonts w:eastAsia="ＭＳ 明朝"/>
          <w:b w:val="0"/>
          <w:i/>
          <w:highlight w:val="yellow"/>
        </w:rPr>
        <w:t>Add the following to</w:t>
      </w:r>
      <w:r w:rsidRPr="00C83C02">
        <w:rPr>
          <w:rStyle w:val="af0"/>
          <w:rFonts w:eastAsia="ＭＳ 明朝"/>
          <w:b w:val="0"/>
          <w:i/>
          <w:highlight w:val="yellow"/>
        </w:rPr>
        <w:t xml:space="preserve"> Draft P802.11bd D0.3 as follows:</w:t>
      </w:r>
    </w:p>
    <w:p w14:paraId="2673A8E8" w14:textId="6628698D" w:rsidR="00896776" w:rsidRDefault="00896776" w:rsidP="00896776">
      <w:pPr>
        <w:pStyle w:val="IEEEStdsLevel6Header"/>
        <w:numPr>
          <w:ilvl w:val="0"/>
          <w:numId w:val="0"/>
        </w:numPr>
      </w:pPr>
      <w:r>
        <w:t xml:space="preserve">9.4.1.46 </w:t>
      </w:r>
      <w:r w:rsidRPr="00896776">
        <w:t>DMG Parameters field</w:t>
      </w:r>
    </w:p>
    <w:p w14:paraId="37663A10" w14:textId="5778017E" w:rsidR="009A6005" w:rsidRPr="009A6005" w:rsidRDefault="009A6005" w:rsidP="009A6005">
      <w:pPr>
        <w:pStyle w:val="IEEEStdsParagraph"/>
        <w:rPr>
          <w:rFonts w:eastAsia="ＭＳ 明朝"/>
          <w:i/>
        </w:rPr>
      </w:pPr>
      <w:r w:rsidRPr="009A6005">
        <w:rPr>
          <w:rFonts w:eastAsia="ＭＳ 明朝" w:hint="eastAsia"/>
          <w:i/>
        </w:rPr>
        <w:t xml:space="preserve">Change the </w:t>
      </w:r>
      <w:r>
        <w:rPr>
          <w:rFonts w:eastAsia="ＭＳ 明朝"/>
          <w:i/>
        </w:rPr>
        <w:t>text in Table 9-68 as follows:</w:t>
      </w:r>
    </w:p>
    <w:p w14:paraId="07A137C9" w14:textId="578F2D3E" w:rsidR="00896776" w:rsidRPr="00896776" w:rsidRDefault="00896776" w:rsidP="00896776">
      <w:pPr>
        <w:jc w:val="center"/>
        <w:rPr>
          <w:rFonts w:asciiTheme="majorHAnsi" w:hAnsiTheme="majorHAnsi" w:cstheme="majorHAnsi"/>
          <w:b/>
          <w:sz w:val="20"/>
          <w:lang w:eastAsia="ja-JP"/>
        </w:rPr>
      </w:pPr>
      <w:r w:rsidRPr="00896776">
        <w:rPr>
          <w:rFonts w:asciiTheme="majorHAnsi" w:hAnsiTheme="majorHAnsi" w:cstheme="majorHAnsi"/>
          <w:b/>
          <w:sz w:val="20"/>
          <w:lang w:eastAsia="ja-JP"/>
        </w:rPr>
        <w:t>Table 9-</w:t>
      </w:r>
      <w:r w:rsidR="009A6005">
        <w:rPr>
          <w:rFonts w:asciiTheme="majorHAnsi" w:hAnsiTheme="majorHAnsi" w:cstheme="majorHAnsi"/>
          <w:b/>
          <w:sz w:val="20"/>
          <w:lang w:eastAsia="ja-JP"/>
        </w:rPr>
        <w:t>68</w:t>
      </w:r>
      <w:r w:rsidRPr="00896776">
        <w:rPr>
          <w:rFonts w:asciiTheme="majorHAnsi" w:hAnsiTheme="majorHAnsi" w:cstheme="majorHAnsi"/>
          <w:b/>
          <w:sz w:val="20"/>
          <w:lang w:eastAsia="ja-JP"/>
        </w:rPr>
        <w:t xml:space="preserve"> – The BSS Type subfield when the Discovery mode field is 1</w:t>
      </w:r>
    </w:p>
    <w:p w14:paraId="4EE5D80F" w14:textId="77777777" w:rsidR="00896776" w:rsidRPr="00896776" w:rsidRDefault="00896776" w:rsidP="00896776">
      <w:pPr>
        <w:jc w:val="center"/>
        <w:rPr>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0"/>
        <w:gridCol w:w="2261"/>
        <w:gridCol w:w="3950"/>
      </w:tblGrid>
      <w:tr w:rsidR="00896776" w:rsidRPr="00896776" w14:paraId="7D95CB7B" w14:textId="77777777" w:rsidTr="002B0FE5">
        <w:trPr>
          <w:trHeight w:val="421"/>
          <w:jc w:val="center"/>
        </w:trPr>
        <w:tc>
          <w:tcPr>
            <w:tcW w:w="1850" w:type="dxa"/>
            <w:tcBorders>
              <w:top w:val="single" w:sz="18" w:space="0" w:color="auto"/>
              <w:left w:val="single" w:sz="18" w:space="0" w:color="auto"/>
              <w:bottom w:val="single" w:sz="18" w:space="0" w:color="auto"/>
            </w:tcBorders>
            <w:vAlign w:val="center"/>
          </w:tcPr>
          <w:p w14:paraId="629EA092"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Subfield value</w:t>
            </w:r>
          </w:p>
        </w:tc>
        <w:tc>
          <w:tcPr>
            <w:tcW w:w="2261" w:type="dxa"/>
            <w:tcBorders>
              <w:top w:val="single" w:sz="18" w:space="0" w:color="auto"/>
              <w:bottom w:val="single" w:sz="18" w:space="0" w:color="auto"/>
            </w:tcBorders>
            <w:vAlign w:val="center"/>
          </w:tcPr>
          <w:p w14:paraId="7A82FB2B"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Responding STA role</w:t>
            </w:r>
          </w:p>
        </w:tc>
        <w:tc>
          <w:tcPr>
            <w:tcW w:w="3950" w:type="dxa"/>
            <w:tcBorders>
              <w:top w:val="single" w:sz="18" w:space="0" w:color="auto"/>
              <w:bottom w:val="single" w:sz="18" w:space="0" w:color="auto"/>
              <w:right w:val="single" w:sz="18" w:space="0" w:color="auto"/>
            </w:tcBorders>
            <w:vAlign w:val="center"/>
          </w:tcPr>
          <w:p w14:paraId="0DEAA3AD"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Applicable BSS types</w:t>
            </w:r>
          </w:p>
        </w:tc>
      </w:tr>
      <w:tr w:rsidR="00896776" w:rsidRPr="00896776" w14:paraId="35E97208" w14:textId="77777777" w:rsidTr="002B0FE5">
        <w:trPr>
          <w:jc w:val="center"/>
        </w:trPr>
        <w:tc>
          <w:tcPr>
            <w:tcW w:w="1850" w:type="dxa"/>
            <w:tcBorders>
              <w:top w:val="single" w:sz="18" w:space="0" w:color="auto"/>
              <w:left w:val="single" w:sz="18" w:space="0" w:color="auto"/>
            </w:tcBorders>
            <w:vAlign w:val="center"/>
          </w:tcPr>
          <w:p w14:paraId="76AC3141"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3</w:t>
            </w:r>
          </w:p>
        </w:tc>
        <w:tc>
          <w:tcPr>
            <w:tcW w:w="2261" w:type="dxa"/>
            <w:tcBorders>
              <w:top w:val="single" w:sz="18" w:space="0" w:color="auto"/>
            </w:tcBorders>
            <w:vAlign w:val="center"/>
          </w:tcPr>
          <w:p w14:paraId="46EA8951"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AP</w:t>
            </w:r>
          </w:p>
        </w:tc>
        <w:tc>
          <w:tcPr>
            <w:tcW w:w="3950" w:type="dxa"/>
            <w:tcBorders>
              <w:top w:val="single" w:sz="18" w:space="0" w:color="auto"/>
              <w:right w:val="single" w:sz="18" w:space="0" w:color="auto"/>
            </w:tcBorders>
            <w:vAlign w:val="center"/>
          </w:tcPr>
          <w:p w14:paraId="2EA2C843"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Infrastructure BSS</w:t>
            </w:r>
          </w:p>
        </w:tc>
      </w:tr>
      <w:tr w:rsidR="00896776" w:rsidRPr="00896776" w14:paraId="7EE0A678" w14:textId="77777777" w:rsidTr="002B0FE5">
        <w:trPr>
          <w:jc w:val="center"/>
        </w:trPr>
        <w:tc>
          <w:tcPr>
            <w:tcW w:w="1850" w:type="dxa"/>
            <w:tcBorders>
              <w:left w:val="single" w:sz="18" w:space="0" w:color="auto"/>
            </w:tcBorders>
            <w:vAlign w:val="center"/>
          </w:tcPr>
          <w:p w14:paraId="57C85F84"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2</w:t>
            </w:r>
          </w:p>
        </w:tc>
        <w:tc>
          <w:tcPr>
            <w:tcW w:w="2261" w:type="dxa"/>
            <w:vAlign w:val="center"/>
          </w:tcPr>
          <w:p w14:paraId="3D053726"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PCP</w:t>
            </w:r>
          </w:p>
        </w:tc>
        <w:tc>
          <w:tcPr>
            <w:tcW w:w="3950" w:type="dxa"/>
            <w:tcBorders>
              <w:right w:val="single" w:sz="18" w:space="0" w:color="auto"/>
            </w:tcBorders>
            <w:vAlign w:val="center"/>
          </w:tcPr>
          <w:p w14:paraId="0C2191BD"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PBSS</w:t>
            </w:r>
          </w:p>
        </w:tc>
      </w:tr>
      <w:tr w:rsidR="00896776" w:rsidRPr="00896776" w14:paraId="69D1DFCD" w14:textId="77777777" w:rsidTr="002B0FE5">
        <w:trPr>
          <w:jc w:val="center"/>
        </w:trPr>
        <w:tc>
          <w:tcPr>
            <w:tcW w:w="1850" w:type="dxa"/>
            <w:tcBorders>
              <w:left w:val="single" w:sz="18" w:space="0" w:color="auto"/>
            </w:tcBorders>
            <w:vAlign w:val="center"/>
          </w:tcPr>
          <w:p w14:paraId="0B5F4D3F"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1</w:t>
            </w:r>
          </w:p>
        </w:tc>
        <w:tc>
          <w:tcPr>
            <w:tcW w:w="2261" w:type="dxa"/>
            <w:vAlign w:val="center"/>
          </w:tcPr>
          <w:p w14:paraId="622322E8"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Non-AP STA</w:t>
            </w:r>
          </w:p>
        </w:tc>
        <w:tc>
          <w:tcPr>
            <w:tcW w:w="3950" w:type="dxa"/>
            <w:tcBorders>
              <w:right w:val="single" w:sz="18" w:space="0" w:color="auto"/>
            </w:tcBorders>
            <w:vAlign w:val="center"/>
          </w:tcPr>
          <w:p w14:paraId="78FF00E2"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PBSS, IBSS</w:t>
            </w:r>
            <w:r w:rsidRPr="00896776">
              <w:rPr>
                <w:rFonts w:eastAsiaTheme="minorEastAsia" w:hint="eastAsia"/>
                <w:color w:val="FF0000"/>
                <w:sz w:val="20"/>
                <w:szCs w:val="20"/>
                <w:u w:val="single"/>
                <w:lang w:eastAsia="ja-JP"/>
              </w:rPr>
              <w:t>, OCB</w:t>
            </w:r>
          </w:p>
        </w:tc>
      </w:tr>
      <w:tr w:rsidR="00896776" w:rsidRPr="00896776" w14:paraId="3DB951F6" w14:textId="77777777" w:rsidTr="002B0FE5">
        <w:trPr>
          <w:jc w:val="center"/>
        </w:trPr>
        <w:tc>
          <w:tcPr>
            <w:tcW w:w="1850" w:type="dxa"/>
            <w:tcBorders>
              <w:left w:val="single" w:sz="18" w:space="0" w:color="auto"/>
              <w:bottom w:val="single" w:sz="18" w:space="0" w:color="auto"/>
            </w:tcBorders>
            <w:vAlign w:val="center"/>
          </w:tcPr>
          <w:p w14:paraId="3383A57F"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0</w:t>
            </w:r>
          </w:p>
        </w:tc>
        <w:tc>
          <w:tcPr>
            <w:tcW w:w="2261" w:type="dxa"/>
            <w:tcBorders>
              <w:bottom w:val="single" w:sz="18" w:space="0" w:color="auto"/>
            </w:tcBorders>
            <w:vAlign w:val="center"/>
          </w:tcPr>
          <w:p w14:paraId="5C70D3CC"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Any</w:t>
            </w:r>
          </w:p>
        </w:tc>
        <w:tc>
          <w:tcPr>
            <w:tcW w:w="3950" w:type="dxa"/>
            <w:tcBorders>
              <w:bottom w:val="single" w:sz="18" w:space="0" w:color="auto"/>
              <w:right w:val="single" w:sz="18" w:space="0" w:color="auto"/>
            </w:tcBorders>
            <w:vAlign w:val="center"/>
          </w:tcPr>
          <w:p w14:paraId="6F7A3111"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Infrastructure BSS, PBSS, IBSS</w:t>
            </w:r>
            <w:r w:rsidRPr="00896776">
              <w:rPr>
                <w:rFonts w:eastAsiaTheme="minorEastAsia" w:hint="eastAsia"/>
                <w:color w:val="FF0000"/>
                <w:sz w:val="20"/>
                <w:szCs w:val="20"/>
                <w:u w:val="single"/>
                <w:lang w:eastAsia="ja-JP"/>
              </w:rPr>
              <w:t>, OCB</w:t>
            </w:r>
          </w:p>
        </w:tc>
      </w:tr>
    </w:tbl>
    <w:p w14:paraId="5CF78D92" w14:textId="7B56E165" w:rsidR="00896776" w:rsidRDefault="00896776" w:rsidP="00C07C5B">
      <w:pPr>
        <w:rPr>
          <w:sz w:val="20"/>
        </w:rPr>
      </w:pPr>
    </w:p>
    <w:p w14:paraId="0109136C" w14:textId="53EFA502" w:rsidR="00896776" w:rsidRPr="00896776" w:rsidRDefault="009A6005" w:rsidP="00896776">
      <w:pPr>
        <w:rPr>
          <w:sz w:val="20"/>
        </w:rPr>
      </w:pPr>
      <w:r w:rsidRPr="4867564F">
        <w:rPr>
          <w:rFonts w:eastAsia="ＭＳ 明朝"/>
          <w:i/>
          <w:iCs/>
        </w:rPr>
        <w:t xml:space="preserve">Change the text in </w:t>
      </w:r>
      <w:r w:rsidR="031DAD76" w:rsidRPr="4867564F">
        <w:rPr>
          <w:rFonts w:eastAsia="ＭＳ 明朝"/>
          <w:i/>
          <w:iCs/>
        </w:rPr>
        <w:t>fourth</w:t>
      </w:r>
      <w:r w:rsidR="00F606EB" w:rsidRPr="4867564F">
        <w:rPr>
          <w:rFonts w:eastAsia="ＭＳ 明朝"/>
          <w:i/>
          <w:iCs/>
        </w:rPr>
        <w:t xml:space="preserve"> paragraph as follows</w:t>
      </w:r>
      <w:r w:rsidRPr="4867564F">
        <w:rPr>
          <w:rFonts w:eastAsia="ＭＳ 明朝"/>
          <w:i/>
          <w:iCs/>
        </w:rPr>
        <w:t>:</w:t>
      </w:r>
      <w:r w:rsidR="00896776" w:rsidRPr="00896776">
        <w:rPr>
          <w:sz w:val="20"/>
        </w:rPr>
        <w:t>The CBAP Only, CBAP Source, and ECAPC Policy Enforced subfields are valid only when transmitted</w:t>
      </w:r>
      <w:r w:rsidR="00896776" w:rsidRPr="00896776">
        <w:rPr>
          <w:rFonts w:asciiTheme="minorEastAsia" w:hAnsiTheme="minorEastAsia" w:hint="eastAsia"/>
          <w:sz w:val="20"/>
          <w:lang w:eastAsia="ja-JP"/>
        </w:rPr>
        <w:t xml:space="preserve">　</w:t>
      </w:r>
      <w:r w:rsidR="00896776" w:rsidRPr="00896776">
        <w:rPr>
          <w:sz w:val="20"/>
        </w:rPr>
        <w:t>within a DMG Beacon, Probe Response, or (Re)Association Response frames and are set as follows:</w:t>
      </w:r>
    </w:p>
    <w:p w14:paraId="543ACBCF" w14:textId="77777777" w:rsidR="00896776" w:rsidRPr="00896776" w:rsidRDefault="00896776" w:rsidP="00896776">
      <w:pPr>
        <w:rPr>
          <w:sz w:val="20"/>
        </w:rPr>
      </w:pPr>
    </w:p>
    <w:p w14:paraId="6EA9992B" w14:textId="2B9A2D26" w:rsidR="00896776" w:rsidRPr="00896776" w:rsidRDefault="00896776" w:rsidP="483DD4DC">
      <w:pPr>
        <w:pStyle w:val="ad"/>
        <w:numPr>
          <w:ilvl w:val="0"/>
          <w:numId w:val="39"/>
        </w:numPr>
        <w:jc w:val="left"/>
        <w:rPr>
          <w:sz w:val="20"/>
        </w:rPr>
      </w:pPr>
      <w:r w:rsidRPr="483DD4DC">
        <w:rPr>
          <w:sz w:val="20"/>
        </w:rPr>
        <w:t>The CBAP Only subfield indicates the type of link access provided by the STA sending the DMG Beacon frame in the data transfer interval (DTI) (see 10.39.2 (Access periods within a beacon interval)) of the beacon interval. The CBAP Only subfield is set to 1 when the entirety of the DTI portion of the beacon interval is allocated as a CBAP. The CBAP Only subfield is set to 0 when the allocation of the DTI portion of the beacon interval is provided through the Extended Schedule element.</w:t>
      </w:r>
      <w:r w:rsidRPr="483DD4DC">
        <w:rPr>
          <w:color w:val="FF0000"/>
          <w:sz w:val="20"/>
          <w:u w:val="single"/>
        </w:rPr>
        <w:t xml:space="preserve"> The CBAP Only subfield is set to 1 when dot11</w:t>
      </w:r>
      <w:r w:rsidR="007F6342">
        <w:rPr>
          <w:color w:val="FF0000"/>
          <w:sz w:val="20"/>
          <w:u w:val="single"/>
        </w:rPr>
        <w:t>OCB</w:t>
      </w:r>
      <w:r w:rsidRPr="483DD4DC">
        <w:rPr>
          <w:color w:val="FF0000"/>
          <w:sz w:val="20"/>
          <w:u w:val="single"/>
        </w:rPr>
        <w:t>Activated is true.</w:t>
      </w:r>
    </w:p>
    <w:p w14:paraId="7B65EB2C" w14:textId="54C2C21A" w:rsidR="00896776" w:rsidRPr="00896776" w:rsidRDefault="00896776" w:rsidP="483DD4DC">
      <w:pPr>
        <w:pStyle w:val="ad"/>
        <w:numPr>
          <w:ilvl w:val="0"/>
          <w:numId w:val="39"/>
        </w:numPr>
        <w:jc w:val="left"/>
        <w:rPr>
          <w:sz w:val="20"/>
        </w:rPr>
      </w:pPr>
      <w:r w:rsidRPr="483DD4DC">
        <w:rPr>
          <w:sz w:val="20"/>
        </w:rPr>
        <w:t xml:space="preserve">The CBAP Source subfield is valid only if the CBAP Only subfield is 1. The CBAP Source subfield is set to 1 to indicate that the AP or PCP has higher priority to transmit during the CBAP than non-AP and non-PCP STAs. The CBAP Source subfield is set to 0 otherwise. </w:t>
      </w:r>
      <w:r w:rsidRPr="483DD4DC">
        <w:rPr>
          <w:color w:val="FF0000"/>
          <w:sz w:val="20"/>
          <w:u w:val="single"/>
        </w:rPr>
        <w:t>The CBAP Source subfield is set to 0 when dot11</w:t>
      </w:r>
      <w:r w:rsidR="007F6342">
        <w:rPr>
          <w:color w:val="FF0000"/>
          <w:sz w:val="20"/>
          <w:u w:val="single"/>
        </w:rPr>
        <w:t>OCB</w:t>
      </w:r>
      <w:r w:rsidRPr="483DD4DC">
        <w:rPr>
          <w:color w:val="FF0000"/>
          <w:sz w:val="20"/>
          <w:u w:val="single"/>
        </w:rPr>
        <w:t>Activated is true.</w:t>
      </w:r>
    </w:p>
    <w:p w14:paraId="0FFBEE33" w14:textId="4E9D3B3B" w:rsidR="00896776" w:rsidRPr="00896776" w:rsidRDefault="00896776" w:rsidP="483DD4DC">
      <w:pPr>
        <w:pStyle w:val="ad"/>
        <w:numPr>
          <w:ilvl w:val="0"/>
          <w:numId w:val="39"/>
        </w:numPr>
        <w:jc w:val="left"/>
        <w:rPr>
          <w:sz w:val="20"/>
        </w:rPr>
      </w:pPr>
      <w:r w:rsidRPr="483DD4DC">
        <w:rPr>
          <w:sz w:val="20"/>
        </w:rPr>
        <w:t xml:space="preserve">The ECAPC Policy Enforced subfield is set to 1 to indicate that medium access policies specific to the centralized AP or PCP cluster are required as defined in 10.40.3.4 (Centralized AP or PCP cluster MAC requirements). The ECAPC Policy Enforced subfield is set to 0 to indicate that medium access policies specific to the centralized AP or PCP cluster are not required. </w:t>
      </w:r>
      <w:r w:rsidRPr="483DD4DC">
        <w:rPr>
          <w:color w:val="FF0000"/>
          <w:sz w:val="20"/>
          <w:u w:val="single"/>
        </w:rPr>
        <w:t>The CBAP Source subfield is set to 0 when dot11</w:t>
      </w:r>
      <w:r w:rsidR="007F6342">
        <w:rPr>
          <w:color w:val="FF0000"/>
          <w:sz w:val="20"/>
          <w:u w:val="single"/>
        </w:rPr>
        <w:t>OCB</w:t>
      </w:r>
      <w:r w:rsidRPr="483DD4DC">
        <w:rPr>
          <w:color w:val="FF0000"/>
          <w:sz w:val="20"/>
          <w:u w:val="single"/>
        </w:rPr>
        <w:t>Activated is true.</w:t>
      </w:r>
    </w:p>
    <w:p w14:paraId="1340B6F8" w14:textId="77777777" w:rsidR="00896776" w:rsidRPr="00896776" w:rsidRDefault="00896776" w:rsidP="00C07C5B"/>
    <w:p w14:paraId="4F1989AE" w14:textId="1EF5EF74" w:rsidR="008D2619" w:rsidRDefault="008D2619" w:rsidP="00BB7063">
      <w:pPr>
        <w:pStyle w:val="IEEEStdsLevel6Header"/>
        <w:numPr>
          <w:ilvl w:val="0"/>
          <w:numId w:val="0"/>
        </w:numPr>
        <w:rPr>
          <w:rFonts w:eastAsia="ＭＳ 明朝"/>
        </w:rPr>
      </w:pPr>
      <w:r>
        <w:rPr>
          <w:rFonts w:eastAsia="ＭＳ 明朝"/>
        </w:rPr>
        <w:t>31.3 Operation in 60 GHz band</w:t>
      </w:r>
    </w:p>
    <w:p w14:paraId="02D47B44" w14:textId="1F58C8F2" w:rsidR="004B0818" w:rsidRDefault="004B0818" w:rsidP="004B0818">
      <w:pPr>
        <w:pStyle w:val="IEEEStdsLevel6Header"/>
        <w:numPr>
          <w:ilvl w:val="0"/>
          <w:numId w:val="0"/>
        </w:numPr>
      </w:pPr>
      <w:bookmarkStart w:id="0" w:name="_GoBack"/>
      <w:bookmarkEnd w:id="0"/>
      <w:r>
        <w:rPr>
          <w:rFonts w:eastAsia="ＭＳ 明朝"/>
        </w:rPr>
        <w:t xml:space="preserve">31.3.2 </w:t>
      </w:r>
      <w:r w:rsidRPr="004B0818">
        <w:rPr>
          <w:rFonts w:eastAsia="ＭＳ 明朝"/>
        </w:rPr>
        <w:t>DMG STAs communicating Data frames outside the context of a BSS</w:t>
      </w:r>
    </w:p>
    <w:p w14:paraId="3ADBB2F5" w14:textId="7EE792AB" w:rsidR="004B0818" w:rsidRPr="004B0818" w:rsidRDefault="004B0818" w:rsidP="004B0818">
      <w:pPr>
        <w:pStyle w:val="IEEEStdsParagraph"/>
        <w:rPr>
          <w:rStyle w:val="af0"/>
          <w:rFonts w:eastAsia="ＭＳ 明朝"/>
          <w:b w:val="0"/>
          <w:i/>
        </w:rPr>
      </w:pPr>
      <w:r w:rsidRPr="00DC69E5">
        <w:rPr>
          <w:rStyle w:val="af0"/>
          <w:rFonts w:eastAsia="ＭＳ 明朝"/>
          <w:b w:val="0"/>
          <w:i/>
          <w:highlight w:val="yellow"/>
        </w:rPr>
        <w:t>TGbd Editor: Change the first paragraph in 31.3.2 of Draft P802.11bd D0.3 as follows:</w:t>
      </w:r>
    </w:p>
    <w:p w14:paraId="196D2D82" w14:textId="068B8207" w:rsidR="004B0818" w:rsidRPr="004B0818" w:rsidRDefault="4794D428" w:rsidP="004B0818">
      <w:pPr>
        <w:pStyle w:val="IEEEStdsParagraph"/>
        <w:rPr>
          <w:rStyle w:val="af0"/>
          <w:rFonts w:eastAsia="ＭＳ 明朝"/>
          <w:b w:val="0"/>
          <w:bCs w:val="0"/>
        </w:rPr>
      </w:pPr>
      <w:r w:rsidRPr="007F6342">
        <w:rPr>
          <w:rStyle w:val="af0"/>
          <w:rFonts w:eastAsia="ＭＳ 明朝"/>
          <w:b w:val="0"/>
          <w:bCs w:val="0"/>
        </w:rPr>
        <w:t>When dot11OCBActivated is true in a DMG STA</w:t>
      </w:r>
      <w:r w:rsidRPr="60300BAF">
        <w:rPr>
          <w:rStyle w:val="af0"/>
          <w:rFonts w:eastAsia="ＭＳ 明朝"/>
          <w:b w:val="0"/>
          <w:bCs w:val="0"/>
        </w:rPr>
        <w:t>, the following applies in addition to description in subclause 11.1</w:t>
      </w:r>
      <w:r w:rsidRPr="005A7A86">
        <w:rPr>
          <w:rStyle w:val="af0"/>
          <w:rFonts w:eastAsia="ＭＳ 明朝"/>
          <w:b w:val="0"/>
          <w:bCs w:val="0"/>
          <w:strike/>
          <w:color w:val="FF0000"/>
        </w:rPr>
        <w:t>9</w:t>
      </w:r>
      <w:r w:rsidR="13260691" w:rsidRPr="005A7A86">
        <w:rPr>
          <w:rStyle w:val="af0"/>
          <w:rFonts w:eastAsia="ＭＳ 明朝"/>
          <w:b w:val="0"/>
          <w:bCs w:val="0"/>
          <w:color w:val="FF0000"/>
          <w:u w:val="single"/>
        </w:rPr>
        <w:t>8</w:t>
      </w:r>
      <w:r w:rsidRPr="60300BAF">
        <w:rPr>
          <w:rStyle w:val="af0"/>
          <w:rFonts w:eastAsia="ＭＳ 明朝"/>
          <w:b w:val="0"/>
          <w:bCs w:val="0"/>
        </w:rPr>
        <w:t xml:space="preserve"> (STAs communicating Data frames outside the context of a BSS):</w:t>
      </w:r>
    </w:p>
    <w:p w14:paraId="66744118" w14:textId="1C374AA9" w:rsidR="004B0818" w:rsidRPr="004B0818" w:rsidRDefault="004B0818" w:rsidP="00567D85">
      <w:pPr>
        <w:pStyle w:val="IEEEStdsParagraph"/>
        <w:numPr>
          <w:ilvl w:val="0"/>
          <w:numId w:val="35"/>
        </w:numPr>
        <w:rPr>
          <w:rStyle w:val="af0"/>
          <w:rFonts w:eastAsia="ＭＳ 明朝"/>
          <w:b w:val="0"/>
          <w:bCs w:val="0"/>
          <w:color w:val="FF0000"/>
          <w:u w:val="single"/>
        </w:rPr>
      </w:pPr>
      <w:r w:rsidRPr="4867564F">
        <w:rPr>
          <w:rStyle w:val="af0"/>
          <w:rFonts w:eastAsia="ＭＳ 明朝"/>
          <w:b w:val="0"/>
          <w:bCs w:val="0"/>
          <w:strike/>
          <w:color w:val="FF0000"/>
        </w:rPr>
        <w:t>TBD</w:t>
      </w:r>
      <w:r w:rsidRPr="4867564F">
        <w:rPr>
          <w:rStyle w:val="af0"/>
          <w:rFonts w:eastAsia="ＭＳ 明朝"/>
          <w:b w:val="0"/>
          <w:bCs w:val="0"/>
          <w:color w:val="FF0000"/>
          <w:u w:val="single"/>
        </w:rPr>
        <w:t xml:space="preserve">STA may send DMG Beacon frames with </w:t>
      </w:r>
      <w:r w:rsidR="6EFFE0C8" w:rsidRPr="4867564F">
        <w:rPr>
          <w:rStyle w:val="af0"/>
          <w:rFonts w:eastAsia="ＭＳ 明朝"/>
          <w:b w:val="0"/>
          <w:bCs w:val="0"/>
          <w:color w:val="FF0000"/>
          <w:u w:val="single"/>
        </w:rPr>
        <w:t>D</w:t>
      </w:r>
      <w:r w:rsidRPr="4867564F">
        <w:rPr>
          <w:rStyle w:val="af0"/>
          <w:rFonts w:eastAsia="ＭＳ 明朝"/>
          <w:b w:val="0"/>
          <w:bCs w:val="0"/>
          <w:color w:val="FF0000"/>
          <w:u w:val="single"/>
        </w:rPr>
        <w:t xml:space="preserve">iscovery </w:t>
      </w:r>
      <w:r w:rsidR="4292C3DC" w:rsidRPr="4867564F">
        <w:rPr>
          <w:rStyle w:val="af0"/>
          <w:rFonts w:eastAsia="ＭＳ 明朝"/>
          <w:b w:val="0"/>
          <w:bCs w:val="0"/>
          <w:color w:val="FF0000"/>
          <w:u w:val="single"/>
        </w:rPr>
        <w:t>M</w:t>
      </w:r>
      <w:r w:rsidRPr="4867564F">
        <w:rPr>
          <w:rStyle w:val="af0"/>
          <w:rFonts w:eastAsia="ＭＳ 明朝"/>
          <w:b w:val="0"/>
          <w:bCs w:val="0"/>
          <w:color w:val="FF0000"/>
          <w:u w:val="single"/>
        </w:rPr>
        <w:t>ode field set to one.</w:t>
      </w:r>
    </w:p>
    <w:p w14:paraId="450FA386" w14:textId="61A93555" w:rsidR="007D307F" w:rsidRDefault="4794D428" w:rsidP="00567D85">
      <w:pPr>
        <w:pStyle w:val="IEEEStdsParagraph"/>
        <w:numPr>
          <w:ilvl w:val="0"/>
          <w:numId w:val="35"/>
        </w:numPr>
        <w:rPr>
          <w:rStyle w:val="af0"/>
          <w:rFonts w:eastAsia="ＭＳ 明朝"/>
          <w:b w:val="0"/>
          <w:bCs w:val="0"/>
          <w:color w:val="FF0000"/>
          <w:u w:val="single"/>
        </w:rPr>
      </w:pPr>
      <w:r w:rsidRPr="391F5BC1">
        <w:rPr>
          <w:rStyle w:val="af0"/>
          <w:rFonts w:eastAsia="ＭＳ 明朝"/>
          <w:b w:val="0"/>
          <w:bCs w:val="0"/>
          <w:color w:val="FF0000"/>
          <w:u w:val="single"/>
        </w:rPr>
        <w:t>The STA may send Control frames, except those of subtype CF-End, Poll, SPR, Grant</w:t>
      </w:r>
      <w:r w:rsidR="3DAC8B84" w:rsidRPr="391F5BC1">
        <w:rPr>
          <w:rStyle w:val="af0"/>
          <w:rFonts w:eastAsia="ＭＳ 明朝"/>
          <w:b w:val="0"/>
          <w:bCs w:val="0"/>
          <w:color w:val="FF0000"/>
          <w:u w:val="single"/>
        </w:rPr>
        <w:t>,</w:t>
      </w:r>
      <w:r w:rsidRPr="391F5BC1">
        <w:rPr>
          <w:rStyle w:val="af0"/>
          <w:rFonts w:eastAsia="ＭＳ 明朝"/>
          <w:b w:val="0"/>
          <w:bCs w:val="0"/>
          <w:color w:val="FF0000"/>
          <w:u w:val="single"/>
        </w:rPr>
        <w:t xml:space="preserve"> Grant Ack</w:t>
      </w:r>
      <w:r w:rsidR="3D4C49A9" w:rsidRPr="391F5BC1">
        <w:rPr>
          <w:rStyle w:val="af0"/>
          <w:rFonts w:eastAsia="ＭＳ 明朝"/>
          <w:b w:val="0"/>
          <w:bCs w:val="0"/>
          <w:color w:val="FF0000"/>
          <w:u w:val="single"/>
        </w:rPr>
        <w:t xml:space="preserve">, Sector Ack, Block Ack Schedule and </w:t>
      </w:r>
      <w:r w:rsidR="0D51A1AB" w:rsidRPr="391F5BC1">
        <w:rPr>
          <w:rStyle w:val="af0"/>
          <w:rFonts w:eastAsia="ＭＳ 明朝"/>
          <w:b w:val="0"/>
          <w:bCs w:val="0"/>
          <w:color w:val="FF0000"/>
          <w:u w:val="single"/>
        </w:rPr>
        <w:t>TDD Beamforming</w:t>
      </w:r>
      <w:r w:rsidRPr="391F5BC1">
        <w:rPr>
          <w:rStyle w:val="af0"/>
          <w:rFonts w:eastAsia="ＭＳ 明朝"/>
          <w:b w:val="0"/>
          <w:bCs w:val="0"/>
          <w:color w:val="FF0000"/>
          <w:u w:val="single"/>
        </w:rPr>
        <w:t>.</w:t>
      </w:r>
    </w:p>
    <w:p w14:paraId="08BA40D7" w14:textId="77777777" w:rsidR="00BC31C4" w:rsidRPr="00602FBE" w:rsidRDefault="00BC31C4" w:rsidP="00BC31C4">
      <w:pPr>
        <w:pStyle w:val="BodyText"/>
        <w:rPr>
          <w:rFonts w:eastAsiaTheme="minorEastAsia"/>
          <w:szCs w:val="22"/>
          <w:lang w:eastAsia="ja-JP"/>
        </w:rPr>
      </w:pPr>
    </w:p>
    <w:p w14:paraId="6C563B50" w14:textId="74CCCB85" w:rsidR="00BC31C4" w:rsidRPr="0090602D" w:rsidRDefault="00BC31C4" w:rsidP="00BC31C4">
      <w:pPr>
        <w:pStyle w:val="2"/>
        <w:rPr>
          <w:sz w:val="20"/>
          <w:u w:val="none"/>
        </w:rPr>
      </w:pPr>
      <w:r w:rsidRPr="0090602D">
        <w:rPr>
          <w:sz w:val="20"/>
          <w:u w:val="none"/>
        </w:rPr>
        <w:t>B.4 PICS proforma—IEEE Std 802.11-2016</w:t>
      </w:r>
    </w:p>
    <w:p w14:paraId="6697A2E6" w14:textId="18E7C941" w:rsidR="00BC31C4" w:rsidRPr="0090602D" w:rsidRDefault="00BC31C4" w:rsidP="00BC31C4">
      <w:pPr>
        <w:pStyle w:val="BodyText"/>
        <w:rPr>
          <w:rFonts w:eastAsiaTheme="minorEastAsia"/>
          <w:i/>
          <w:sz w:val="20"/>
          <w:lang w:eastAsia="ja-JP"/>
        </w:rPr>
      </w:pPr>
      <w:r w:rsidRPr="00DC69E5">
        <w:rPr>
          <w:rFonts w:eastAsiaTheme="minorEastAsia"/>
          <w:i/>
          <w:sz w:val="20"/>
          <w:highlight w:val="yellow"/>
          <w:lang w:eastAsia="ja-JP"/>
        </w:rPr>
        <w:t xml:space="preserve">TGbd Editor: </w:t>
      </w:r>
      <w:r w:rsidR="00720068" w:rsidRPr="00DC69E5">
        <w:rPr>
          <w:rFonts w:eastAsiaTheme="minorEastAsia"/>
          <w:i/>
          <w:sz w:val="20"/>
          <w:highlight w:val="yellow"/>
          <w:lang w:eastAsia="ja-JP"/>
        </w:rPr>
        <w:t xml:space="preserve">Change the text on </w:t>
      </w:r>
      <w:r w:rsidRPr="00DC69E5">
        <w:rPr>
          <w:rFonts w:eastAsiaTheme="minorEastAsia"/>
          <w:i/>
          <w:sz w:val="20"/>
          <w:highlight w:val="yellow"/>
          <w:lang w:eastAsia="ja-JP"/>
        </w:rPr>
        <w:t xml:space="preserve">rows for CFDMG and CFEDMG </w:t>
      </w:r>
      <w:r w:rsidR="00720068" w:rsidRPr="00DC69E5">
        <w:rPr>
          <w:rFonts w:eastAsiaTheme="minorEastAsia"/>
          <w:i/>
          <w:sz w:val="20"/>
          <w:highlight w:val="yellow"/>
          <w:lang w:eastAsia="ja-JP"/>
        </w:rPr>
        <w:t>on</w:t>
      </w:r>
      <w:r w:rsidRPr="00DC69E5">
        <w:rPr>
          <w:rFonts w:eastAsiaTheme="minorEastAsia"/>
          <w:i/>
          <w:sz w:val="20"/>
          <w:highlight w:val="yellow"/>
          <w:lang w:eastAsia="ja-JP"/>
        </w:rPr>
        <w:t xml:space="preserve"> the table in subclause B.4.3 of Draft P802.11bd D0.3 as </w:t>
      </w:r>
      <w:commentRangeStart w:id="1"/>
      <w:r w:rsidRPr="00DC69E5">
        <w:rPr>
          <w:rFonts w:eastAsiaTheme="minorEastAsia"/>
          <w:i/>
          <w:sz w:val="20"/>
          <w:highlight w:val="yellow"/>
          <w:lang w:eastAsia="ja-JP"/>
        </w:rPr>
        <w:t>follows</w:t>
      </w:r>
      <w:commentRangeEnd w:id="1"/>
      <w:r w:rsidR="00CE0065">
        <w:rPr>
          <w:rStyle w:val="a8"/>
          <w:rFonts w:eastAsiaTheme="minorEastAsia"/>
          <w:color w:val="000000"/>
          <w:w w:val="0"/>
        </w:rPr>
        <w:commentReference w:id="1"/>
      </w:r>
      <w:r w:rsidRPr="00DC69E5">
        <w:rPr>
          <w:rFonts w:eastAsiaTheme="minorEastAsia"/>
          <w:i/>
          <w:sz w:val="20"/>
          <w:highlight w:val="yellow"/>
          <w:lang w:eastAsia="ja-JP"/>
        </w:rPr>
        <w:t>.</w:t>
      </w:r>
    </w:p>
    <w:p w14:paraId="62514817" w14:textId="77777777" w:rsidR="00BC31C4" w:rsidRPr="0090602D" w:rsidRDefault="00BC31C4" w:rsidP="00BC31C4">
      <w:pPr>
        <w:pStyle w:val="BodyText"/>
        <w:rPr>
          <w:rFonts w:eastAsiaTheme="minorEastAsia"/>
          <w:sz w:val="20"/>
          <w:lang w:eastAsia="ja-JP"/>
        </w:rPr>
      </w:pPr>
    </w:p>
    <w:p w14:paraId="634781D4" w14:textId="77777777" w:rsidR="00BC31C4" w:rsidRPr="0090602D" w:rsidRDefault="00BC31C4" w:rsidP="00BC31C4">
      <w:pPr>
        <w:rPr>
          <w:rFonts w:ascii="Arial" w:hAnsi="Arial" w:cs="Arial"/>
          <w:b/>
          <w:bCs/>
          <w:sz w:val="20"/>
        </w:rPr>
      </w:pPr>
      <w:r w:rsidRPr="0090602D">
        <w:rPr>
          <w:rFonts w:ascii="Arial" w:hAnsi="Arial" w:cs="Arial"/>
          <w:b/>
          <w:bCs/>
          <w:sz w:val="20"/>
        </w:rPr>
        <w:t>B.4.3 IUT Configuration</w:t>
      </w:r>
    </w:p>
    <w:p w14:paraId="494C9C4C" w14:textId="77777777" w:rsidR="00BC31C4" w:rsidRPr="0090602D" w:rsidRDefault="00BC31C4" w:rsidP="00BC31C4">
      <w:pPr>
        <w:rPr>
          <w:sz w:val="20"/>
        </w:rPr>
      </w:pPr>
    </w:p>
    <w:tbl>
      <w:tblPr>
        <w:tblStyle w:val="af1"/>
        <w:tblW w:w="9350" w:type="dxa"/>
        <w:tblLook w:val="04A0" w:firstRow="1" w:lastRow="0" w:firstColumn="1" w:lastColumn="0" w:noHBand="0" w:noVBand="1"/>
      </w:tblPr>
      <w:tblGrid>
        <w:gridCol w:w="1257"/>
        <w:gridCol w:w="3591"/>
        <w:gridCol w:w="1461"/>
        <w:gridCol w:w="1805"/>
        <w:gridCol w:w="1236"/>
      </w:tblGrid>
      <w:tr w:rsidR="00BC31C4" w:rsidRPr="0090602D" w14:paraId="03CD1384" w14:textId="77777777" w:rsidTr="00D34159">
        <w:tc>
          <w:tcPr>
            <w:tcW w:w="1261" w:type="dxa"/>
            <w:vAlign w:val="center"/>
          </w:tcPr>
          <w:p w14:paraId="1B14FA3C" w14:textId="77777777" w:rsidR="00BC31C4" w:rsidRPr="0090602D" w:rsidRDefault="00BC31C4" w:rsidP="002B0FE5">
            <w:pPr>
              <w:rPr>
                <w:b/>
                <w:bCs/>
                <w:sz w:val="20"/>
                <w:szCs w:val="20"/>
              </w:rPr>
            </w:pPr>
            <w:r w:rsidRPr="0090602D">
              <w:rPr>
                <w:b/>
                <w:bCs/>
                <w:sz w:val="20"/>
                <w:szCs w:val="20"/>
              </w:rPr>
              <w:t>Item</w:t>
            </w:r>
          </w:p>
        </w:tc>
        <w:tc>
          <w:tcPr>
            <w:tcW w:w="3667" w:type="dxa"/>
            <w:vAlign w:val="center"/>
          </w:tcPr>
          <w:p w14:paraId="0ED0957C" w14:textId="77777777" w:rsidR="00BC31C4" w:rsidRPr="0090602D" w:rsidRDefault="00BC31C4" w:rsidP="002B0FE5">
            <w:pPr>
              <w:rPr>
                <w:b/>
                <w:bCs/>
                <w:sz w:val="20"/>
                <w:szCs w:val="20"/>
              </w:rPr>
            </w:pPr>
            <w:r w:rsidRPr="0090602D">
              <w:rPr>
                <w:b/>
                <w:bCs/>
                <w:sz w:val="20"/>
                <w:szCs w:val="20"/>
              </w:rPr>
              <w:t>IUT configuration</w:t>
            </w:r>
          </w:p>
        </w:tc>
        <w:tc>
          <w:tcPr>
            <w:tcW w:w="1371" w:type="dxa"/>
            <w:vAlign w:val="center"/>
          </w:tcPr>
          <w:p w14:paraId="730366AC" w14:textId="77777777" w:rsidR="00BC31C4" w:rsidRPr="0090602D" w:rsidRDefault="00BC31C4" w:rsidP="002B0FE5">
            <w:pPr>
              <w:rPr>
                <w:b/>
                <w:bCs/>
                <w:sz w:val="20"/>
                <w:szCs w:val="20"/>
              </w:rPr>
            </w:pPr>
            <w:r w:rsidRPr="0090602D">
              <w:rPr>
                <w:b/>
                <w:bCs/>
                <w:sz w:val="20"/>
                <w:szCs w:val="20"/>
              </w:rPr>
              <w:t>References</w:t>
            </w:r>
          </w:p>
        </w:tc>
        <w:tc>
          <w:tcPr>
            <w:tcW w:w="1805" w:type="dxa"/>
            <w:vAlign w:val="center"/>
          </w:tcPr>
          <w:p w14:paraId="6486D044" w14:textId="77777777" w:rsidR="00BC31C4" w:rsidRPr="0090602D" w:rsidRDefault="00BC31C4" w:rsidP="002B0FE5">
            <w:pPr>
              <w:rPr>
                <w:b/>
                <w:bCs/>
                <w:sz w:val="20"/>
                <w:szCs w:val="20"/>
              </w:rPr>
            </w:pPr>
            <w:r w:rsidRPr="0090602D">
              <w:rPr>
                <w:b/>
                <w:bCs/>
                <w:sz w:val="20"/>
                <w:szCs w:val="20"/>
              </w:rPr>
              <w:t>Status</w:t>
            </w:r>
          </w:p>
        </w:tc>
        <w:tc>
          <w:tcPr>
            <w:tcW w:w="1246" w:type="dxa"/>
            <w:vAlign w:val="center"/>
          </w:tcPr>
          <w:p w14:paraId="22F09D3E" w14:textId="77777777" w:rsidR="00BC31C4" w:rsidRPr="0090602D" w:rsidRDefault="00BC31C4" w:rsidP="002B0FE5">
            <w:pPr>
              <w:rPr>
                <w:b/>
                <w:bCs/>
                <w:sz w:val="20"/>
                <w:szCs w:val="20"/>
              </w:rPr>
            </w:pPr>
            <w:r w:rsidRPr="0090602D">
              <w:rPr>
                <w:b/>
                <w:bCs/>
                <w:sz w:val="20"/>
                <w:szCs w:val="20"/>
              </w:rPr>
              <w:t>Support</w:t>
            </w:r>
          </w:p>
        </w:tc>
      </w:tr>
      <w:tr w:rsidR="00BC31C4" w:rsidRPr="0090602D" w14:paraId="0E12280C" w14:textId="77777777" w:rsidTr="00D34159">
        <w:tc>
          <w:tcPr>
            <w:tcW w:w="1261" w:type="dxa"/>
          </w:tcPr>
          <w:p w14:paraId="6D726712"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3667" w:type="dxa"/>
          </w:tcPr>
          <w:p w14:paraId="58E91F9D"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371" w:type="dxa"/>
          </w:tcPr>
          <w:p w14:paraId="026EB077"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805" w:type="dxa"/>
          </w:tcPr>
          <w:p w14:paraId="6B748451"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246" w:type="dxa"/>
          </w:tcPr>
          <w:p w14:paraId="70051561"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r>
      <w:tr w:rsidR="00BC31C4" w:rsidRPr="0090602D" w14:paraId="17E8A277" w14:textId="77777777" w:rsidTr="00D34159">
        <w:tc>
          <w:tcPr>
            <w:tcW w:w="1261" w:type="dxa"/>
          </w:tcPr>
          <w:p w14:paraId="699706EF"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*CFDMG</w:t>
            </w:r>
          </w:p>
        </w:tc>
        <w:tc>
          <w:tcPr>
            <w:tcW w:w="3667" w:type="dxa"/>
          </w:tcPr>
          <w:p w14:paraId="61F1EFF7"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Directional multi-gigabit (DMG) PHY</w:t>
            </w:r>
          </w:p>
        </w:tc>
        <w:tc>
          <w:tcPr>
            <w:tcW w:w="1371" w:type="dxa"/>
          </w:tcPr>
          <w:p w14:paraId="198FBB36"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9.4.2.127 (DMG Capabilities element)</w:t>
            </w:r>
          </w:p>
        </w:tc>
        <w:tc>
          <w:tcPr>
            <w:tcW w:w="1805" w:type="dxa"/>
          </w:tcPr>
          <w:p w14:paraId="3A0DD059"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O.2</w:t>
            </w:r>
          </w:p>
          <w:p w14:paraId="3EFEB5FB"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CFDMG: M</w:t>
            </w:r>
          </w:p>
          <w:p w14:paraId="4C983B3E"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CFEDMG: M</w:t>
            </w:r>
          </w:p>
          <w:p w14:paraId="0725AA4B"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CFTDD: M</w:t>
            </w:r>
          </w:p>
          <w:p w14:paraId="4B02C0E2" w14:textId="77777777" w:rsidR="00BC31C4" w:rsidRPr="00D34159" w:rsidRDefault="00BC31C4" w:rsidP="002B0FE5">
            <w:pPr>
              <w:rPr>
                <w:rFonts w:ascii="Times New Roman" w:eastAsiaTheme="minorEastAsia" w:hAnsi="Times New Roman" w:cs="Times New Roman"/>
                <w:sz w:val="20"/>
                <w:szCs w:val="20"/>
                <w:u w:val="single"/>
                <w:lang w:eastAsia="ja-JP"/>
              </w:rPr>
            </w:pPr>
            <w:r w:rsidRPr="00D34159">
              <w:rPr>
                <w:rFonts w:ascii="Times New Roman" w:eastAsiaTheme="minorEastAsia" w:hAnsi="Times New Roman" w:cs="Times New Roman"/>
                <w:color w:val="FF0000"/>
                <w:sz w:val="20"/>
                <w:szCs w:val="20"/>
                <w:u w:val="single"/>
                <w:lang w:eastAsia="ja-JP"/>
              </w:rPr>
              <w:t>CFNGV60: M</w:t>
            </w:r>
          </w:p>
        </w:tc>
        <w:tc>
          <w:tcPr>
            <w:tcW w:w="1246" w:type="dxa"/>
          </w:tcPr>
          <w:p w14:paraId="43AE7C70"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BC31C4" w:rsidRPr="0090602D" w14:paraId="676FEA8F" w14:textId="77777777" w:rsidTr="00D34159">
        <w:tc>
          <w:tcPr>
            <w:tcW w:w="1261" w:type="dxa"/>
          </w:tcPr>
          <w:p w14:paraId="52AD7789"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63CFA779" w14:textId="77777777" w:rsidR="00BC31C4" w:rsidRPr="00D34159" w:rsidRDefault="00BC31C4" w:rsidP="002B0FE5">
            <w:pPr>
              <w:rPr>
                <w:rFonts w:ascii="Times New Roman" w:eastAsiaTheme="minorEastAsia" w:hAnsi="Times New Roman" w:cs="Times New Roman"/>
                <w:sz w:val="20"/>
                <w:szCs w:val="20"/>
                <w:lang w:eastAsia="ja-JP"/>
              </w:rPr>
            </w:pPr>
          </w:p>
        </w:tc>
        <w:tc>
          <w:tcPr>
            <w:tcW w:w="1371" w:type="dxa"/>
          </w:tcPr>
          <w:p w14:paraId="3058AB98" w14:textId="77777777" w:rsidR="00BC31C4" w:rsidRPr="00D34159" w:rsidRDefault="00BC31C4" w:rsidP="002B0FE5">
            <w:pPr>
              <w:rPr>
                <w:rFonts w:ascii="Times New Roman" w:hAnsi="Times New Roman" w:cs="Times New Roman"/>
                <w:sz w:val="20"/>
                <w:szCs w:val="20"/>
              </w:rPr>
            </w:pPr>
          </w:p>
        </w:tc>
        <w:tc>
          <w:tcPr>
            <w:tcW w:w="1805" w:type="dxa"/>
          </w:tcPr>
          <w:p w14:paraId="54BBA981" w14:textId="77777777" w:rsidR="00BC31C4" w:rsidRPr="00D34159" w:rsidRDefault="00BC31C4" w:rsidP="002B0FE5">
            <w:pPr>
              <w:rPr>
                <w:rFonts w:ascii="Times New Roman" w:hAnsi="Times New Roman" w:cs="Times New Roman"/>
                <w:sz w:val="20"/>
                <w:szCs w:val="20"/>
              </w:rPr>
            </w:pPr>
          </w:p>
        </w:tc>
        <w:tc>
          <w:tcPr>
            <w:tcW w:w="1246" w:type="dxa"/>
          </w:tcPr>
          <w:p w14:paraId="3E62980C" w14:textId="77777777" w:rsidR="00BC31C4" w:rsidRPr="00D34159" w:rsidRDefault="00BC31C4" w:rsidP="002B0FE5">
            <w:pPr>
              <w:rPr>
                <w:rFonts w:ascii="Times New Roman" w:hAnsi="Times New Roman" w:cs="Times New Roman"/>
                <w:sz w:val="20"/>
                <w:szCs w:val="20"/>
              </w:rPr>
            </w:pPr>
          </w:p>
        </w:tc>
      </w:tr>
      <w:tr w:rsidR="00BC31C4" w:rsidRPr="0090602D" w14:paraId="0496001C" w14:textId="77777777" w:rsidTr="00D34159">
        <w:tc>
          <w:tcPr>
            <w:tcW w:w="1261" w:type="dxa"/>
          </w:tcPr>
          <w:p w14:paraId="4B8666DC"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*CFEDMG</w:t>
            </w:r>
          </w:p>
        </w:tc>
        <w:tc>
          <w:tcPr>
            <w:tcW w:w="3667" w:type="dxa"/>
          </w:tcPr>
          <w:p w14:paraId="7E24E9DF"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Enhanced directional multi-gigabit (EDMG) PHY</w:t>
            </w:r>
          </w:p>
        </w:tc>
        <w:tc>
          <w:tcPr>
            <w:tcW w:w="1371" w:type="dxa"/>
          </w:tcPr>
          <w:p w14:paraId="692D1C0D"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9.4.2.263 (EDMG Capabilities element)</w:t>
            </w:r>
          </w:p>
        </w:tc>
        <w:tc>
          <w:tcPr>
            <w:tcW w:w="1805" w:type="dxa"/>
          </w:tcPr>
          <w:p w14:paraId="029A0B4C"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CFEDMG: M</w:t>
            </w:r>
          </w:p>
          <w:p w14:paraId="6AB01DA7"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color w:val="FF0000"/>
                <w:sz w:val="20"/>
                <w:szCs w:val="20"/>
                <w:u w:val="single"/>
                <w:lang w:eastAsia="ja-JP"/>
              </w:rPr>
              <w:t>CFNGV60: O</w:t>
            </w:r>
          </w:p>
        </w:tc>
        <w:tc>
          <w:tcPr>
            <w:tcW w:w="1246" w:type="dxa"/>
          </w:tcPr>
          <w:p w14:paraId="016E6E9C"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47602E" w:rsidRPr="0090602D" w14:paraId="7467C66C" w14:textId="77777777" w:rsidTr="00D34159">
        <w:tc>
          <w:tcPr>
            <w:tcW w:w="1261" w:type="dxa"/>
          </w:tcPr>
          <w:p w14:paraId="098EF6D0" w14:textId="77777777" w:rsidR="0047602E" w:rsidRPr="00D34159" w:rsidRDefault="0047602E" w:rsidP="0047602E">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4C9F30DB" w14:textId="77777777" w:rsidR="0047602E" w:rsidRPr="00D34159" w:rsidRDefault="0047602E" w:rsidP="0047602E">
            <w:pPr>
              <w:rPr>
                <w:rFonts w:ascii="Times New Roman" w:eastAsiaTheme="minorEastAsia" w:hAnsi="Times New Roman" w:cs="Times New Roman"/>
                <w:sz w:val="20"/>
                <w:szCs w:val="20"/>
                <w:lang w:eastAsia="ja-JP"/>
              </w:rPr>
            </w:pPr>
          </w:p>
        </w:tc>
        <w:tc>
          <w:tcPr>
            <w:tcW w:w="1371" w:type="dxa"/>
          </w:tcPr>
          <w:p w14:paraId="12223156" w14:textId="77777777" w:rsidR="0047602E" w:rsidRPr="00D34159" w:rsidRDefault="0047602E" w:rsidP="0047602E">
            <w:pPr>
              <w:rPr>
                <w:rFonts w:ascii="Times New Roman" w:hAnsi="Times New Roman" w:cs="Times New Roman"/>
                <w:sz w:val="20"/>
                <w:szCs w:val="20"/>
              </w:rPr>
            </w:pPr>
          </w:p>
        </w:tc>
        <w:tc>
          <w:tcPr>
            <w:tcW w:w="1805" w:type="dxa"/>
          </w:tcPr>
          <w:p w14:paraId="44CB6BE3" w14:textId="77777777" w:rsidR="0047602E" w:rsidRPr="00D34159" w:rsidRDefault="0047602E" w:rsidP="0047602E">
            <w:pPr>
              <w:rPr>
                <w:rFonts w:ascii="Times New Roman" w:hAnsi="Times New Roman" w:cs="Times New Roman"/>
                <w:sz w:val="20"/>
                <w:szCs w:val="20"/>
              </w:rPr>
            </w:pPr>
          </w:p>
        </w:tc>
        <w:tc>
          <w:tcPr>
            <w:tcW w:w="1246" w:type="dxa"/>
          </w:tcPr>
          <w:p w14:paraId="4AF6AD6B" w14:textId="77777777" w:rsidR="0047602E" w:rsidRPr="00D34159" w:rsidRDefault="0047602E" w:rsidP="0047602E">
            <w:pPr>
              <w:rPr>
                <w:rFonts w:ascii="Times New Roman" w:hAnsi="Times New Roman" w:cs="Times New Roman"/>
                <w:sz w:val="20"/>
                <w:szCs w:val="20"/>
              </w:rPr>
            </w:pPr>
          </w:p>
        </w:tc>
      </w:tr>
      <w:tr w:rsidR="00D34159" w:rsidRPr="00D34159" w14:paraId="52EF1440" w14:textId="77777777" w:rsidTr="00D34159">
        <w:tc>
          <w:tcPr>
            <w:tcW w:w="1261" w:type="dxa"/>
          </w:tcPr>
          <w:p w14:paraId="020EC813" w14:textId="37CF708F" w:rsidR="00D34159" w:rsidRPr="00D34159" w:rsidRDefault="00D34159" w:rsidP="0047602E">
            <w:pPr>
              <w:rPr>
                <w:rFonts w:ascii="Times New Roman" w:hAnsi="Times New Roman" w:cs="Times New Roman"/>
                <w:sz w:val="20"/>
                <w:szCs w:val="20"/>
              </w:rPr>
            </w:pPr>
            <w:r w:rsidRPr="00D34159">
              <w:rPr>
                <w:rFonts w:ascii="Times New Roman" w:hAnsi="Times New Roman" w:cs="Times New Roman"/>
                <w:sz w:val="20"/>
                <w:szCs w:val="20"/>
              </w:rPr>
              <w:lastRenderedPageBreak/>
              <w:t>*CFOCB</w:t>
            </w:r>
          </w:p>
        </w:tc>
        <w:tc>
          <w:tcPr>
            <w:tcW w:w="3667" w:type="dxa"/>
          </w:tcPr>
          <w:p w14:paraId="0C55777C"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Operation outside the context of a BSS</w:t>
            </w:r>
          </w:p>
          <w:p w14:paraId="0C1E391A" w14:textId="45D59714"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(OCB)</w:t>
            </w:r>
          </w:p>
        </w:tc>
        <w:tc>
          <w:tcPr>
            <w:tcW w:w="1371" w:type="dxa"/>
          </w:tcPr>
          <w:p w14:paraId="7E8156C3" w14:textId="2E56727A" w:rsidR="00D34159" w:rsidRPr="00D34159" w:rsidRDefault="00D34159" w:rsidP="00D34159">
            <w:pPr>
              <w:jc w:val="left"/>
              <w:rPr>
                <w:rFonts w:ascii="Times New Roman" w:hAnsi="Times New Roman" w:cs="Times New Roman"/>
                <w:sz w:val="20"/>
                <w:szCs w:val="20"/>
              </w:rPr>
            </w:pPr>
            <w:r w:rsidRPr="00D34159">
              <w:rPr>
                <w:rFonts w:ascii="Times New Roman" w:hAnsi="Times New Roman" w:cs="Times New Roman"/>
                <w:sz w:val="20"/>
                <w:szCs w:val="20"/>
              </w:rPr>
              <w:t>11.</w:t>
            </w:r>
            <w:commentRangeStart w:id="2"/>
            <w:r w:rsidRPr="00CD1D44">
              <w:rPr>
                <w:rFonts w:ascii="Times New Roman" w:hAnsi="Times New Roman" w:cs="Times New Roman"/>
                <w:color w:val="FF0000"/>
                <w:sz w:val="20"/>
                <w:szCs w:val="20"/>
              </w:rPr>
              <w:t>1</w:t>
            </w:r>
            <w:r w:rsidR="00CD1D44" w:rsidRPr="00CD1D44">
              <w:rPr>
                <w:rFonts w:ascii="Times New Roman" w:eastAsia="ＭＳ 明朝" w:hAnsi="Times New Roman" w:cs="Times New Roman" w:hint="eastAsia"/>
                <w:strike/>
                <w:color w:val="FF0000"/>
                <w:sz w:val="20"/>
                <w:szCs w:val="20"/>
                <w:lang w:eastAsia="ja-JP"/>
              </w:rPr>
              <w:t>9</w:t>
            </w:r>
            <w:r w:rsidRPr="00CD1D44">
              <w:rPr>
                <w:rFonts w:ascii="Times New Roman" w:hAnsi="Times New Roman" w:cs="Times New Roman"/>
                <w:color w:val="FF0000"/>
                <w:sz w:val="20"/>
                <w:szCs w:val="20"/>
                <w:u w:val="single"/>
              </w:rPr>
              <w:t>8</w:t>
            </w:r>
            <w:commentRangeEnd w:id="2"/>
            <w:r w:rsidRPr="00D34159">
              <w:rPr>
                <w:rStyle w:val="a8"/>
                <w:rFonts w:ascii="Times New Roman" w:eastAsiaTheme="minorEastAsia" w:hAnsi="Times New Roman"/>
                <w:color w:val="000000"/>
                <w:w w:val="0"/>
                <w:sz w:val="20"/>
                <w:szCs w:val="20"/>
              </w:rPr>
              <w:commentReference w:id="2"/>
            </w:r>
            <w:r>
              <w:rPr>
                <w:rFonts w:ascii="Times New Roman" w:hAnsi="Times New Roman" w:cs="Times New Roman"/>
                <w:sz w:val="20"/>
                <w:szCs w:val="20"/>
              </w:rPr>
              <w:t xml:space="preserve"> </w:t>
            </w:r>
            <w:r w:rsidRPr="00D34159">
              <w:rPr>
                <w:rFonts w:ascii="Times New Roman" w:hAnsi="Times New Roman" w:cs="Times New Roman"/>
                <w:sz w:val="20"/>
                <w:szCs w:val="20"/>
              </w:rPr>
              <w:t>(STAs</w:t>
            </w:r>
            <w:r>
              <w:rPr>
                <w:rFonts w:ascii="Times New Roman" w:hAnsi="Times New Roman" w:cs="Times New Roman"/>
                <w:sz w:val="20"/>
                <w:szCs w:val="20"/>
              </w:rPr>
              <w:t xml:space="preserve"> </w:t>
            </w:r>
            <w:r w:rsidRPr="00D34159">
              <w:rPr>
                <w:rFonts w:ascii="Times New Roman" w:hAnsi="Times New Roman" w:cs="Times New Roman"/>
                <w:sz w:val="20"/>
                <w:szCs w:val="20"/>
              </w:rPr>
              <w:t>communicating Data</w:t>
            </w:r>
            <w:r>
              <w:rPr>
                <w:rFonts w:ascii="Times New Roman" w:hAnsi="Times New Roman" w:cs="Times New Roman"/>
                <w:sz w:val="20"/>
                <w:szCs w:val="20"/>
              </w:rPr>
              <w:t xml:space="preserve"> </w:t>
            </w:r>
            <w:r w:rsidRPr="00D34159">
              <w:rPr>
                <w:rFonts w:ascii="Times New Roman" w:hAnsi="Times New Roman" w:cs="Times New Roman"/>
                <w:sz w:val="20"/>
                <w:szCs w:val="20"/>
              </w:rPr>
              <w:t>frames</w:t>
            </w:r>
            <w:r>
              <w:rPr>
                <w:rFonts w:ascii="Times New Roman" w:hAnsi="Times New Roman" w:cs="Times New Roman"/>
                <w:sz w:val="20"/>
                <w:szCs w:val="20"/>
              </w:rPr>
              <w:t xml:space="preserve"> </w:t>
            </w:r>
            <w:r w:rsidRPr="00D34159">
              <w:rPr>
                <w:rFonts w:ascii="Times New Roman" w:hAnsi="Times New Roman" w:cs="Times New Roman"/>
                <w:sz w:val="20"/>
                <w:szCs w:val="20"/>
              </w:rPr>
              <w:t>outside the</w:t>
            </w:r>
            <w:r>
              <w:rPr>
                <w:rFonts w:ascii="Times New Roman" w:hAnsi="Times New Roman" w:cs="Times New Roman"/>
                <w:sz w:val="20"/>
                <w:szCs w:val="20"/>
              </w:rPr>
              <w:t xml:space="preserve"> </w:t>
            </w:r>
            <w:r w:rsidRPr="00D34159">
              <w:rPr>
                <w:rFonts w:ascii="Times New Roman" w:hAnsi="Times New Roman" w:cs="Times New Roman"/>
                <w:sz w:val="20"/>
                <w:szCs w:val="20"/>
              </w:rPr>
              <w:t>context of a</w:t>
            </w:r>
            <w:r>
              <w:rPr>
                <w:rFonts w:ascii="Times New Roman" w:hAnsi="Times New Roman" w:cs="Times New Roman"/>
                <w:sz w:val="20"/>
                <w:szCs w:val="20"/>
              </w:rPr>
              <w:t xml:space="preserve"> </w:t>
            </w:r>
            <w:r w:rsidRPr="00D34159">
              <w:rPr>
                <w:rFonts w:ascii="Times New Roman" w:hAnsi="Times New Roman" w:cs="Times New Roman"/>
                <w:sz w:val="20"/>
                <w:szCs w:val="20"/>
              </w:rPr>
              <w:t>BSS)</w:t>
            </w:r>
          </w:p>
        </w:tc>
        <w:tc>
          <w:tcPr>
            <w:tcW w:w="1805" w:type="dxa"/>
          </w:tcPr>
          <w:p w14:paraId="63A9C199"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O.1</w:t>
            </w:r>
          </w:p>
          <w:p w14:paraId="0274E626"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CF5G9:M</w:t>
            </w:r>
          </w:p>
          <w:p w14:paraId="1C7C7867" w14:textId="030945F0" w:rsidR="00D34159" w:rsidRPr="00D34159" w:rsidRDefault="00D34159" w:rsidP="00D34159">
            <w:pPr>
              <w:rPr>
                <w:rFonts w:ascii="Times New Roman" w:hAnsi="Times New Roman" w:cs="Times New Roman"/>
                <w:sz w:val="20"/>
                <w:szCs w:val="20"/>
                <w:u w:val="single"/>
              </w:rPr>
            </w:pPr>
            <w:r w:rsidRPr="00D34159">
              <w:rPr>
                <w:rFonts w:ascii="Times New Roman" w:hAnsi="Times New Roman" w:cs="Times New Roman"/>
                <w:sz w:val="20"/>
                <w:szCs w:val="20"/>
                <w:u w:val="single"/>
              </w:rPr>
              <w:t>CFNGV:M(CID99)</w:t>
            </w:r>
          </w:p>
          <w:p w14:paraId="42EA7024" w14:textId="666AC43A" w:rsidR="00D34159" w:rsidRPr="00D34159" w:rsidRDefault="00D34159" w:rsidP="00D34159">
            <w:pPr>
              <w:rPr>
                <w:rFonts w:ascii="Times New Roman" w:hAnsi="Times New Roman" w:cs="Times New Roman"/>
                <w:sz w:val="20"/>
                <w:szCs w:val="20"/>
              </w:rPr>
            </w:pPr>
            <w:r w:rsidRPr="00D34159">
              <w:rPr>
                <w:rFonts w:ascii="Times New Roman" w:eastAsia="ＭＳ 明朝" w:hAnsi="Times New Roman" w:cs="Times New Roman" w:hint="eastAsia"/>
                <w:color w:val="FF0000"/>
                <w:sz w:val="20"/>
                <w:szCs w:val="20"/>
                <w:u w:val="single"/>
                <w:lang w:eastAsia="ja-JP"/>
              </w:rPr>
              <w:t>CFNGV60: M</w:t>
            </w:r>
          </w:p>
        </w:tc>
        <w:tc>
          <w:tcPr>
            <w:tcW w:w="1246" w:type="dxa"/>
          </w:tcPr>
          <w:p w14:paraId="36DCE2A1" w14:textId="7A6F23A1" w:rsidR="00D34159" w:rsidRPr="00D34159" w:rsidRDefault="00D34159" w:rsidP="0047602E">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D34159" w:rsidRPr="0090602D" w14:paraId="0A3F844C" w14:textId="77777777" w:rsidTr="00D34159">
        <w:tc>
          <w:tcPr>
            <w:tcW w:w="1261" w:type="dxa"/>
          </w:tcPr>
          <w:p w14:paraId="38E8CC51" w14:textId="589EF1CD" w:rsidR="00D34159" w:rsidRPr="00D34159" w:rsidRDefault="00D34159" w:rsidP="0047602E">
            <w:pPr>
              <w:rPr>
                <w:sz w:val="20"/>
              </w:rPr>
            </w:pPr>
            <w:r w:rsidRPr="00D34159">
              <w:rPr>
                <w:rFonts w:ascii="Times New Roman" w:eastAsia="ＭＳ 明朝" w:hAnsi="Times New Roman" w:cs="Times New Roman"/>
                <w:sz w:val="20"/>
                <w:lang w:eastAsia="ja-JP"/>
              </w:rPr>
              <w:t>...</w:t>
            </w:r>
          </w:p>
        </w:tc>
        <w:tc>
          <w:tcPr>
            <w:tcW w:w="3667" w:type="dxa"/>
          </w:tcPr>
          <w:p w14:paraId="55F31CEF" w14:textId="77777777" w:rsidR="00D34159" w:rsidRPr="00D34159" w:rsidRDefault="00D34159" w:rsidP="0047602E">
            <w:pPr>
              <w:rPr>
                <w:rFonts w:ascii="Times New Roman" w:hAnsi="Times New Roman" w:cs="Times New Roman"/>
                <w:sz w:val="20"/>
              </w:rPr>
            </w:pPr>
          </w:p>
        </w:tc>
        <w:tc>
          <w:tcPr>
            <w:tcW w:w="1371" w:type="dxa"/>
          </w:tcPr>
          <w:p w14:paraId="6AA9F109" w14:textId="77777777" w:rsidR="00D34159" w:rsidRPr="00D34159" w:rsidRDefault="00D34159" w:rsidP="0047602E">
            <w:pPr>
              <w:rPr>
                <w:rFonts w:ascii="Times New Roman" w:hAnsi="Times New Roman" w:cs="Times New Roman"/>
                <w:sz w:val="20"/>
              </w:rPr>
            </w:pPr>
          </w:p>
        </w:tc>
        <w:tc>
          <w:tcPr>
            <w:tcW w:w="1805" w:type="dxa"/>
          </w:tcPr>
          <w:p w14:paraId="1490DBE9" w14:textId="77777777" w:rsidR="00D34159" w:rsidRPr="00D34159" w:rsidRDefault="00D34159" w:rsidP="0047602E">
            <w:pPr>
              <w:rPr>
                <w:rFonts w:ascii="Times New Roman" w:hAnsi="Times New Roman" w:cs="Times New Roman"/>
                <w:sz w:val="20"/>
              </w:rPr>
            </w:pPr>
          </w:p>
        </w:tc>
        <w:tc>
          <w:tcPr>
            <w:tcW w:w="1246" w:type="dxa"/>
          </w:tcPr>
          <w:p w14:paraId="145133DE" w14:textId="77777777" w:rsidR="00D34159" w:rsidRPr="00D34159" w:rsidRDefault="00D34159" w:rsidP="0047602E">
            <w:pPr>
              <w:rPr>
                <w:rFonts w:ascii="Times New Roman" w:hAnsi="Times New Roman" w:cs="Times New Roman"/>
                <w:sz w:val="20"/>
              </w:rPr>
            </w:pPr>
          </w:p>
        </w:tc>
      </w:tr>
      <w:tr w:rsidR="0047602E" w:rsidRPr="0090602D" w14:paraId="273E6A7A" w14:textId="77777777" w:rsidTr="00D34159">
        <w:tc>
          <w:tcPr>
            <w:tcW w:w="1261" w:type="dxa"/>
          </w:tcPr>
          <w:p w14:paraId="4C34144C"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CFNGV60</w:t>
            </w:r>
          </w:p>
        </w:tc>
        <w:tc>
          <w:tcPr>
            <w:tcW w:w="3667" w:type="dxa"/>
          </w:tcPr>
          <w:p w14:paraId="04FB7337"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Next Generation V2X (NGV) Operation in 60GHz band</w:t>
            </w:r>
          </w:p>
        </w:tc>
        <w:tc>
          <w:tcPr>
            <w:tcW w:w="1371" w:type="dxa"/>
          </w:tcPr>
          <w:p w14:paraId="3D7FC306"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31.3  (Operation in 60 GHz band)</w:t>
            </w:r>
          </w:p>
        </w:tc>
        <w:tc>
          <w:tcPr>
            <w:tcW w:w="1805" w:type="dxa"/>
          </w:tcPr>
          <w:p w14:paraId="69697FF0"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O</w:t>
            </w:r>
          </w:p>
        </w:tc>
        <w:tc>
          <w:tcPr>
            <w:tcW w:w="1246" w:type="dxa"/>
          </w:tcPr>
          <w:p w14:paraId="0F5E1453"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 xml:space="preserve"> N/A </w:t>
            </w:r>
            <w:r w:rsidRPr="00D34159">
              <w:rPr>
                <w:rFonts w:ascii="Times New Roman" w:hAnsi="Times New Roman" w:cs="Times New Roman"/>
                <w:sz w:val="20"/>
                <w:szCs w:val="20"/>
              </w:rPr>
              <w:t></w:t>
            </w:r>
          </w:p>
        </w:tc>
      </w:tr>
      <w:tr w:rsidR="0047602E" w:rsidRPr="0090602D" w14:paraId="1CD77CD7" w14:textId="77777777" w:rsidTr="00D34159">
        <w:tc>
          <w:tcPr>
            <w:tcW w:w="1261" w:type="dxa"/>
          </w:tcPr>
          <w:p w14:paraId="2087983F" w14:textId="77777777" w:rsidR="0047602E" w:rsidRPr="00D34159" w:rsidRDefault="0047602E" w:rsidP="0047602E">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0CE87F22" w14:textId="77777777" w:rsidR="0047602E" w:rsidRPr="00D34159" w:rsidRDefault="0047602E" w:rsidP="0047602E">
            <w:pPr>
              <w:rPr>
                <w:rFonts w:ascii="Times New Roman" w:hAnsi="Times New Roman" w:cs="Times New Roman"/>
                <w:sz w:val="20"/>
                <w:szCs w:val="20"/>
              </w:rPr>
            </w:pPr>
          </w:p>
        </w:tc>
        <w:tc>
          <w:tcPr>
            <w:tcW w:w="1371" w:type="dxa"/>
          </w:tcPr>
          <w:p w14:paraId="4E61F173" w14:textId="77777777" w:rsidR="0047602E" w:rsidRPr="00D34159" w:rsidRDefault="0047602E" w:rsidP="0047602E">
            <w:pPr>
              <w:rPr>
                <w:rFonts w:ascii="Times New Roman" w:hAnsi="Times New Roman" w:cs="Times New Roman"/>
                <w:sz w:val="20"/>
                <w:szCs w:val="20"/>
              </w:rPr>
            </w:pPr>
          </w:p>
        </w:tc>
        <w:tc>
          <w:tcPr>
            <w:tcW w:w="1805" w:type="dxa"/>
          </w:tcPr>
          <w:p w14:paraId="1E78A82A" w14:textId="77777777" w:rsidR="0047602E" w:rsidRPr="00D34159" w:rsidRDefault="0047602E" w:rsidP="0047602E">
            <w:pPr>
              <w:rPr>
                <w:rFonts w:ascii="Times New Roman" w:hAnsi="Times New Roman" w:cs="Times New Roman"/>
                <w:sz w:val="20"/>
                <w:szCs w:val="20"/>
              </w:rPr>
            </w:pPr>
          </w:p>
        </w:tc>
        <w:tc>
          <w:tcPr>
            <w:tcW w:w="1246" w:type="dxa"/>
          </w:tcPr>
          <w:p w14:paraId="15D80F81" w14:textId="77777777" w:rsidR="0047602E" w:rsidRPr="00D34159" w:rsidRDefault="0047602E" w:rsidP="0047602E">
            <w:pPr>
              <w:rPr>
                <w:rFonts w:ascii="Times New Roman" w:hAnsi="Times New Roman" w:cs="Times New Roman"/>
                <w:sz w:val="20"/>
                <w:szCs w:val="20"/>
              </w:rPr>
            </w:pPr>
          </w:p>
        </w:tc>
      </w:tr>
    </w:tbl>
    <w:p w14:paraId="746A31EB" w14:textId="77777777" w:rsidR="00503B58" w:rsidRPr="00DA5396" w:rsidRDefault="00503B5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50FE6BA6"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w:t>
      </w:r>
      <w:r w:rsidR="00E96A8D" w:rsidRPr="0090602D">
        <w:rPr>
          <w:rFonts w:eastAsia="ＭＳ 明朝"/>
          <w:b/>
          <w:szCs w:val="22"/>
          <w:lang w:eastAsia="ja-JP"/>
        </w:rPr>
        <w:t>D</w:t>
      </w:r>
      <w:r w:rsidR="005A7A54" w:rsidRPr="0090602D">
        <w:rPr>
          <w:rFonts w:eastAsia="ＭＳ 明朝"/>
          <w:b/>
          <w:szCs w:val="22"/>
          <w:lang w:eastAsia="ja-JP"/>
        </w:rPr>
        <w:t>s</w:t>
      </w:r>
      <w:r w:rsidR="00A97CE1" w:rsidRPr="0090602D">
        <w:rPr>
          <w:rFonts w:eastAsia="ＭＳ 明朝"/>
          <w:b/>
          <w:szCs w:val="22"/>
          <w:lang w:eastAsia="ja-JP"/>
        </w:rPr>
        <w:t xml:space="preserve"> </w:t>
      </w:r>
      <w:r w:rsidR="0090602D" w:rsidRPr="0090602D">
        <w:rPr>
          <w:rFonts w:eastAsia="ＭＳ 明朝"/>
          <w:b/>
          <w:lang w:eastAsia="ja-JP"/>
        </w:rPr>
        <w:t>237, 240</w:t>
      </w:r>
      <w:r w:rsidR="006502C4" w:rsidRPr="0090602D">
        <w:rPr>
          <w:rFonts w:eastAsia="ＭＳ 明朝"/>
          <w:b/>
          <w:lang w:eastAsia="ja-JP"/>
        </w:rPr>
        <w:t xml:space="preserve"> </w:t>
      </w:r>
      <w:r w:rsidR="0090602D">
        <w:rPr>
          <w:rFonts w:eastAsia="ＭＳ 明朝"/>
          <w:b/>
          <w:szCs w:val="22"/>
          <w:lang w:eastAsia="ja-JP"/>
        </w:rPr>
        <w:t>in 20</w:t>
      </w:r>
      <w:r w:rsidR="00E96A8D" w:rsidRPr="005A7A54">
        <w:rPr>
          <w:rFonts w:eastAsia="ＭＳ 明朝"/>
          <w:b/>
          <w:szCs w:val="22"/>
          <w:lang w:eastAsia="ja-JP"/>
        </w:rPr>
        <w:t>/</w:t>
      </w:r>
      <w:r w:rsidR="0090602D">
        <w:rPr>
          <w:rFonts w:eastAsia="ＭＳ 明朝"/>
          <w:b/>
          <w:szCs w:val="22"/>
          <w:lang w:eastAsia="ja-JP"/>
        </w:rPr>
        <w:t>1301</w:t>
      </w:r>
      <w:r w:rsidR="003035CE" w:rsidRPr="005A7A54">
        <w:rPr>
          <w:rFonts w:eastAsia="ＭＳ 明朝"/>
          <w:b/>
          <w:szCs w:val="22"/>
          <w:lang w:eastAsia="ja-JP"/>
        </w:rPr>
        <w:t>r</w:t>
      </w:r>
      <w:r w:rsidR="0090602D">
        <w:rPr>
          <w:rFonts w:eastAsia="ＭＳ 明朝"/>
          <w:b/>
          <w:szCs w:val="22"/>
          <w:lang w:eastAsia="ja-JP"/>
        </w:rPr>
        <w:t>0</w:t>
      </w:r>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5E6E2020" w:rsidR="001E788B" w:rsidRDefault="006D6EB5" w:rsidP="26011B79">
      <w:pPr>
        <w:autoSpaceDE w:val="0"/>
        <w:autoSpaceDN w:val="0"/>
        <w:adjustRightInd w:val="0"/>
        <w:jc w:val="left"/>
        <w:rPr>
          <w:rFonts w:eastAsia="ＭＳ 明朝"/>
          <w:lang w:val="en-US" w:eastAsia="ja-JP"/>
        </w:rPr>
      </w:pPr>
      <w:r w:rsidRPr="26011B79">
        <w:rPr>
          <w:rFonts w:eastAsia="ＭＳ 明朝"/>
          <w:lang w:val="en-US" w:eastAsia="ja-JP"/>
        </w:rPr>
        <w:t>[1</w:t>
      </w:r>
      <w:r w:rsidR="007E2CDA" w:rsidRPr="26011B79">
        <w:rPr>
          <w:rFonts w:eastAsia="ＭＳ 明朝"/>
          <w:lang w:val="en-US" w:eastAsia="ja-JP"/>
        </w:rPr>
        <w:t>] Draft P802.11ay D</w:t>
      </w:r>
      <w:r w:rsidR="51DC68D4" w:rsidRPr="26011B79">
        <w:rPr>
          <w:rFonts w:eastAsia="ＭＳ 明朝"/>
          <w:lang w:val="en-US" w:eastAsia="ja-JP"/>
        </w:rPr>
        <w:t>5</w:t>
      </w:r>
      <w:r w:rsidR="007E2CDA" w:rsidRPr="26011B79">
        <w:rPr>
          <w:rFonts w:eastAsia="ＭＳ 明朝"/>
          <w:lang w:val="en-US" w:eastAsia="ja-JP"/>
        </w:rPr>
        <w:t>.0</w:t>
      </w:r>
    </w:p>
    <w:p w14:paraId="41C3A6E3" w14:textId="635BDF5A" w:rsidR="00B5341A" w:rsidRDefault="00B5341A" w:rsidP="003346F8">
      <w:pPr>
        <w:autoSpaceDE w:val="0"/>
        <w:autoSpaceDN w:val="0"/>
        <w:adjustRightInd w:val="0"/>
        <w:jc w:val="left"/>
        <w:rPr>
          <w:rFonts w:eastAsia="ＭＳ 明朝"/>
          <w:szCs w:val="22"/>
          <w:lang w:val="en-US" w:eastAsia="ja-JP"/>
        </w:rPr>
      </w:pPr>
      <w:r>
        <w:rPr>
          <w:rFonts w:eastAsia="ＭＳ 明朝"/>
          <w:szCs w:val="22"/>
          <w:lang w:val="en-US" w:eastAsia="ja-JP"/>
        </w:rPr>
        <w:t>[2] Draft P802.11REVmd D4.0</w:t>
      </w:r>
    </w:p>
    <w:p w14:paraId="5694594F" w14:textId="06A270FB" w:rsidR="00A77905" w:rsidRDefault="00A77905" w:rsidP="003346F8">
      <w:pPr>
        <w:autoSpaceDE w:val="0"/>
        <w:autoSpaceDN w:val="0"/>
        <w:adjustRightInd w:val="0"/>
        <w:jc w:val="left"/>
        <w:rPr>
          <w:rFonts w:eastAsia="ＭＳ 明朝"/>
          <w:szCs w:val="22"/>
          <w:lang w:val="en-US" w:eastAsia="ja-JP"/>
        </w:rPr>
      </w:pPr>
      <w:r w:rsidRPr="26011B79">
        <w:rPr>
          <w:rFonts w:eastAsia="ＭＳ 明朝"/>
          <w:lang w:val="en-US" w:eastAsia="ja-JP"/>
        </w:rPr>
        <w:t>[3] 11-20/1162r2 OCB for 60GHz</w:t>
      </w:r>
    </w:p>
    <w:p w14:paraId="6111D616" w14:textId="7100EC0D" w:rsidR="00A77905" w:rsidRDefault="09E3F326" w:rsidP="26011B79">
      <w:pPr>
        <w:autoSpaceDE w:val="0"/>
        <w:autoSpaceDN w:val="0"/>
        <w:adjustRightInd w:val="0"/>
        <w:jc w:val="left"/>
        <w:rPr>
          <w:rFonts w:eastAsia="ＭＳ 明朝"/>
          <w:lang w:val="en-US" w:eastAsia="ja-JP"/>
        </w:rPr>
      </w:pPr>
      <w:r w:rsidRPr="26011B79">
        <w:rPr>
          <w:rFonts w:eastAsia="ＭＳ 明朝"/>
          <w:lang w:val="en-US" w:eastAsia="ja-JP"/>
        </w:rPr>
        <w:t>[</w:t>
      </w:r>
      <w:r w:rsidR="00CE0065">
        <w:rPr>
          <w:rFonts w:eastAsia="ＭＳ 明朝" w:hint="eastAsia"/>
          <w:lang w:val="en-US" w:eastAsia="ja-JP"/>
        </w:rPr>
        <w:t>4</w:t>
      </w:r>
      <w:r w:rsidRPr="26011B79">
        <w:rPr>
          <w:rFonts w:eastAsia="ＭＳ 明朝"/>
          <w:lang w:val="en-US" w:eastAsia="ja-JP"/>
        </w:rPr>
        <w:t>]</w:t>
      </w:r>
      <w:r w:rsidR="00BC31C4" w:rsidRPr="26011B79">
        <w:rPr>
          <w:rFonts w:eastAsia="ＭＳ 明朝"/>
          <w:lang w:val="en-US" w:eastAsia="ja-JP"/>
        </w:rPr>
        <w:t xml:space="preserve"> </w:t>
      </w:r>
      <w:r w:rsidR="00720068" w:rsidRPr="26011B79">
        <w:rPr>
          <w:rFonts w:eastAsia="ＭＳ 明朝"/>
          <w:lang w:val="en-US" w:eastAsia="ja-JP"/>
        </w:rPr>
        <w:t>11-20/0731r2 Comment Resolution D0.3 CID0099</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6E06A4CC" w14:textId="24EA290E" w:rsidR="00CE0065" w:rsidRDefault="00CE0065">
      <w:pPr>
        <w:pStyle w:val="a9"/>
      </w:pPr>
      <w:r>
        <w:rPr>
          <w:rFonts w:eastAsia="ＭＳ 明朝"/>
          <w:lang w:val="en-US" w:eastAsia="ja-JP"/>
        </w:rPr>
        <w:t xml:space="preserve">reference: [4] </w:t>
      </w:r>
      <w:r>
        <w:rPr>
          <w:rStyle w:val="a8"/>
        </w:rPr>
        <w:annotationRef/>
      </w:r>
      <w:r w:rsidRPr="26011B79">
        <w:rPr>
          <w:rFonts w:eastAsia="ＭＳ 明朝"/>
          <w:lang w:val="en-US" w:eastAsia="ja-JP"/>
        </w:rPr>
        <w:t>11-20/0731r2 Comment Resolution D0.3 CID0099</w:t>
      </w:r>
    </w:p>
  </w:comment>
  <w:comment w:id="2" w:author="作成者" w:initials="A">
    <w:p w14:paraId="340C6EDA" w14:textId="7F725841" w:rsidR="00D34159" w:rsidRPr="00D34159" w:rsidRDefault="00D34159">
      <w:pPr>
        <w:pStyle w:val="a9"/>
        <w:rPr>
          <w:rFonts w:eastAsia="ＭＳ 明朝"/>
          <w:lang w:eastAsia="ja-JP"/>
        </w:rPr>
      </w:pPr>
      <w:r>
        <w:rPr>
          <w:rStyle w:val="a8"/>
        </w:rPr>
        <w:annotationRef/>
      </w:r>
      <w:r>
        <w:rPr>
          <w:rFonts w:eastAsia="ＭＳ 明朝" w:hint="eastAsia"/>
          <w:lang w:eastAsia="ja-JP"/>
        </w:rPr>
        <w:t>REV</w:t>
      </w:r>
      <w:r>
        <w:rPr>
          <w:rFonts w:eastAsia="ＭＳ 明朝"/>
          <w:lang w:eastAsia="ja-JP"/>
        </w:rPr>
        <w:t>md D4.0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06A4CC" w15:done="0"/>
  <w15:commentEx w15:paraId="340C6E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031C" w14:textId="77777777" w:rsidR="00C57C1B" w:rsidRDefault="00C57C1B">
      <w:r>
        <w:separator/>
      </w:r>
    </w:p>
  </w:endnote>
  <w:endnote w:type="continuationSeparator" w:id="0">
    <w:p w14:paraId="25F3C5DA" w14:textId="77777777" w:rsidR="00C57C1B" w:rsidRDefault="00C5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E1EA" w14:textId="77777777" w:rsidR="00F110CB" w:rsidRDefault="00F11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5F504EB" w:rsidR="008D2619" w:rsidRDefault="00C57C1B">
    <w:pPr>
      <w:pStyle w:val="a4"/>
      <w:tabs>
        <w:tab w:val="clear" w:pos="6480"/>
        <w:tab w:val="center" w:pos="4680"/>
        <w:tab w:val="right" w:pos="9360"/>
      </w:tabs>
    </w:pPr>
    <w:r>
      <w:fldChar w:fldCharType="begin"/>
    </w:r>
    <w:r>
      <w:instrText>SUBJECT  \* MERGEFORMAT</w:instrText>
    </w:r>
    <w:r>
      <w:fldChar w:fldCharType="separate"/>
    </w:r>
    <w:r w:rsidR="008D2619">
      <w:t>Submission</w:t>
    </w:r>
    <w:r>
      <w:fldChar w:fldCharType="end"/>
    </w:r>
    <w:r w:rsidR="008D2619">
      <w:tab/>
      <w:t xml:space="preserve">page </w:t>
    </w:r>
    <w:r w:rsidR="008D2619">
      <w:fldChar w:fldCharType="begin"/>
    </w:r>
    <w:r w:rsidR="008D2619">
      <w:instrText xml:space="preserve">page </w:instrText>
    </w:r>
    <w:r w:rsidR="008D2619">
      <w:fldChar w:fldCharType="separate"/>
    </w:r>
    <w:r w:rsidR="0084781B">
      <w:rPr>
        <w:noProof/>
      </w:rPr>
      <w:t>4</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9149" w14:textId="77777777" w:rsidR="00F110CB" w:rsidRDefault="00F110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95005" w14:textId="77777777" w:rsidR="00C57C1B" w:rsidRDefault="00C57C1B">
      <w:r>
        <w:separator/>
      </w:r>
    </w:p>
  </w:footnote>
  <w:footnote w:type="continuationSeparator" w:id="0">
    <w:p w14:paraId="6F5A4086" w14:textId="77777777" w:rsidR="00C57C1B" w:rsidRDefault="00C5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E2A9" w14:textId="77777777" w:rsidR="00F110CB" w:rsidRDefault="00F110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16DC8FA3" w:rsidR="008D2619" w:rsidRPr="00547B1B" w:rsidRDefault="007F6342">
    <w:pPr>
      <w:pStyle w:val="a5"/>
      <w:tabs>
        <w:tab w:val="clear" w:pos="6480"/>
        <w:tab w:val="center" w:pos="4680"/>
        <w:tab w:val="right" w:pos="9360"/>
      </w:tabs>
      <w:rPr>
        <w:rFonts w:eastAsia="ＭＳ 明朝"/>
        <w:lang w:eastAsia="ja-JP"/>
      </w:rPr>
    </w:pPr>
    <w:r>
      <w:rPr>
        <w:rFonts w:eastAsia="ＭＳ 明朝" w:hint="eastAsia"/>
        <w:lang w:eastAsia="ja-JP"/>
      </w:rPr>
      <w:t>September</w:t>
    </w:r>
    <w:r w:rsidR="008D2619">
      <w:rPr>
        <w:rFonts w:hint="eastAsia"/>
        <w:lang w:eastAsia="zh-CN"/>
      </w:rPr>
      <w:t xml:space="preserve"> 20</w:t>
    </w:r>
    <w:r w:rsidR="00720068">
      <w:rPr>
        <w:rFonts w:eastAsia="ＭＳ 明朝"/>
        <w:lang w:eastAsia="ja-JP"/>
      </w:rPr>
      <w:t>20</w:t>
    </w:r>
    <w:r w:rsidR="008D2619">
      <w:tab/>
    </w:r>
    <w:r w:rsidR="008D2619">
      <w:tab/>
    </w:r>
    <w:r w:rsidR="00C57C1B">
      <w:fldChar w:fldCharType="begin"/>
    </w:r>
    <w:r w:rsidR="00C57C1B">
      <w:instrText>TITLE  \* MERGEFORMAT</w:instrText>
    </w:r>
    <w:r w:rsidR="00C57C1B">
      <w:fldChar w:fldCharType="separate"/>
    </w:r>
    <w:r w:rsidR="00720068">
      <w:t>doc.: IEEE 802.11-20</w:t>
    </w:r>
    <w:r w:rsidR="008D2619">
      <w:t>/</w:t>
    </w:r>
    <w:r w:rsidR="00720068">
      <w:rPr>
        <w:rFonts w:eastAsia="ＭＳ 明朝"/>
        <w:lang w:eastAsia="ja-JP"/>
      </w:rPr>
      <w:t>1301</w:t>
    </w:r>
    <w:r w:rsidR="008D2619">
      <w:rPr>
        <w:rFonts w:eastAsia="ＭＳ 明朝" w:hint="eastAsia"/>
        <w:lang w:eastAsia="ja-JP"/>
      </w:rPr>
      <w:t>r</w:t>
    </w:r>
    <w:r w:rsidR="00C57C1B">
      <w:rPr>
        <w:rFonts w:eastAsia="ＭＳ 明朝"/>
        <w:lang w:eastAsia="ja-JP"/>
      </w:rPr>
      <w:fldChar w:fldCharType="end"/>
    </w:r>
    <w:r w:rsidR="00720068">
      <w:rPr>
        <w:rFonts w:eastAsia="ＭＳ 明朝"/>
        <w:lang w:eastAsia="ja-JP"/>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D1CE" w14:textId="77777777" w:rsidR="00F110CB" w:rsidRDefault="00F110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0"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8"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1"/>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9"/>
  </w:num>
  <w:num w:numId="11">
    <w:abstractNumId w:val="21"/>
  </w:num>
  <w:num w:numId="12">
    <w:abstractNumId w:val="2"/>
  </w:num>
  <w:num w:numId="13">
    <w:abstractNumId w:val="25"/>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8"/>
  </w:num>
  <w:num w:numId="19">
    <w:abstractNumId w:val="22"/>
  </w:num>
  <w:num w:numId="20">
    <w:abstractNumId w:val="25"/>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3"/>
  </w:num>
  <w:num w:numId="22">
    <w:abstractNumId w:val="10"/>
  </w:num>
  <w:num w:numId="23">
    <w:abstractNumId w:val="16"/>
  </w:num>
  <w:num w:numId="24">
    <w:abstractNumId w:val="32"/>
  </w:num>
  <w:num w:numId="25">
    <w:abstractNumId w:val="24"/>
  </w:num>
  <w:num w:numId="26">
    <w:abstractNumId w:val="7"/>
  </w:num>
  <w:num w:numId="27">
    <w:abstractNumId w:val="13"/>
  </w:num>
  <w:num w:numId="28">
    <w:abstractNumId w:val="12"/>
  </w:num>
  <w:num w:numId="29">
    <w:abstractNumId w:val="5"/>
  </w:num>
  <w:num w:numId="30">
    <w:abstractNumId w:val="9"/>
  </w:num>
  <w:num w:numId="31">
    <w:abstractNumId w:val="20"/>
  </w:num>
  <w:num w:numId="32">
    <w:abstractNumId w:val="17"/>
  </w:num>
  <w:num w:numId="33">
    <w:abstractNumId w:val="14"/>
  </w:num>
  <w:num w:numId="34">
    <w:abstractNumId w:val="30"/>
  </w:num>
  <w:num w:numId="35">
    <w:abstractNumId w:val="18"/>
  </w:num>
  <w:num w:numId="36">
    <w:abstractNumId w:val="28"/>
  </w:num>
  <w:num w:numId="37">
    <w:abstractNumId w:val="15"/>
  </w:num>
  <w:num w:numId="38">
    <w:abstractNumId w:val="29"/>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17ED"/>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D97"/>
    <w:rsid w:val="00416503"/>
    <w:rsid w:val="00416BE3"/>
    <w:rsid w:val="00416C5E"/>
    <w:rsid w:val="00422303"/>
    <w:rsid w:val="004224E2"/>
    <w:rsid w:val="00425B89"/>
    <w:rsid w:val="00426951"/>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1B"/>
    <w:rsid w:val="008478D0"/>
    <w:rsid w:val="00851917"/>
    <w:rsid w:val="00852179"/>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32D2"/>
    <w:rsid w:val="00C34B68"/>
    <w:rsid w:val="00C36874"/>
    <w:rsid w:val="00C36C18"/>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57C1B"/>
    <w:rsid w:val="00C604D2"/>
    <w:rsid w:val="00C61759"/>
    <w:rsid w:val="00C63928"/>
    <w:rsid w:val="00C63B1E"/>
    <w:rsid w:val="00C651A7"/>
    <w:rsid w:val="00C65D74"/>
    <w:rsid w:val="00C66744"/>
    <w:rsid w:val="00C675FF"/>
    <w:rsid w:val="00C677D7"/>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53C693A-993C-4FA0-B9C4-C504FA49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2020-09-07T09:06:00Z</dcterms:created>
  <dcterms:modified xsi:type="dcterms:W3CDTF">2020-09-07T09:07:00Z</dcterms:modified>
</cp:coreProperties>
</file>