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1ADA6E9" w:rsidR="008717CE" w:rsidRPr="00183F4C" w:rsidRDefault="00DE584F" w:rsidP="008717CE">
            <w:pPr>
              <w:pStyle w:val="T2"/>
              <w:rPr>
                <w:lang w:eastAsia="ko-KR"/>
              </w:rPr>
            </w:pPr>
            <w:r>
              <w:rPr>
                <w:lang w:eastAsia="ko-KR"/>
              </w:rPr>
              <w:t>Comment resolutions for</w:t>
            </w:r>
            <w:r w:rsidR="000A3567">
              <w:rPr>
                <w:lang w:eastAsia="ko-KR"/>
              </w:rPr>
              <w:t xml:space="preserve"> </w:t>
            </w:r>
            <w:r w:rsidR="00B07571">
              <w:rPr>
                <w:lang w:eastAsia="ko-KR"/>
              </w:rPr>
              <w:t>The Last of the CIDs – Plan B</w:t>
            </w:r>
          </w:p>
        </w:tc>
      </w:tr>
      <w:tr w:rsidR="00DE584F" w:rsidRPr="00183F4C" w14:paraId="2321CEA9" w14:textId="77777777" w:rsidTr="00E37786">
        <w:trPr>
          <w:trHeight w:val="359"/>
          <w:jc w:val="center"/>
        </w:trPr>
        <w:tc>
          <w:tcPr>
            <w:tcW w:w="9576" w:type="dxa"/>
            <w:gridSpan w:val="5"/>
            <w:vAlign w:val="center"/>
          </w:tcPr>
          <w:p w14:paraId="380E9974" w14:textId="15227C69"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587CB9">
              <w:rPr>
                <w:b w:val="0"/>
                <w:sz w:val="20"/>
                <w:lang w:eastAsia="ko-KR"/>
              </w:rPr>
              <w:t>08</w:t>
            </w:r>
            <w:r>
              <w:rPr>
                <w:rFonts w:hint="eastAsia"/>
                <w:b w:val="0"/>
                <w:sz w:val="20"/>
                <w:lang w:eastAsia="ko-KR"/>
              </w:rPr>
              <w:t>-</w:t>
            </w:r>
            <w:r w:rsidR="009274C2">
              <w:rPr>
                <w:b w:val="0"/>
                <w:sz w:val="20"/>
                <w:lang w:eastAsia="ko-KR"/>
              </w:rPr>
              <w:t>1</w:t>
            </w:r>
            <w:r w:rsidR="00587CB9">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2CE07C9"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3878FA">
        <w:rPr>
          <w:lang w:eastAsia="ko-KR"/>
        </w:rPr>
        <w:t xml:space="preserve"> (33 CIDs)</w:t>
      </w:r>
      <w:r w:rsidR="00E920E1">
        <w:rPr>
          <w:lang w:eastAsia="ko-KR"/>
        </w:rPr>
        <w:t>:</w:t>
      </w:r>
    </w:p>
    <w:p w14:paraId="2E8C4C4E" w14:textId="77777777" w:rsidR="003878FA" w:rsidRDefault="003878FA" w:rsidP="008553E7">
      <w:pPr>
        <w:pStyle w:val="ListParagraph"/>
        <w:numPr>
          <w:ilvl w:val="0"/>
          <w:numId w:val="30"/>
        </w:numPr>
        <w:ind w:leftChars="0"/>
        <w:jc w:val="both"/>
        <w:rPr>
          <w:lang w:eastAsia="ko-KR"/>
        </w:rPr>
      </w:pPr>
      <w:r w:rsidRPr="00CD4080">
        <w:rPr>
          <w:highlight w:val="yellow"/>
          <w:lang w:eastAsia="ko-KR"/>
        </w:rPr>
        <w:t>24002</w:t>
      </w:r>
      <w:r>
        <w:rPr>
          <w:lang w:eastAsia="ko-KR"/>
        </w:rPr>
        <w:t xml:space="preserve">, 24033, </w:t>
      </w:r>
      <w:r w:rsidRPr="00CD4080">
        <w:rPr>
          <w:highlight w:val="yellow"/>
          <w:lang w:eastAsia="ko-KR"/>
        </w:rPr>
        <w:t>24037</w:t>
      </w:r>
      <w:r>
        <w:rPr>
          <w:lang w:eastAsia="ko-KR"/>
        </w:rPr>
        <w:t xml:space="preserve">, 24083, </w:t>
      </w:r>
      <w:r w:rsidRPr="00CD4080">
        <w:rPr>
          <w:highlight w:val="yellow"/>
          <w:lang w:eastAsia="ko-KR"/>
        </w:rPr>
        <w:t>24102</w:t>
      </w:r>
      <w:r>
        <w:rPr>
          <w:lang w:eastAsia="ko-KR"/>
        </w:rPr>
        <w:t xml:space="preserve">, 24143, </w:t>
      </w:r>
      <w:r w:rsidRPr="00CD4080">
        <w:rPr>
          <w:highlight w:val="yellow"/>
          <w:lang w:eastAsia="ko-KR"/>
        </w:rPr>
        <w:t>24209</w:t>
      </w:r>
      <w:r>
        <w:rPr>
          <w:lang w:eastAsia="ko-KR"/>
        </w:rPr>
        <w:t xml:space="preserve">, </w:t>
      </w:r>
      <w:r w:rsidRPr="00CD4080">
        <w:rPr>
          <w:highlight w:val="yellow"/>
          <w:lang w:eastAsia="ko-KR"/>
        </w:rPr>
        <w:t>24211</w:t>
      </w:r>
      <w:r>
        <w:rPr>
          <w:lang w:eastAsia="ko-KR"/>
        </w:rPr>
        <w:t xml:space="preserve">, </w:t>
      </w:r>
      <w:r w:rsidRPr="00CD4080">
        <w:rPr>
          <w:highlight w:val="yellow"/>
          <w:lang w:eastAsia="ko-KR"/>
        </w:rPr>
        <w:t>24212</w:t>
      </w:r>
      <w:r>
        <w:rPr>
          <w:lang w:eastAsia="ko-KR"/>
        </w:rPr>
        <w:t xml:space="preserve">, 24227, </w:t>
      </w:r>
    </w:p>
    <w:p w14:paraId="0F5A5438" w14:textId="77777777" w:rsidR="003878FA" w:rsidRDefault="003878FA" w:rsidP="006218F9">
      <w:pPr>
        <w:pStyle w:val="ListParagraph"/>
        <w:numPr>
          <w:ilvl w:val="0"/>
          <w:numId w:val="30"/>
        </w:numPr>
        <w:ind w:leftChars="0"/>
        <w:jc w:val="both"/>
        <w:rPr>
          <w:lang w:eastAsia="ko-KR"/>
        </w:rPr>
      </w:pPr>
      <w:r w:rsidRPr="00CD4080">
        <w:rPr>
          <w:highlight w:val="yellow"/>
          <w:lang w:eastAsia="ko-KR"/>
        </w:rPr>
        <w:t>24297</w:t>
      </w:r>
      <w:r>
        <w:rPr>
          <w:lang w:eastAsia="ko-KR"/>
        </w:rPr>
        <w:t xml:space="preserve">, </w:t>
      </w:r>
      <w:r w:rsidRPr="00CD4080">
        <w:rPr>
          <w:highlight w:val="yellow"/>
          <w:lang w:eastAsia="ko-KR"/>
        </w:rPr>
        <w:t>24302</w:t>
      </w:r>
      <w:r>
        <w:rPr>
          <w:lang w:eastAsia="ko-KR"/>
        </w:rPr>
        <w:t xml:space="preserve">, </w:t>
      </w:r>
      <w:r w:rsidRPr="00CD4080">
        <w:rPr>
          <w:highlight w:val="yellow"/>
          <w:lang w:eastAsia="ko-KR"/>
        </w:rPr>
        <w:t>24371</w:t>
      </w:r>
      <w:r>
        <w:rPr>
          <w:lang w:eastAsia="ko-KR"/>
        </w:rPr>
        <w:t xml:space="preserve">, </w:t>
      </w:r>
      <w:r w:rsidRPr="00CD4080">
        <w:rPr>
          <w:highlight w:val="yellow"/>
          <w:lang w:eastAsia="ko-KR"/>
        </w:rPr>
        <w:t>24374</w:t>
      </w:r>
      <w:r>
        <w:rPr>
          <w:lang w:eastAsia="ko-KR"/>
        </w:rPr>
        <w:t xml:space="preserve">, </w:t>
      </w:r>
      <w:r w:rsidRPr="00CD4080">
        <w:rPr>
          <w:highlight w:val="yellow"/>
          <w:lang w:eastAsia="ko-KR"/>
        </w:rPr>
        <w:t>24402</w:t>
      </w:r>
      <w:r>
        <w:rPr>
          <w:lang w:eastAsia="ko-KR"/>
        </w:rPr>
        <w:t xml:space="preserve">, </w:t>
      </w:r>
      <w:r w:rsidRPr="00CD4080">
        <w:rPr>
          <w:highlight w:val="yellow"/>
          <w:lang w:eastAsia="ko-KR"/>
        </w:rPr>
        <w:t>24403</w:t>
      </w:r>
      <w:r>
        <w:rPr>
          <w:lang w:eastAsia="ko-KR"/>
        </w:rPr>
        <w:t xml:space="preserve">, </w:t>
      </w:r>
      <w:r w:rsidRPr="00CD4080">
        <w:rPr>
          <w:highlight w:val="yellow"/>
          <w:lang w:eastAsia="ko-KR"/>
        </w:rPr>
        <w:t>24404</w:t>
      </w:r>
      <w:r>
        <w:rPr>
          <w:lang w:eastAsia="ko-KR"/>
        </w:rPr>
        <w:t xml:space="preserve">, </w:t>
      </w:r>
      <w:r w:rsidRPr="00CD4080">
        <w:rPr>
          <w:highlight w:val="yellow"/>
          <w:lang w:eastAsia="ko-KR"/>
        </w:rPr>
        <w:t>24408</w:t>
      </w:r>
      <w:r>
        <w:rPr>
          <w:lang w:eastAsia="ko-KR"/>
        </w:rPr>
        <w:t xml:space="preserve">, </w:t>
      </w:r>
      <w:r w:rsidRPr="00CD4080">
        <w:rPr>
          <w:highlight w:val="yellow"/>
          <w:lang w:eastAsia="ko-KR"/>
        </w:rPr>
        <w:t>24417</w:t>
      </w:r>
      <w:r>
        <w:rPr>
          <w:lang w:eastAsia="ko-KR"/>
        </w:rPr>
        <w:t xml:space="preserve">, </w:t>
      </w:r>
      <w:r w:rsidRPr="00CD4080">
        <w:rPr>
          <w:highlight w:val="yellow"/>
          <w:lang w:eastAsia="ko-KR"/>
        </w:rPr>
        <w:t>24418</w:t>
      </w:r>
      <w:r>
        <w:rPr>
          <w:lang w:eastAsia="ko-KR"/>
        </w:rPr>
        <w:t xml:space="preserve">, </w:t>
      </w:r>
    </w:p>
    <w:p w14:paraId="08CA9A46" w14:textId="77777777" w:rsidR="003878FA" w:rsidRDefault="003878FA" w:rsidP="006C2F4D">
      <w:pPr>
        <w:pStyle w:val="ListParagraph"/>
        <w:numPr>
          <w:ilvl w:val="0"/>
          <w:numId w:val="30"/>
        </w:numPr>
        <w:ind w:leftChars="0"/>
        <w:jc w:val="both"/>
        <w:rPr>
          <w:lang w:eastAsia="ko-KR"/>
        </w:rPr>
      </w:pPr>
      <w:r w:rsidRPr="00CD4080">
        <w:rPr>
          <w:highlight w:val="yellow"/>
          <w:lang w:eastAsia="ko-KR"/>
        </w:rPr>
        <w:t>24425</w:t>
      </w:r>
      <w:r>
        <w:rPr>
          <w:lang w:eastAsia="ko-KR"/>
        </w:rPr>
        <w:t xml:space="preserve">, </w:t>
      </w:r>
      <w:r w:rsidRPr="00CD4080">
        <w:rPr>
          <w:highlight w:val="yellow"/>
          <w:lang w:eastAsia="ko-KR"/>
        </w:rPr>
        <w:t>24426</w:t>
      </w:r>
      <w:r>
        <w:rPr>
          <w:lang w:eastAsia="ko-KR"/>
        </w:rPr>
        <w:t xml:space="preserve">, </w:t>
      </w:r>
      <w:r w:rsidRPr="00CD4080">
        <w:rPr>
          <w:highlight w:val="yellow"/>
          <w:lang w:eastAsia="ko-KR"/>
        </w:rPr>
        <w:t>24429</w:t>
      </w:r>
      <w:r>
        <w:rPr>
          <w:lang w:eastAsia="ko-KR"/>
        </w:rPr>
        <w:t xml:space="preserve">, </w:t>
      </w:r>
      <w:r w:rsidRPr="00CD4080">
        <w:rPr>
          <w:highlight w:val="yellow"/>
          <w:lang w:eastAsia="ko-KR"/>
        </w:rPr>
        <w:t>24465</w:t>
      </w:r>
      <w:r>
        <w:rPr>
          <w:lang w:eastAsia="ko-KR"/>
        </w:rPr>
        <w:t xml:space="preserve">, </w:t>
      </w:r>
      <w:r w:rsidRPr="00CD4080">
        <w:rPr>
          <w:highlight w:val="yellow"/>
          <w:lang w:eastAsia="ko-KR"/>
        </w:rPr>
        <w:t>24485</w:t>
      </w:r>
      <w:r>
        <w:rPr>
          <w:lang w:eastAsia="ko-KR"/>
        </w:rPr>
        <w:t xml:space="preserve">, </w:t>
      </w:r>
      <w:r w:rsidRPr="00CD4080">
        <w:rPr>
          <w:highlight w:val="yellow"/>
          <w:lang w:eastAsia="ko-KR"/>
        </w:rPr>
        <w:t>24487</w:t>
      </w:r>
      <w:r>
        <w:rPr>
          <w:lang w:eastAsia="ko-KR"/>
        </w:rPr>
        <w:t xml:space="preserve">, </w:t>
      </w:r>
      <w:r w:rsidRPr="00CD4080">
        <w:rPr>
          <w:highlight w:val="yellow"/>
          <w:lang w:eastAsia="ko-KR"/>
        </w:rPr>
        <w:t>24526</w:t>
      </w:r>
      <w:r>
        <w:rPr>
          <w:lang w:eastAsia="ko-KR"/>
        </w:rPr>
        <w:t xml:space="preserve">, </w:t>
      </w:r>
      <w:r w:rsidRPr="00CD4080">
        <w:rPr>
          <w:highlight w:val="yellow"/>
          <w:lang w:eastAsia="ko-KR"/>
        </w:rPr>
        <w:t>24527</w:t>
      </w:r>
      <w:r>
        <w:rPr>
          <w:lang w:eastAsia="ko-KR"/>
        </w:rPr>
        <w:t xml:space="preserve">, </w:t>
      </w:r>
      <w:r w:rsidRPr="00CD4080">
        <w:rPr>
          <w:highlight w:val="yellow"/>
          <w:lang w:eastAsia="ko-KR"/>
        </w:rPr>
        <w:t>24540</w:t>
      </w:r>
      <w:r>
        <w:rPr>
          <w:lang w:eastAsia="ko-KR"/>
        </w:rPr>
        <w:t xml:space="preserve">, </w:t>
      </w:r>
      <w:r w:rsidRPr="00CD4080">
        <w:rPr>
          <w:highlight w:val="yellow"/>
          <w:lang w:eastAsia="ko-KR"/>
        </w:rPr>
        <w:t>24541</w:t>
      </w:r>
      <w:r>
        <w:rPr>
          <w:lang w:eastAsia="ko-KR"/>
        </w:rPr>
        <w:t xml:space="preserve">, </w:t>
      </w:r>
    </w:p>
    <w:p w14:paraId="1EA5DA1B" w14:textId="35473BB7" w:rsidR="003878FA" w:rsidRPr="004A5357" w:rsidRDefault="003878FA" w:rsidP="006C2F4D">
      <w:pPr>
        <w:pStyle w:val="ListParagraph"/>
        <w:numPr>
          <w:ilvl w:val="0"/>
          <w:numId w:val="30"/>
        </w:numPr>
        <w:ind w:leftChars="0"/>
        <w:jc w:val="both"/>
        <w:rPr>
          <w:lang w:eastAsia="ko-KR"/>
        </w:rPr>
      </w:pPr>
      <w:r>
        <w:rPr>
          <w:lang w:eastAsia="ko-KR"/>
        </w:rPr>
        <w:t>24552, 24566, 24567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24920570" w14:textId="1CE63367" w:rsidR="005E768D" w:rsidRPr="004D2D75" w:rsidRDefault="00BA6C7C" w:rsidP="000E26C5">
      <w:pPr>
        <w:pStyle w:val="ListParagraph"/>
        <w:numPr>
          <w:ilvl w:val="0"/>
          <w:numId w:val="9"/>
        </w:numPr>
        <w:ind w:leftChars="0"/>
        <w:jc w:val="both"/>
      </w:pPr>
      <w:r>
        <w:t xml:space="preserve">Rev 0: </w:t>
      </w:r>
      <w:r w:rsidR="00ED52FE">
        <w:t>Initial version of the document.</w:t>
      </w:r>
      <w:r w:rsidR="00794892">
        <w:t xml:space="preserve"> </w:t>
      </w:r>
      <w:r w:rsidR="00F10374">
        <w:t xml:space="preserve">The document contains all CIDs that are currently not resolved (as per 241r14, excluding my CIDs for which a separate document is prepared). </w:t>
      </w:r>
      <w:r w:rsidR="00EA3A06">
        <w:t xml:space="preserve">CIDs that are not highlighted in </w:t>
      </w:r>
      <w:r w:rsidR="00EA3A06" w:rsidRPr="001D4078">
        <w:rPr>
          <w:highlight w:val="yellow"/>
        </w:rPr>
        <w:t>yellow</w:t>
      </w:r>
      <w:r w:rsidR="00EA3A06">
        <w:t xml:space="preserve"> have a proposed resolution, while those highlighted in </w:t>
      </w:r>
      <w:r w:rsidR="00EA3A06" w:rsidRPr="001D4078">
        <w:rPr>
          <w:highlight w:val="yellow"/>
        </w:rPr>
        <w:t>yellow</w:t>
      </w:r>
      <w:r w:rsidR="00EA3A06">
        <w:t xml:space="preserve"> do not have a proposed resolution. Check with assignees (located in proposed resolution tab &lt;assignee&gt; </w:t>
      </w:r>
      <w:r w:rsidR="00F10374">
        <w:t>status of resolution</w:t>
      </w:r>
      <w:r w:rsidR="00EA3A06">
        <w:t>.</w:t>
      </w:r>
    </w:p>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C56D83A" w14:textId="1AB1F041" w:rsidR="001E29A2" w:rsidRDefault="001E29A2" w:rsidP="00F2637D"/>
    <w:p w14:paraId="375AB685" w14:textId="2E18DC0B" w:rsidR="001E29A2" w:rsidRDefault="001E29A2" w:rsidP="00F2637D"/>
    <w:tbl>
      <w:tblPr>
        <w:tblStyle w:val="TableGrid"/>
        <w:tblW w:w="10795" w:type="dxa"/>
        <w:tblLayout w:type="fixed"/>
        <w:tblLook w:val="04A0" w:firstRow="1" w:lastRow="0" w:firstColumn="1" w:lastColumn="0" w:noHBand="0" w:noVBand="1"/>
      </w:tblPr>
      <w:tblGrid>
        <w:gridCol w:w="625"/>
        <w:gridCol w:w="720"/>
        <w:gridCol w:w="450"/>
        <w:gridCol w:w="450"/>
        <w:gridCol w:w="540"/>
        <w:gridCol w:w="1710"/>
        <w:gridCol w:w="2430"/>
        <w:gridCol w:w="3870"/>
      </w:tblGrid>
      <w:tr w:rsidR="0017025A" w:rsidRPr="00F272E2" w14:paraId="45891D48" w14:textId="77777777" w:rsidTr="00802F85">
        <w:trPr>
          <w:trHeight w:val="278"/>
        </w:trPr>
        <w:tc>
          <w:tcPr>
            <w:tcW w:w="625" w:type="dxa"/>
            <w:hideMark/>
          </w:tcPr>
          <w:p w14:paraId="2E7A1F0B" w14:textId="77777777" w:rsidR="00F272E2" w:rsidRPr="00F272E2" w:rsidRDefault="00F272E2">
            <w:pPr>
              <w:rPr>
                <w:b/>
                <w:bCs/>
                <w:lang w:val="en-US"/>
              </w:rPr>
            </w:pPr>
            <w:r w:rsidRPr="00F272E2">
              <w:rPr>
                <w:b/>
                <w:bCs/>
              </w:rPr>
              <w:t>CID</w:t>
            </w:r>
          </w:p>
        </w:tc>
        <w:tc>
          <w:tcPr>
            <w:tcW w:w="720" w:type="dxa"/>
            <w:hideMark/>
          </w:tcPr>
          <w:p w14:paraId="1E05B234" w14:textId="77777777" w:rsidR="00F272E2" w:rsidRPr="00F272E2" w:rsidRDefault="00F272E2">
            <w:pPr>
              <w:rPr>
                <w:b/>
                <w:bCs/>
              </w:rPr>
            </w:pPr>
            <w:r w:rsidRPr="00F272E2">
              <w:rPr>
                <w:b/>
                <w:bCs/>
              </w:rPr>
              <w:t>Commenter</w:t>
            </w:r>
          </w:p>
        </w:tc>
        <w:tc>
          <w:tcPr>
            <w:tcW w:w="450" w:type="dxa"/>
            <w:hideMark/>
          </w:tcPr>
          <w:p w14:paraId="0AB1B57F" w14:textId="496EEF8B" w:rsidR="00F272E2" w:rsidRPr="00F272E2" w:rsidRDefault="00F272E2">
            <w:pPr>
              <w:rPr>
                <w:b/>
                <w:bCs/>
              </w:rPr>
            </w:pPr>
            <w:r w:rsidRPr="00F272E2">
              <w:rPr>
                <w:b/>
                <w:bCs/>
              </w:rPr>
              <w:t>Page</w:t>
            </w:r>
          </w:p>
        </w:tc>
        <w:tc>
          <w:tcPr>
            <w:tcW w:w="450" w:type="dxa"/>
            <w:hideMark/>
          </w:tcPr>
          <w:p w14:paraId="5E8C77E4" w14:textId="12ABCBB5" w:rsidR="00F272E2" w:rsidRPr="00F272E2" w:rsidRDefault="00F272E2">
            <w:pPr>
              <w:rPr>
                <w:b/>
                <w:bCs/>
              </w:rPr>
            </w:pPr>
            <w:r w:rsidRPr="00F272E2">
              <w:rPr>
                <w:b/>
                <w:bCs/>
              </w:rPr>
              <w:t>Line</w:t>
            </w:r>
          </w:p>
        </w:tc>
        <w:tc>
          <w:tcPr>
            <w:tcW w:w="540" w:type="dxa"/>
            <w:hideMark/>
          </w:tcPr>
          <w:p w14:paraId="4F7A273F" w14:textId="77777777" w:rsidR="00F272E2" w:rsidRPr="00F272E2" w:rsidRDefault="00F272E2">
            <w:pPr>
              <w:rPr>
                <w:b/>
                <w:bCs/>
              </w:rPr>
            </w:pPr>
            <w:r w:rsidRPr="00F272E2">
              <w:rPr>
                <w:b/>
                <w:bCs/>
              </w:rPr>
              <w:t>Clause</w:t>
            </w:r>
          </w:p>
        </w:tc>
        <w:tc>
          <w:tcPr>
            <w:tcW w:w="1710" w:type="dxa"/>
            <w:hideMark/>
          </w:tcPr>
          <w:p w14:paraId="27E1EA0E" w14:textId="77777777" w:rsidR="00F272E2" w:rsidRPr="00F272E2" w:rsidRDefault="00F272E2">
            <w:pPr>
              <w:rPr>
                <w:b/>
                <w:bCs/>
              </w:rPr>
            </w:pPr>
            <w:r w:rsidRPr="00F272E2">
              <w:rPr>
                <w:b/>
                <w:bCs/>
              </w:rPr>
              <w:t>Comment</w:t>
            </w:r>
          </w:p>
        </w:tc>
        <w:tc>
          <w:tcPr>
            <w:tcW w:w="2430" w:type="dxa"/>
            <w:hideMark/>
          </w:tcPr>
          <w:p w14:paraId="20DCEFE8" w14:textId="77777777" w:rsidR="00F272E2" w:rsidRPr="00F272E2" w:rsidRDefault="00F272E2">
            <w:pPr>
              <w:rPr>
                <w:b/>
                <w:bCs/>
              </w:rPr>
            </w:pPr>
            <w:r w:rsidRPr="00F272E2">
              <w:rPr>
                <w:b/>
                <w:bCs/>
              </w:rPr>
              <w:t>Proposed Change</w:t>
            </w:r>
          </w:p>
        </w:tc>
        <w:tc>
          <w:tcPr>
            <w:tcW w:w="3870" w:type="dxa"/>
            <w:hideMark/>
          </w:tcPr>
          <w:p w14:paraId="56EC626F" w14:textId="77777777" w:rsidR="00F272E2" w:rsidRPr="00F272E2" w:rsidRDefault="00F272E2">
            <w:pPr>
              <w:rPr>
                <w:b/>
                <w:bCs/>
              </w:rPr>
            </w:pPr>
            <w:r w:rsidRPr="00F272E2">
              <w:rPr>
                <w:b/>
                <w:bCs/>
              </w:rPr>
              <w:t>Resolution</w:t>
            </w:r>
          </w:p>
        </w:tc>
      </w:tr>
      <w:tr w:rsidR="0017025A" w:rsidRPr="00F272E2" w14:paraId="32257CD9" w14:textId="77777777" w:rsidTr="00802F85">
        <w:trPr>
          <w:trHeight w:val="1530"/>
        </w:trPr>
        <w:tc>
          <w:tcPr>
            <w:tcW w:w="625" w:type="dxa"/>
            <w:hideMark/>
          </w:tcPr>
          <w:p w14:paraId="38352EA5" w14:textId="77777777" w:rsidR="00F272E2" w:rsidRPr="00C974D5" w:rsidRDefault="00F272E2" w:rsidP="00F272E2">
            <w:pPr>
              <w:rPr>
                <w:highlight w:val="yellow"/>
              </w:rPr>
            </w:pPr>
            <w:r w:rsidRPr="00C974D5">
              <w:rPr>
                <w:highlight w:val="yellow"/>
              </w:rPr>
              <w:t>24002</w:t>
            </w:r>
          </w:p>
        </w:tc>
        <w:tc>
          <w:tcPr>
            <w:tcW w:w="720" w:type="dxa"/>
            <w:hideMark/>
          </w:tcPr>
          <w:p w14:paraId="6B4B4176" w14:textId="77777777" w:rsidR="00F272E2" w:rsidRPr="00C974D5" w:rsidRDefault="00F272E2">
            <w:pPr>
              <w:rPr>
                <w:highlight w:val="yellow"/>
              </w:rPr>
            </w:pPr>
            <w:r w:rsidRPr="00C974D5">
              <w:rPr>
                <w:highlight w:val="yellow"/>
              </w:rPr>
              <w:t>Bims, Harry</w:t>
            </w:r>
          </w:p>
        </w:tc>
        <w:tc>
          <w:tcPr>
            <w:tcW w:w="450" w:type="dxa"/>
            <w:hideMark/>
          </w:tcPr>
          <w:p w14:paraId="6F040AE9" w14:textId="77777777" w:rsidR="00F272E2" w:rsidRPr="00C974D5" w:rsidRDefault="00F272E2">
            <w:pPr>
              <w:rPr>
                <w:highlight w:val="yellow"/>
              </w:rPr>
            </w:pPr>
            <w:r w:rsidRPr="00C974D5">
              <w:rPr>
                <w:highlight w:val="yellow"/>
              </w:rPr>
              <w:t>773</w:t>
            </w:r>
          </w:p>
        </w:tc>
        <w:tc>
          <w:tcPr>
            <w:tcW w:w="450" w:type="dxa"/>
            <w:hideMark/>
          </w:tcPr>
          <w:p w14:paraId="092370C1" w14:textId="77777777" w:rsidR="00F272E2" w:rsidRPr="00C974D5" w:rsidRDefault="00F272E2">
            <w:pPr>
              <w:rPr>
                <w:highlight w:val="yellow"/>
              </w:rPr>
            </w:pPr>
            <w:r w:rsidRPr="00C974D5">
              <w:rPr>
                <w:highlight w:val="yellow"/>
              </w:rPr>
              <w:t>28</w:t>
            </w:r>
          </w:p>
        </w:tc>
        <w:tc>
          <w:tcPr>
            <w:tcW w:w="540" w:type="dxa"/>
            <w:hideMark/>
          </w:tcPr>
          <w:p w14:paraId="2EE9D1A3" w14:textId="77777777" w:rsidR="00F272E2" w:rsidRPr="00C974D5" w:rsidRDefault="00F272E2">
            <w:pPr>
              <w:rPr>
                <w:highlight w:val="yellow"/>
              </w:rPr>
            </w:pPr>
            <w:r w:rsidRPr="00C974D5">
              <w:rPr>
                <w:highlight w:val="yellow"/>
              </w:rPr>
              <w:t>G.1</w:t>
            </w:r>
          </w:p>
        </w:tc>
        <w:tc>
          <w:tcPr>
            <w:tcW w:w="1710" w:type="dxa"/>
            <w:hideMark/>
          </w:tcPr>
          <w:p w14:paraId="425DF1A1" w14:textId="77777777" w:rsidR="00F272E2" w:rsidRPr="00C974D5" w:rsidRDefault="00F272E2">
            <w:pPr>
              <w:rPr>
                <w:highlight w:val="yellow"/>
              </w:rPr>
            </w:pPr>
            <w:r w:rsidRPr="00C974D5">
              <w:rPr>
                <w:highlight w:val="yellow"/>
              </w:rPr>
              <w:t>The attribute "mu-user-not-respond" should be consistent with the 11ax text change to Section G.4 that adds "HE MU PPDU"</w:t>
            </w:r>
          </w:p>
        </w:tc>
        <w:tc>
          <w:tcPr>
            <w:tcW w:w="2430" w:type="dxa"/>
            <w:hideMark/>
          </w:tcPr>
          <w:p w14:paraId="290B9198" w14:textId="77777777" w:rsidR="00F272E2" w:rsidRPr="00C974D5" w:rsidRDefault="00F272E2">
            <w:pPr>
              <w:rPr>
                <w:highlight w:val="yellow"/>
              </w:rPr>
            </w:pPr>
            <w:r w:rsidRPr="00C974D5">
              <w:rPr>
                <w:highlight w:val="yellow"/>
              </w:rPr>
              <w:t>modify the Description field of the attribute "mu-user-not-respond" by changing the text "is part of a VHT MU PPDU" to "is part of a VHT MU PPDU or HE MU PPDU"</w:t>
            </w:r>
          </w:p>
        </w:tc>
        <w:tc>
          <w:tcPr>
            <w:tcW w:w="3870" w:type="dxa"/>
            <w:hideMark/>
          </w:tcPr>
          <w:p w14:paraId="3BDD4178" w14:textId="3B9349E2" w:rsidR="00F272E2" w:rsidRPr="00C974D5" w:rsidRDefault="0051065B">
            <w:pPr>
              <w:rPr>
                <w:highlight w:val="yellow"/>
              </w:rPr>
            </w:pPr>
            <w:r w:rsidRPr="00C974D5">
              <w:rPr>
                <w:highlight w:val="yellow"/>
              </w:rPr>
              <w:t>&lt;Editor&gt;</w:t>
            </w:r>
          </w:p>
        </w:tc>
      </w:tr>
      <w:tr w:rsidR="0017025A" w:rsidRPr="00F272E2" w14:paraId="647A0944" w14:textId="77777777" w:rsidTr="00802F85">
        <w:trPr>
          <w:trHeight w:val="1275"/>
        </w:trPr>
        <w:tc>
          <w:tcPr>
            <w:tcW w:w="625" w:type="dxa"/>
            <w:hideMark/>
          </w:tcPr>
          <w:p w14:paraId="63336C05" w14:textId="77777777" w:rsidR="00F272E2" w:rsidRPr="00F272E2" w:rsidRDefault="00F272E2" w:rsidP="00F272E2">
            <w:r w:rsidRPr="00F272E2">
              <w:t>24033</w:t>
            </w:r>
          </w:p>
        </w:tc>
        <w:tc>
          <w:tcPr>
            <w:tcW w:w="720" w:type="dxa"/>
            <w:hideMark/>
          </w:tcPr>
          <w:p w14:paraId="46C3D7D4" w14:textId="77777777" w:rsidR="00F272E2" w:rsidRPr="00F272E2" w:rsidRDefault="00F272E2">
            <w:r w:rsidRPr="00F272E2">
              <w:t>Sakoda, Kazuyuki</w:t>
            </w:r>
          </w:p>
        </w:tc>
        <w:tc>
          <w:tcPr>
            <w:tcW w:w="450" w:type="dxa"/>
            <w:hideMark/>
          </w:tcPr>
          <w:p w14:paraId="3A64BA8E" w14:textId="77777777" w:rsidR="00F272E2" w:rsidRPr="00F272E2" w:rsidRDefault="00F272E2">
            <w:r w:rsidRPr="00F272E2">
              <w:t>38</w:t>
            </w:r>
          </w:p>
        </w:tc>
        <w:tc>
          <w:tcPr>
            <w:tcW w:w="450" w:type="dxa"/>
            <w:hideMark/>
          </w:tcPr>
          <w:p w14:paraId="4555B5D3" w14:textId="77777777" w:rsidR="00F272E2" w:rsidRPr="00F272E2" w:rsidRDefault="00F272E2">
            <w:r w:rsidRPr="00F272E2">
              <w:t>39</w:t>
            </w:r>
          </w:p>
        </w:tc>
        <w:tc>
          <w:tcPr>
            <w:tcW w:w="540" w:type="dxa"/>
            <w:hideMark/>
          </w:tcPr>
          <w:p w14:paraId="2B5579EC" w14:textId="77777777" w:rsidR="00F272E2" w:rsidRPr="00F272E2" w:rsidRDefault="00F272E2">
            <w:r w:rsidRPr="00F272E2">
              <w:t>3.2</w:t>
            </w:r>
          </w:p>
        </w:tc>
        <w:tc>
          <w:tcPr>
            <w:tcW w:w="1710" w:type="dxa"/>
            <w:hideMark/>
          </w:tcPr>
          <w:p w14:paraId="5179F313" w14:textId="77777777" w:rsidR="00F272E2" w:rsidRPr="00F272E2" w:rsidRDefault="00F272E2">
            <w:r w:rsidRPr="00F272E2">
              <w:t xml:space="preserve">There are references to "6 GHz STA" in the </w:t>
            </w:r>
            <w:proofErr w:type="spellStart"/>
            <w:r w:rsidRPr="00F272E2">
              <w:t>mainbody</w:t>
            </w:r>
            <w:proofErr w:type="spellEnd"/>
            <w:r w:rsidRPr="00F272E2">
              <w:t xml:space="preserve"> of the draft specification. However, 6 GHz STA is not defined in the subclause 3.</w:t>
            </w:r>
          </w:p>
        </w:tc>
        <w:tc>
          <w:tcPr>
            <w:tcW w:w="2430" w:type="dxa"/>
            <w:hideMark/>
          </w:tcPr>
          <w:p w14:paraId="4E6EF22D" w14:textId="77777777" w:rsidR="00F272E2" w:rsidRPr="00F272E2" w:rsidRDefault="00F272E2">
            <w:r w:rsidRPr="00F272E2">
              <w:t>Please define 6 GHz STA in either subclause 3.1 or 3.2. Alternatively, replace 6 GHz STA and 6 GHz AP with something else.</w:t>
            </w:r>
          </w:p>
        </w:tc>
        <w:tc>
          <w:tcPr>
            <w:tcW w:w="3870" w:type="dxa"/>
            <w:hideMark/>
          </w:tcPr>
          <w:p w14:paraId="690C07E9" w14:textId="32124D9C" w:rsidR="0051065B" w:rsidRDefault="0051065B">
            <w:r>
              <w:t>&lt;Editor&gt;</w:t>
            </w:r>
          </w:p>
          <w:p w14:paraId="0338182B" w14:textId="77777777" w:rsidR="0051065B" w:rsidRDefault="0051065B"/>
          <w:p w14:paraId="2241D8B5" w14:textId="5CC0BC7E" w:rsidR="00F272E2" w:rsidRDefault="007E61D5">
            <w:r>
              <w:t>Re</w:t>
            </w:r>
            <w:r w:rsidR="00B60868">
              <w:t>vised</w:t>
            </w:r>
            <w:r>
              <w:t xml:space="preserve"> –</w:t>
            </w:r>
          </w:p>
          <w:p w14:paraId="5411FB96" w14:textId="77777777" w:rsidR="007E61D5" w:rsidRDefault="007E61D5"/>
          <w:p w14:paraId="669E35F4" w14:textId="77777777" w:rsidR="007E61D5" w:rsidRDefault="00B60868">
            <w:r>
              <w:t xml:space="preserve">Agree in principle. </w:t>
            </w:r>
          </w:p>
          <w:p w14:paraId="40E468C8" w14:textId="77777777" w:rsidR="00B60868" w:rsidRDefault="00B60868"/>
          <w:p w14:paraId="6C607F14" w14:textId="3C81B9BF" w:rsidR="00B60868" w:rsidRDefault="00B60868">
            <w:r>
              <w:t xml:space="preserve">TGax Editor: Please insert the following </w:t>
            </w:r>
            <w:r w:rsidR="00DB5266">
              <w:t>definition in the appropriate place of subclause 3.2:</w:t>
            </w:r>
            <w:r w:rsidR="004328CB">
              <w:t xml:space="preserve"> </w:t>
            </w:r>
          </w:p>
          <w:p w14:paraId="114D7B26" w14:textId="5278C762" w:rsidR="004328CB" w:rsidRPr="00F272E2" w:rsidRDefault="004328CB" w:rsidP="00B674EA">
            <w:r>
              <w:t>6 GHz</w:t>
            </w:r>
            <w:r w:rsidR="00DB5266" w:rsidRPr="00DB5266">
              <w:t xml:space="preserve"> station (STA): A</w:t>
            </w:r>
            <w:r w:rsidR="009156B0">
              <w:t xml:space="preserve"> </w:t>
            </w:r>
            <w:r w:rsidR="00DB5266" w:rsidRPr="00DB5266">
              <w:t xml:space="preserve">STA </w:t>
            </w:r>
            <w:r w:rsidR="009156B0">
              <w:t>with dot11HE6GOptionImplemented equal to true and operating in the 6 GHz band.</w:t>
            </w:r>
          </w:p>
        </w:tc>
      </w:tr>
      <w:tr w:rsidR="0017025A" w:rsidRPr="00F272E2" w14:paraId="6646E926" w14:textId="77777777" w:rsidTr="00802F85">
        <w:trPr>
          <w:trHeight w:val="6920"/>
        </w:trPr>
        <w:tc>
          <w:tcPr>
            <w:tcW w:w="625" w:type="dxa"/>
            <w:hideMark/>
          </w:tcPr>
          <w:p w14:paraId="38C252D7" w14:textId="77777777" w:rsidR="00F272E2" w:rsidRPr="00C974D5" w:rsidRDefault="00F272E2" w:rsidP="00F272E2">
            <w:pPr>
              <w:rPr>
                <w:highlight w:val="yellow"/>
              </w:rPr>
            </w:pPr>
            <w:r w:rsidRPr="00C974D5">
              <w:rPr>
                <w:highlight w:val="yellow"/>
              </w:rPr>
              <w:lastRenderedPageBreak/>
              <w:t>24037</w:t>
            </w:r>
          </w:p>
        </w:tc>
        <w:tc>
          <w:tcPr>
            <w:tcW w:w="720" w:type="dxa"/>
            <w:hideMark/>
          </w:tcPr>
          <w:p w14:paraId="11F0D37B" w14:textId="77777777" w:rsidR="00F272E2" w:rsidRPr="00C974D5" w:rsidRDefault="00F272E2">
            <w:pPr>
              <w:rPr>
                <w:highlight w:val="yellow"/>
              </w:rPr>
            </w:pPr>
            <w:proofErr w:type="spellStart"/>
            <w:r w:rsidRPr="00C974D5">
              <w:rPr>
                <w:highlight w:val="yellow"/>
              </w:rPr>
              <w:t>Goldhamer</w:t>
            </w:r>
            <w:proofErr w:type="spellEnd"/>
            <w:r w:rsidRPr="00C974D5">
              <w:rPr>
                <w:highlight w:val="yellow"/>
              </w:rPr>
              <w:t>, Mariana</w:t>
            </w:r>
          </w:p>
        </w:tc>
        <w:tc>
          <w:tcPr>
            <w:tcW w:w="450" w:type="dxa"/>
            <w:hideMark/>
          </w:tcPr>
          <w:p w14:paraId="68B72C92" w14:textId="77777777" w:rsidR="00F272E2" w:rsidRPr="00C974D5" w:rsidRDefault="00F272E2">
            <w:pPr>
              <w:rPr>
                <w:highlight w:val="yellow"/>
              </w:rPr>
            </w:pPr>
            <w:r w:rsidRPr="00C974D5">
              <w:rPr>
                <w:highlight w:val="yellow"/>
              </w:rPr>
              <w:t>658</w:t>
            </w:r>
          </w:p>
        </w:tc>
        <w:tc>
          <w:tcPr>
            <w:tcW w:w="450" w:type="dxa"/>
            <w:hideMark/>
          </w:tcPr>
          <w:p w14:paraId="5635C39D" w14:textId="77777777" w:rsidR="00F272E2" w:rsidRPr="00C974D5" w:rsidRDefault="00F272E2">
            <w:pPr>
              <w:rPr>
                <w:highlight w:val="yellow"/>
              </w:rPr>
            </w:pPr>
          </w:p>
        </w:tc>
        <w:tc>
          <w:tcPr>
            <w:tcW w:w="540" w:type="dxa"/>
            <w:hideMark/>
          </w:tcPr>
          <w:p w14:paraId="2139ED7A" w14:textId="77777777" w:rsidR="00F272E2" w:rsidRPr="00C974D5" w:rsidRDefault="00F272E2">
            <w:pPr>
              <w:rPr>
                <w:highlight w:val="yellow"/>
              </w:rPr>
            </w:pPr>
            <w:r w:rsidRPr="00C974D5">
              <w:rPr>
                <w:highlight w:val="yellow"/>
              </w:rPr>
              <w:t>27.3.20</w:t>
            </w:r>
          </w:p>
        </w:tc>
        <w:tc>
          <w:tcPr>
            <w:tcW w:w="1710" w:type="dxa"/>
            <w:hideMark/>
          </w:tcPr>
          <w:p w14:paraId="0B0F04D6" w14:textId="77777777" w:rsidR="00F272E2" w:rsidRPr="00C974D5" w:rsidRDefault="00F272E2">
            <w:pPr>
              <w:rPr>
                <w:highlight w:val="yellow"/>
              </w:rPr>
            </w:pPr>
            <w:r w:rsidRPr="00C974D5">
              <w:rPr>
                <w:highlight w:val="yellow"/>
              </w:rPr>
              <w:t>Given the technology mix in the relevant frequency bands and due to V2X scenarios in which cars come from opposite directions, it is needed to add the "receiver blocking" performance in the first and second adjacent channels to the channel on which the unwanted "blocking signal" is transmitted.</w:t>
            </w:r>
          </w:p>
        </w:tc>
        <w:tc>
          <w:tcPr>
            <w:tcW w:w="2430" w:type="dxa"/>
            <w:hideMark/>
          </w:tcPr>
          <w:p w14:paraId="5A392EBA" w14:textId="77777777" w:rsidR="00F272E2" w:rsidRPr="00C974D5" w:rsidRDefault="00F272E2">
            <w:pPr>
              <w:rPr>
                <w:highlight w:val="yellow"/>
              </w:rPr>
            </w:pPr>
            <w:r w:rsidRPr="00C974D5">
              <w:rPr>
                <w:highlight w:val="yellow"/>
              </w:rPr>
              <w:t>The receiver blocking is a measure of the capability of the equipment to receive a wanted signal on its operating channel without exceeding a given degradation due to the presence of a blocking signal.</w:t>
            </w:r>
            <w:r w:rsidRPr="00C974D5">
              <w:rPr>
                <w:highlight w:val="yellow"/>
              </w:rPr>
              <w:br/>
            </w:r>
            <w:r w:rsidRPr="00C974D5">
              <w:rPr>
                <w:highlight w:val="yellow"/>
              </w:rPr>
              <w:br/>
              <w:t>Receiver blocking for W MHz (where W is 20, 40, 80, or 160) shall be measured by setting the</w:t>
            </w:r>
            <w:r w:rsidRPr="00C974D5">
              <w:rPr>
                <w:highlight w:val="yellow"/>
              </w:rPr>
              <w:br/>
            </w:r>
            <w:r w:rsidRPr="00C974D5">
              <w:rPr>
                <w:highlight w:val="yellow"/>
              </w:rPr>
              <w:br/>
              <w:t>desired signal's strength 3 dB above the rate-dependent sensitivity specified in Table 27-51 (Receiver minimum input level sensitivity) and raising the power of the interfering signal, transmitted in the adjacent channel or non-adjacent channel, of W MHz bandwidth until 10%</w:t>
            </w:r>
            <w:r w:rsidRPr="00C974D5">
              <w:rPr>
                <w:highlight w:val="yellow"/>
              </w:rPr>
              <w:br/>
            </w:r>
            <w:r w:rsidRPr="00C974D5">
              <w:rPr>
                <w:highlight w:val="yellow"/>
              </w:rPr>
              <w:br/>
              <w:t>PER is caused for a PSDU length of 2048 octets for BPSK modulation with DCM or 4096 octets for all other</w:t>
            </w:r>
            <w:r w:rsidRPr="00C974D5">
              <w:rPr>
                <w:highlight w:val="yellow"/>
              </w:rPr>
              <w:br/>
            </w:r>
            <w:r w:rsidRPr="00C974D5">
              <w:rPr>
                <w:highlight w:val="yellow"/>
              </w:rPr>
              <w:br/>
              <w:t>modulations. The interferer power at which the specified PER occurs is the actual receiver blocking level.</w:t>
            </w:r>
            <w:r w:rsidRPr="00C974D5">
              <w:rPr>
                <w:highlight w:val="yellow"/>
              </w:rPr>
              <w:br/>
            </w:r>
            <w:r w:rsidRPr="00C974D5">
              <w:rPr>
                <w:highlight w:val="yellow"/>
              </w:rPr>
              <w:br/>
              <w:t>The actual values should be agreed by the task group.</w:t>
            </w:r>
          </w:p>
        </w:tc>
        <w:tc>
          <w:tcPr>
            <w:tcW w:w="3870" w:type="dxa"/>
            <w:hideMark/>
          </w:tcPr>
          <w:p w14:paraId="5EC27D1F" w14:textId="0B1C6E50" w:rsidR="00F272E2" w:rsidRPr="00C974D5" w:rsidRDefault="0051065B">
            <w:pPr>
              <w:rPr>
                <w:highlight w:val="yellow"/>
              </w:rPr>
            </w:pPr>
            <w:r w:rsidRPr="00C974D5">
              <w:rPr>
                <w:highlight w:val="yellow"/>
              </w:rPr>
              <w:t>&lt;Xiaogang&gt;</w:t>
            </w:r>
            <w:bookmarkStart w:id="0" w:name="_GoBack"/>
            <w:bookmarkEnd w:id="0"/>
          </w:p>
        </w:tc>
      </w:tr>
      <w:tr w:rsidR="0017025A" w:rsidRPr="00F272E2" w14:paraId="03D60444" w14:textId="77777777" w:rsidTr="00802F85">
        <w:trPr>
          <w:trHeight w:val="2295"/>
        </w:trPr>
        <w:tc>
          <w:tcPr>
            <w:tcW w:w="625" w:type="dxa"/>
            <w:hideMark/>
          </w:tcPr>
          <w:p w14:paraId="496B3D4E" w14:textId="77777777" w:rsidR="00F272E2" w:rsidRPr="00F272E2" w:rsidRDefault="00F272E2" w:rsidP="00F272E2">
            <w:r w:rsidRPr="00F272E2">
              <w:t>24083</w:t>
            </w:r>
          </w:p>
        </w:tc>
        <w:tc>
          <w:tcPr>
            <w:tcW w:w="720" w:type="dxa"/>
            <w:hideMark/>
          </w:tcPr>
          <w:p w14:paraId="321BC5C2" w14:textId="77777777" w:rsidR="00F272E2" w:rsidRPr="00F272E2" w:rsidRDefault="00F272E2">
            <w:r w:rsidRPr="00F272E2">
              <w:t>Adachi, Tomoko</w:t>
            </w:r>
          </w:p>
        </w:tc>
        <w:tc>
          <w:tcPr>
            <w:tcW w:w="450" w:type="dxa"/>
            <w:hideMark/>
          </w:tcPr>
          <w:p w14:paraId="4DFC34D1" w14:textId="77777777" w:rsidR="00F272E2" w:rsidRPr="00F272E2" w:rsidRDefault="00F272E2">
            <w:r w:rsidRPr="00F272E2">
              <w:t>232</w:t>
            </w:r>
          </w:p>
        </w:tc>
        <w:tc>
          <w:tcPr>
            <w:tcW w:w="450" w:type="dxa"/>
            <w:hideMark/>
          </w:tcPr>
          <w:p w14:paraId="5F831C5A" w14:textId="77777777" w:rsidR="00F272E2" w:rsidRPr="00F272E2" w:rsidRDefault="00F272E2">
            <w:r w:rsidRPr="00F272E2">
              <w:t>10</w:t>
            </w:r>
          </w:p>
        </w:tc>
        <w:tc>
          <w:tcPr>
            <w:tcW w:w="540" w:type="dxa"/>
            <w:hideMark/>
          </w:tcPr>
          <w:p w14:paraId="079965D2" w14:textId="77777777" w:rsidR="00F272E2" w:rsidRPr="00F272E2" w:rsidRDefault="00F272E2">
            <w:r w:rsidRPr="00F272E2">
              <w:t>9.7.1</w:t>
            </w:r>
          </w:p>
        </w:tc>
        <w:tc>
          <w:tcPr>
            <w:tcW w:w="1710" w:type="dxa"/>
            <w:hideMark/>
          </w:tcPr>
          <w:p w14:paraId="515F8422" w14:textId="77777777" w:rsidR="00F272E2" w:rsidRPr="00F272E2" w:rsidRDefault="00F272E2">
            <w:r w:rsidRPr="00F272E2">
              <w:t>It is no longer just an EOF (end-of-frame) field.</w:t>
            </w:r>
          </w:p>
        </w:tc>
        <w:tc>
          <w:tcPr>
            <w:tcW w:w="2430" w:type="dxa"/>
            <w:hideMark/>
          </w:tcPr>
          <w:p w14:paraId="585CF553" w14:textId="77777777" w:rsidR="00F272E2" w:rsidRPr="00F272E2" w:rsidRDefault="00F272E2">
            <w:r w:rsidRPr="00F272E2">
              <w:t>This field should be changed such as to "EOF/Solicit Ack" field. Also, it is better to change EOF MPDU to Ack-Soliciting MPDU, and non-EOF MPDU to Not-Ack-Soliciting MPDU, accordingly. (Suggestions for better terms are welcomed.)</w:t>
            </w:r>
          </w:p>
        </w:tc>
        <w:tc>
          <w:tcPr>
            <w:tcW w:w="3870" w:type="dxa"/>
            <w:hideMark/>
          </w:tcPr>
          <w:p w14:paraId="5B4C2821" w14:textId="3E4CFCC7" w:rsidR="00C020CA" w:rsidRDefault="00C020CA">
            <w:r>
              <w:t>&lt;Editor&gt;</w:t>
            </w:r>
          </w:p>
          <w:p w14:paraId="2A8A3D4E" w14:textId="77777777" w:rsidR="00C020CA" w:rsidRDefault="00C020CA"/>
          <w:p w14:paraId="784C84A0" w14:textId="1302538E" w:rsidR="00F272E2" w:rsidRDefault="004B6DE2">
            <w:r>
              <w:t>Rejected –</w:t>
            </w:r>
          </w:p>
          <w:p w14:paraId="21FABFCA" w14:textId="77777777" w:rsidR="004B6DE2" w:rsidRDefault="004B6DE2"/>
          <w:p w14:paraId="013C5D5A" w14:textId="2A0C1FCB" w:rsidR="004B6DE2" w:rsidRPr="00F272E2" w:rsidRDefault="004B6DE2">
            <w:r>
              <w:t xml:space="preserve">The </w:t>
            </w:r>
            <w:r w:rsidR="00A649CD">
              <w:t xml:space="preserve">EOF </w:t>
            </w:r>
            <w:r>
              <w:t>term</w:t>
            </w:r>
            <w:r w:rsidR="00A649CD">
              <w:t xml:space="preserve">inology </w:t>
            </w:r>
            <w:r>
              <w:t>is still appropriate, because it indicate</w:t>
            </w:r>
            <w:r w:rsidR="003767D0">
              <w:t xml:space="preserve">s </w:t>
            </w:r>
            <w:r>
              <w:t xml:space="preserve">the </w:t>
            </w:r>
            <w:proofErr w:type="spellStart"/>
            <w:r>
              <w:t>eof</w:t>
            </w:r>
            <w:proofErr w:type="spellEnd"/>
            <w:r>
              <w:t xml:space="preserve"> of frame for a particular set of </w:t>
            </w:r>
            <w:r w:rsidR="000542E9">
              <w:t xml:space="preserve">blocks (be it due to </w:t>
            </w:r>
            <w:proofErr w:type="gramStart"/>
            <w:r w:rsidR="000542E9">
              <w:t>being</w:t>
            </w:r>
            <w:proofErr w:type="gramEnd"/>
            <w:r w:rsidR="000542E9">
              <w:t xml:space="preserve"> the same TIDs, and/or isolating an MMPDU among the blocks of MPDUs within the A-MPDU.</w:t>
            </w:r>
            <w:r w:rsidR="009D235E">
              <w:t xml:space="preserve"> Also please note that while EOF helps with ack solicitation it is not restrictive to the ack solicitation, i.e., the EOF can be set to 1 also when the following MPDU does not solicit an acknowledgement.</w:t>
            </w:r>
          </w:p>
        </w:tc>
      </w:tr>
      <w:tr w:rsidR="0017025A" w:rsidRPr="00F272E2" w14:paraId="173F1B06" w14:textId="77777777" w:rsidTr="00802F85">
        <w:trPr>
          <w:trHeight w:val="2295"/>
        </w:trPr>
        <w:tc>
          <w:tcPr>
            <w:tcW w:w="625" w:type="dxa"/>
            <w:hideMark/>
          </w:tcPr>
          <w:p w14:paraId="446E4B84" w14:textId="77777777" w:rsidR="00F272E2" w:rsidRPr="0073133B" w:rsidRDefault="00F272E2" w:rsidP="00F272E2">
            <w:pPr>
              <w:rPr>
                <w:highlight w:val="yellow"/>
              </w:rPr>
            </w:pPr>
            <w:r w:rsidRPr="0073133B">
              <w:rPr>
                <w:highlight w:val="yellow"/>
              </w:rPr>
              <w:t>24102</w:t>
            </w:r>
          </w:p>
        </w:tc>
        <w:tc>
          <w:tcPr>
            <w:tcW w:w="720" w:type="dxa"/>
            <w:hideMark/>
          </w:tcPr>
          <w:p w14:paraId="5653EFBC" w14:textId="77777777" w:rsidR="00F272E2" w:rsidRPr="0073133B" w:rsidRDefault="00F272E2">
            <w:pPr>
              <w:rPr>
                <w:highlight w:val="yellow"/>
              </w:rPr>
            </w:pPr>
            <w:proofErr w:type="spellStart"/>
            <w:r w:rsidRPr="0073133B">
              <w:rPr>
                <w:highlight w:val="yellow"/>
              </w:rPr>
              <w:t>hervieu</w:t>
            </w:r>
            <w:proofErr w:type="spellEnd"/>
            <w:r w:rsidRPr="0073133B">
              <w:rPr>
                <w:highlight w:val="yellow"/>
              </w:rPr>
              <w:t>, Lili</w:t>
            </w:r>
          </w:p>
        </w:tc>
        <w:tc>
          <w:tcPr>
            <w:tcW w:w="450" w:type="dxa"/>
            <w:hideMark/>
          </w:tcPr>
          <w:p w14:paraId="64190304" w14:textId="77777777" w:rsidR="00F272E2" w:rsidRPr="0073133B" w:rsidRDefault="00F272E2">
            <w:pPr>
              <w:rPr>
                <w:highlight w:val="yellow"/>
              </w:rPr>
            </w:pPr>
          </w:p>
        </w:tc>
        <w:tc>
          <w:tcPr>
            <w:tcW w:w="450" w:type="dxa"/>
            <w:hideMark/>
          </w:tcPr>
          <w:p w14:paraId="2E9591C9" w14:textId="77777777" w:rsidR="00F272E2" w:rsidRPr="0073133B" w:rsidRDefault="00F272E2">
            <w:pPr>
              <w:rPr>
                <w:highlight w:val="yellow"/>
              </w:rPr>
            </w:pPr>
          </w:p>
        </w:tc>
        <w:tc>
          <w:tcPr>
            <w:tcW w:w="540" w:type="dxa"/>
            <w:hideMark/>
          </w:tcPr>
          <w:p w14:paraId="21483316" w14:textId="77777777" w:rsidR="00F272E2" w:rsidRPr="0073133B" w:rsidRDefault="00F272E2">
            <w:pPr>
              <w:rPr>
                <w:highlight w:val="yellow"/>
              </w:rPr>
            </w:pPr>
          </w:p>
        </w:tc>
        <w:tc>
          <w:tcPr>
            <w:tcW w:w="1710" w:type="dxa"/>
            <w:hideMark/>
          </w:tcPr>
          <w:p w14:paraId="4C6974EB" w14:textId="77777777" w:rsidR="00F272E2" w:rsidRPr="0073133B" w:rsidRDefault="00F272E2">
            <w:pPr>
              <w:rPr>
                <w:highlight w:val="yellow"/>
              </w:rPr>
            </w:pPr>
            <w:r w:rsidRPr="0073133B">
              <w:rPr>
                <w:highlight w:val="yellow"/>
              </w:rPr>
              <w:t>On December 12th</w:t>
            </w:r>
            <w:proofErr w:type="gramStart"/>
            <w:r w:rsidRPr="0073133B">
              <w:rPr>
                <w:highlight w:val="yellow"/>
              </w:rPr>
              <w:t xml:space="preserve"> 2019</w:t>
            </w:r>
            <w:proofErr w:type="gramEnd"/>
            <w:r w:rsidRPr="0073133B">
              <w:rPr>
                <w:highlight w:val="yellow"/>
              </w:rPr>
              <w:t>, the FCC issued a Notice of Proposed Rulemaking proposing the lower 45 megahertz of the 5.9 GHz band for unlicensed uses (not under DFS rules).</w:t>
            </w:r>
          </w:p>
        </w:tc>
        <w:tc>
          <w:tcPr>
            <w:tcW w:w="2430" w:type="dxa"/>
            <w:hideMark/>
          </w:tcPr>
          <w:p w14:paraId="04B72F38" w14:textId="77777777" w:rsidR="00F272E2" w:rsidRPr="0073133B" w:rsidRDefault="00F272E2">
            <w:pPr>
              <w:rPr>
                <w:highlight w:val="yellow"/>
              </w:rPr>
            </w:pPr>
            <w:r w:rsidRPr="0073133B">
              <w:rPr>
                <w:highlight w:val="yellow"/>
              </w:rPr>
              <w:t xml:space="preserve">The Annex E- Table E-4 - Global operating classes shall be updated to </w:t>
            </w:r>
            <w:proofErr w:type="gramStart"/>
            <w:r w:rsidRPr="0073133B">
              <w:rPr>
                <w:highlight w:val="yellow"/>
              </w:rPr>
              <w:t>take into account</w:t>
            </w:r>
            <w:proofErr w:type="gramEnd"/>
            <w:r w:rsidRPr="0073133B">
              <w:rPr>
                <w:highlight w:val="yellow"/>
              </w:rPr>
              <w:t xml:space="preserve"> the additional 173, and 177 channels, providing 2 additional 40 MHz channels,  1 additional 80 MHz channel, and 1 additional 160 MHz channel.</w:t>
            </w:r>
          </w:p>
        </w:tc>
        <w:tc>
          <w:tcPr>
            <w:tcW w:w="3870" w:type="dxa"/>
            <w:hideMark/>
          </w:tcPr>
          <w:p w14:paraId="029B34A4" w14:textId="259972AD" w:rsidR="00F272E2" w:rsidRPr="0073133B" w:rsidRDefault="00B569AC">
            <w:pPr>
              <w:rPr>
                <w:highlight w:val="yellow"/>
              </w:rPr>
            </w:pPr>
            <w:r>
              <w:rPr>
                <w:highlight w:val="yellow"/>
              </w:rPr>
              <w:t>&lt;Thomas&gt;</w:t>
            </w:r>
          </w:p>
        </w:tc>
      </w:tr>
      <w:tr w:rsidR="0017025A" w:rsidRPr="00F272E2" w14:paraId="5F647D4C" w14:textId="77777777" w:rsidTr="00802F85">
        <w:trPr>
          <w:trHeight w:val="3315"/>
        </w:trPr>
        <w:tc>
          <w:tcPr>
            <w:tcW w:w="625" w:type="dxa"/>
            <w:hideMark/>
          </w:tcPr>
          <w:p w14:paraId="6AFC656F" w14:textId="77777777" w:rsidR="00F272E2" w:rsidRPr="00F272E2" w:rsidRDefault="00F272E2" w:rsidP="00F272E2">
            <w:r w:rsidRPr="00F272E2">
              <w:lastRenderedPageBreak/>
              <w:t>24143</w:t>
            </w:r>
          </w:p>
        </w:tc>
        <w:tc>
          <w:tcPr>
            <w:tcW w:w="720" w:type="dxa"/>
            <w:hideMark/>
          </w:tcPr>
          <w:p w14:paraId="6FCC4344" w14:textId="77777777" w:rsidR="00F272E2" w:rsidRPr="00F272E2" w:rsidRDefault="00F272E2">
            <w:proofErr w:type="spellStart"/>
            <w:r w:rsidRPr="00F272E2">
              <w:t>Lalam</w:t>
            </w:r>
            <w:proofErr w:type="spellEnd"/>
            <w:r w:rsidRPr="00F272E2">
              <w:t xml:space="preserve">, </w:t>
            </w:r>
            <w:proofErr w:type="spellStart"/>
            <w:r w:rsidRPr="00F272E2">
              <w:t>Massinissa</w:t>
            </w:r>
            <w:proofErr w:type="spellEnd"/>
          </w:p>
        </w:tc>
        <w:tc>
          <w:tcPr>
            <w:tcW w:w="450" w:type="dxa"/>
            <w:hideMark/>
          </w:tcPr>
          <w:p w14:paraId="4EA84C49" w14:textId="77777777" w:rsidR="00F272E2" w:rsidRPr="00F272E2" w:rsidRDefault="00F272E2">
            <w:r w:rsidRPr="00F272E2">
              <w:t>114</w:t>
            </w:r>
          </w:p>
        </w:tc>
        <w:tc>
          <w:tcPr>
            <w:tcW w:w="450" w:type="dxa"/>
            <w:hideMark/>
          </w:tcPr>
          <w:p w14:paraId="298374F9" w14:textId="77777777" w:rsidR="00F272E2" w:rsidRPr="00F272E2" w:rsidRDefault="00F272E2">
            <w:r w:rsidRPr="00F272E2">
              <w:t>110</w:t>
            </w:r>
          </w:p>
        </w:tc>
        <w:tc>
          <w:tcPr>
            <w:tcW w:w="540" w:type="dxa"/>
            <w:hideMark/>
          </w:tcPr>
          <w:p w14:paraId="5F9A3F15" w14:textId="77777777" w:rsidR="00F272E2" w:rsidRPr="00F272E2" w:rsidRDefault="00F272E2">
            <w:r w:rsidRPr="00F272E2">
              <w:t>9.3.1.8.7</w:t>
            </w:r>
          </w:p>
        </w:tc>
        <w:tc>
          <w:tcPr>
            <w:tcW w:w="1710" w:type="dxa"/>
            <w:hideMark/>
          </w:tcPr>
          <w:p w14:paraId="1092E3FA" w14:textId="77777777" w:rsidR="00F272E2" w:rsidRPr="00F272E2" w:rsidRDefault="00F272E2">
            <w:r w:rsidRPr="00F272E2">
              <w:t xml:space="preserve">It is unclear why 4 octets are reserved in the Per AID TID Info subfield when AID is 2045. Per AID TID Info subfield is already of variable length, so why should this filed be 12 octets long when 8 are </w:t>
            </w:r>
            <w:proofErr w:type="gramStart"/>
            <w:r w:rsidRPr="00F272E2">
              <w:t>sufficient</w:t>
            </w:r>
            <w:proofErr w:type="gramEnd"/>
            <w:r w:rsidRPr="00F272E2">
              <w:t>. Either give a better explanation in the following NOTE why ignoring 10 octets is better than 6 or removed those 4 reserved bytes</w:t>
            </w:r>
          </w:p>
        </w:tc>
        <w:tc>
          <w:tcPr>
            <w:tcW w:w="2430" w:type="dxa"/>
            <w:hideMark/>
          </w:tcPr>
          <w:p w14:paraId="6E40AB1C" w14:textId="77777777" w:rsidR="00F272E2" w:rsidRPr="00F272E2" w:rsidRDefault="00F272E2">
            <w:r w:rsidRPr="00F272E2">
              <w:t>As in comment</w:t>
            </w:r>
          </w:p>
        </w:tc>
        <w:tc>
          <w:tcPr>
            <w:tcW w:w="3870" w:type="dxa"/>
            <w:hideMark/>
          </w:tcPr>
          <w:p w14:paraId="7994B44D" w14:textId="15D39ECA" w:rsidR="00B569AC" w:rsidRDefault="00B569AC">
            <w:r>
              <w:t>&lt;George&gt;</w:t>
            </w:r>
          </w:p>
          <w:p w14:paraId="727F6B25" w14:textId="77777777" w:rsidR="00B569AC" w:rsidRDefault="00B569AC"/>
          <w:p w14:paraId="53C5EE13" w14:textId="2E57CE5E" w:rsidR="00F272E2" w:rsidRDefault="0073133B">
            <w:r>
              <w:t>Rejected –</w:t>
            </w:r>
          </w:p>
          <w:p w14:paraId="074B0CF4" w14:textId="77777777" w:rsidR="0073133B" w:rsidRDefault="0073133B"/>
          <w:p w14:paraId="41F14157" w14:textId="212AF127" w:rsidR="0073133B" w:rsidRPr="00F272E2" w:rsidRDefault="00B55FB4">
            <w:r>
              <w:t>Reserved f</w:t>
            </w:r>
            <w:r w:rsidR="0073133B">
              <w:t>ields</w:t>
            </w:r>
            <w:r>
              <w:t>/bits</w:t>
            </w:r>
            <w:r w:rsidR="0073133B">
              <w:t xml:space="preserve"> are reserved</w:t>
            </w:r>
            <w:r>
              <w:t xml:space="preserve"> so that they can be used in future</w:t>
            </w:r>
            <w:r w:rsidR="000A7BD2">
              <w:t xml:space="preserve"> amendments</w:t>
            </w:r>
            <w:r>
              <w:t>. There is no correct answer as to whether reserving 2 or 4 or any other number. The current number is</w:t>
            </w:r>
            <w:r w:rsidR="00F250D3">
              <w:t xml:space="preserve"> determined taking into account the likelihood of their use in the future (we don’t know how and/or when they will be used) and the length was determined such that it is the same as the length of a basic BlockAck Bitmap field</w:t>
            </w:r>
            <w:r w:rsidR="000A7BD2">
              <w:t>.</w:t>
            </w:r>
          </w:p>
        </w:tc>
      </w:tr>
      <w:tr w:rsidR="0017025A" w:rsidRPr="00F272E2" w14:paraId="6C4D6997" w14:textId="77777777" w:rsidTr="00802F85">
        <w:trPr>
          <w:trHeight w:val="1785"/>
        </w:trPr>
        <w:tc>
          <w:tcPr>
            <w:tcW w:w="625" w:type="dxa"/>
            <w:hideMark/>
          </w:tcPr>
          <w:p w14:paraId="2D27AC85" w14:textId="77777777" w:rsidR="00F272E2" w:rsidRPr="000E15E6" w:rsidRDefault="00F272E2" w:rsidP="00F272E2">
            <w:pPr>
              <w:rPr>
                <w:highlight w:val="yellow"/>
              </w:rPr>
            </w:pPr>
            <w:r w:rsidRPr="000E15E6">
              <w:rPr>
                <w:highlight w:val="yellow"/>
              </w:rPr>
              <w:t>24209</w:t>
            </w:r>
          </w:p>
        </w:tc>
        <w:tc>
          <w:tcPr>
            <w:tcW w:w="720" w:type="dxa"/>
            <w:hideMark/>
          </w:tcPr>
          <w:p w14:paraId="661230F9" w14:textId="77777777" w:rsidR="00F272E2" w:rsidRPr="000E15E6" w:rsidRDefault="00F272E2">
            <w:pPr>
              <w:rPr>
                <w:highlight w:val="yellow"/>
              </w:rPr>
            </w:pPr>
            <w:r w:rsidRPr="000E15E6">
              <w:rPr>
                <w:highlight w:val="yellow"/>
              </w:rPr>
              <w:t>Schelstraete, Sigurd</w:t>
            </w:r>
          </w:p>
        </w:tc>
        <w:tc>
          <w:tcPr>
            <w:tcW w:w="450" w:type="dxa"/>
            <w:hideMark/>
          </w:tcPr>
          <w:p w14:paraId="06D2ACE5" w14:textId="77777777" w:rsidR="00F272E2" w:rsidRPr="000E15E6" w:rsidRDefault="00F272E2">
            <w:pPr>
              <w:rPr>
                <w:highlight w:val="yellow"/>
              </w:rPr>
            </w:pPr>
            <w:r w:rsidRPr="000E15E6">
              <w:rPr>
                <w:highlight w:val="yellow"/>
              </w:rPr>
              <w:t>724</w:t>
            </w:r>
          </w:p>
        </w:tc>
        <w:tc>
          <w:tcPr>
            <w:tcW w:w="450" w:type="dxa"/>
            <w:hideMark/>
          </w:tcPr>
          <w:p w14:paraId="5B3F85FC" w14:textId="77777777" w:rsidR="00F272E2" w:rsidRPr="000E15E6" w:rsidRDefault="00F272E2">
            <w:pPr>
              <w:rPr>
                <w:highlight w:val="yellow"/>
              </w:rPr>
            </w:pPr>
            <w:r w:rsidRPr="000E15E6">
              <w:rPr>
                <w:highlight w:val="yellow"/>
              </w:rPr>
              <w:t>19</w:t>
            </w:r>
          </w:p>
        </w:tc>
        <w:tc>
          <w:tcPr>
            <w:tcW w:w="540" w:type="dxa"/>
            <w:hideMark/>
          </w:tcPr>
          <w:p w14:paraId="6D3A35AB" w14:textId="77777777" w:rsidR="00F272E2" w:rsidRPr="000E15E6" w:rsidRDefault="00F272E2">
            <w:pPr>
              <w:rPr>
                <w:highlight w:val="yellow"/>
              </w:rPr>
            </w:pPr>
            <w:r w:rsidRPr="000E15E6">
              <w:rPr>
                <w:highlight w:val="yellow"/>
              </w:rPr>
              <w:t>B.4.3</w:t>
            </w:r>
          </w:p>
        </w:tc>
        <w:tc>
          <w:tcPr>
            <w:tcW w:w="1710" w:type="dxa"/>
            <w:hideMark/>
          </w:tcPr>
          <w:p w14:paraId="091D8EF7" w14:textId="77777777" w:rsidR="00F272E2" w:rsidRPr="000E15E6" w:rsidRDefault="00F272E2">
            <w:pPr>
              <w:rPr>
                <w:highlight w:val="yellow"/>
              </w:rPr>
            </w:pPr>
            <w:r w:rsidRPr="000E15E6">
              <w:rPr>
                <w:highlight w:val="yellow"/>
              </w:rPr>
              <w:t xml:space="preserve">Is it the correct understanding from lines 19 and 25 that a CFHE6G device </w:t>
            </w:r>
            <w:proofErr w:type="gramStart"/>
            <w:r w:rsidRPr="000E15E6">
              <w:rPr>
                <w:highlight w:val="yellow"/>
              </w:rPr>
              <w:t>has to</w:t>
            </w:r>
            <w:proofErr w:type="gramEnd"/>
            <w:r w:rsidRPr="000E15E6">
              <w:rPr>
                <w:highlight w:val="yellow"/>
              </w:rPr>
              <w:t xml:space="preserve"> mandatorily support 2.4 and 5 GHz? Would that make tri-band operation mandatory?</w:t>
            </w:r>
          </w:p>
        </w:tc>
        <w:tc>
          <w:tcPr>
            <w:tcW w:w="2430" w:type="dxa"/>
            <w:hideMark/>
          </w:tcPr>
          <w:p w14:paraId="4E024856" w14:textId="77777777" w:rsidR="00F272E2" w:rsidRPr="000E15E6" w:rsidRDefault="00F272E2">
            <w:pPr>
              <w:rPr>
                <w:highlight w:val="yellow"/>
              </w:rPr>
            </w:pPr>
            <w:r w:rsidRPr="000E15E6">
              <w:rPr>
                <w:highlight w:val="yellow"/>
              </w:rPr>
              <w:t xml:space="preserve">Clarify. If the intention is to support either 2.4 or 5 GHz, use </w:t>
            </w:r>
            <w:proofErr w:type="spellStart"/>
            <w:r w:rsidRPr="000E15E6">
              <w:rPr>
                <w:highlight w:val="yellow"/>
              </w:rPr>
              <w:t>O#n</w:t>
            </w:r>
            <w:proofErr w:type="spellEnd"/>
            <w:r w:rsidRPr="000E15E6">
              <w:rPr>
                <w:highlight w:val="yellow"/>
              </w:rPr>
              <w:t xml:space="preserve"> notation.</w:t>
            </w:r>
          </w:p>
        </w:tc>
        <w:tc>
          <w:tcPr>
            <w:tcW w:w="3870" w:type="dxa"/>
            <w:hideMark/>
          </w:tcPr>
          <w:p w14:paraId="489DE455" w14:textId="1D6E1F7F" w:rsidR="00F272E2" w:rsidRPr="000E15E6" w:rsidRDefault="00730736">
            <w:pPr>
              <w:rPr>
                <w:highlight w:val="yellow"/>
              </w:rPr>
            </w:pPr>
            <w:r>
              <w:rPr>
                <w:highlight w:val="yellow"/>
              </w:rPr>
              <w:t>&lt;Osama&gt;</w:t>
            </w:r>
          </w:p>
        </w:tc>
      </w:tr>
      <w:tr w:rsidR="0017025A" w:rsidRPr="00F272E2" w14:paraId="5CE61508" w14:textId="77777777" w:rsidTr="00802F85">
        <w:trPr>
          <w:trHeight w:val="2550"/>
        </w:trPr>
        <w:tc>
          <w:tcPr>
            <w:tcW w:w="625" w:type="dxa"/>
            <w:hideMark/>
          </w:tcPr>
          <w:p w14:paraId="70D8C874" w14:textId="77777777" w:rsidR="00F272E2" w:rsidRPr="000E15E6" w:rsidRDefault="00F272E2" w:rsidP="00F272E2">
            <w:pPr>
              <w:rPr>
                <w:highlight w:val="yellow"/>
              </w:rPr>
            </w:pPr>
            <w:r w:rsidRPr="000E15E6">
              <w:rPr>
                <w:highlight w:val="yellow"/>
              </w:rPr>
              <w:t>24211</w:t>
            </w:r>
          </w:p>
        </w:tc>
        <w:tc>
          <w:tcPr>
            <w:tcW w:w="720" w:type="dxa"/>
            <w:hideMark/>
          </w:tcPr>
          <w:p w14:paraId="478EFB0F" w14:textId="77777777" w:rsidR="00F272E2" w:rsidRPr="000E15E6" w:rsidRDefault="00F272E2">
            <w:pPr>
              <w:rPr>
                <w:highlight w:val="yellow"/>
              </w:rPr>
            </w:pPr>
            <w:r w:rsidRPr="000E15E6">
              <w:rPr>
                <w:highlight w:val="yellow"/>
              </w:rPr>
              <w:t>Schelstraete, Sigurd</w:t>
            </w:r>
          </w:p>
        </w:tc>
        <w:tc>
          <w:tcPr>
            <w:tcW w:w="450" w:type="dxa"/>
            <w:hideMark/>
          </w:tcPr>
          <w:p w14:paraId="0B65D979" w14:textId="77777777" w:rsidR="00F272E2" w:rsidRPr="000E15E6" w:rsidRDefault="00F272E2">
            <w:pPr>
              <w:rPr>
                <w:highlight w:val="yellow"/>
              </w:rPr>
            </w:pPr>
            <w:r w:rsidRPr="000E15E6">
              <w:rPr>
                <w:highlight w:val="yellow"/>
              </w:rPr>
              <w:t>730</w:t>
            </w:r>
          </w:p>
        </w:tc>
        <w:tc>
          <w:tcPr>
            <w:tcW w:w="450" w:type="dxa"/>
            <w:hideMark/>
          </w:tcPr>
          <w:p w14:paraId="5D54AEED" w14:textId="77777777" w:rsidR="00F272E2" w:rsidRPr="000E15E6" w:rsidRDefault="00F272E2">
            <w:pPr>
              <w:rPr>
                <w:highlight w:val="yellow"/>
              </w:rPr>
            </w:pPr>
            <w:r w:rsidRPr="000E15E6">
              <w:rPr>
                <w:highlight w:val="yellow"/>
              </w:rPr>
              <w:t>3</w:t>
            </w:r>
          </w:p>
        </w:tc>
        <w:tc>
          <w:tcPr>
            <w:tcW w:w="540" w:type="dxa"/>
            <w:hideMark/>
          </w:tcPr>
          <w:p w14:paraId="7050F026" w14:textId="77777777" w:rsidR="00F272E2" w:rsidRPr="000E15E6" w:rsidRDefault="00F272E2">
            <w:pPr>
              <w:rPr>
                <w:highlight w:val="yellow"/>
              </w:rPr>
            </w:pPr>
            <w:r w:rsidRPr="000E15E6">
              <w:rPr>
                <w:highlight w:val="yellow"/>
              </w:rPr>
              <w:t>B.4.33.2</w:t>
            </w:r>
          </w:p>
        </w:tc>
        <w:tc>
          <w:tcPr>
            <w:tcW w:w="1710" w:type="dxa"/>
            <w:hideMark/>
          </w:tcPr>
          <w:p w14:paraId="03BFF901" w14:textId="77777777" w:rsidR="00F272E2" w:rsidRPr="000E15E6" w:rsidRDefault="00F272E2">
            <w:pPr>
              <w:rPr>
                <w:highlight w:val="yellow"/>
              </w:rPr>
            </w:pPr>
            <w:r w:rsidRPr="000E15E6">
              <w:rPr>
                <w:highlight w:val="yellow"/>
              </w:rPr>
              <w:t xml:space="preserve">Is this section supposed to be an exhaustive list of PHY features? If so, it would appear that a lot of (mainly optional) features are </w:t>
            </w:r>
            <w:proofErr w:type="gramStart"/>
            <w:r w:rsidRPr="000E15E6">
              <w:rPr>
                <w:highlight w:val="yellow"/>
              </w:rPr>
              <w:t>missing:</w:t>
            </w:r>
            <w:proofErr w:type="gramEnd"/>
            <w:r w:rsidRPr="000E15E6">
              <w:rPr>
                <w:highlight w:val="yellow"/>
              </w:rPr>
              <w:t xml:space="preserve"> DCM, </w:t>
            </w:r>
            <w:proofErr w:type="spellStart"/>
            <w:r w:rsidRPr="000E15E6">
              <w:rPr>
                <w:highlight w:val="yellow"/>
              </w:rPr>
              <w:t>Midamble</w:t>
            </w:r>
            <w:proofErr w:type="spellEnd"/>
            <w:r w:rsidRPr="000E15E6">
              <w:rPr>
                <w:highlight w:val="yellow"/>
              </w:rPr>
              <w:t>, Spatial reuse, HE-LTF formats, GI, BF feedback formats, pilot formats, UL precorrection, ...</w:t>
            </w:r>
          </w:p>
        </w:tc>
        <w:tc>
          <w:tcPr>
            <w:tcW w:w="2430" w:type="dxa"/>
            <w:hideMark/>
          </w:tcPr>
          <w:p w14:paraId="76C05DAC" w14:textId="77777777" w:rsidR="00F272E2" w:rsidRPr="000E15E6" w:rsidRDefault="00F272E2">
            <w:pPr>
              <w:rPr>
                <w:highlight w:val="yellow"/>
              </w:rPr>
            </w:pPr>
            <w:r w:rsidRPr="000E15E6">
              <w:rPr>
                <w:highlight w:val="yellow"/>
              </w:rPr>
              <w:t>Add features if required</w:t>
            </w:r>
          </w:p>
        </w:tc>
        <w:tc>
          <w:tcPr>
            <w:tcW w:w="3870" w:type="dxa"/>
            <w:hideMark/>
          </w:tcPr>
          <w:p w14:paraId="4CD6862C" w14:textId="3D89636B" w:rsidR="00F272E2" w:rsidRPr="000E15E6" w:rsidRDefault="00B423DD">
            <w:pPr>
              <w:rPr>
                <w:highlight w:val="yellow"/>
              </w:rPr>
            </w:pPr>
            <w:r>
              <w:rPr>
                <w:highlight w:val="yellow"/>
              </w:rPr>
              <w:t>&lt;Osama - Resolved by Sigurd&gt;</w:t>
            </w:r>
          </w:p>
        </w:tc>
      </w:tr>
      <w:tr w:rsidR="0017025A" w:rsidRPr="00F272E2" w14:paraId="46D07400" w14:textId="77777777" w:rsidTr="00802F85">
        <w:trPr>
          <w:trHeight w:val="1275"/>
        </w:trPr>
        <w:tc>
          <w:tcPr>
            <w:tcW w:w="625" w:type="dxa"/>
            <w:hideMark/>
          </w:tcPr>
          <w:p w14:paraId="01C1C5F4" w14:textId="77777777" w:rsidR="00F272E2" w:rsidRPr="000E15E6" w:rsidRDefault="00F272E2" w:rsidP="00F272E2">
            <w:pPr>
              <w:rPr>
                <w:highlight w:val="yellow"/>
              </w:rPr>
            </w:pPr>
            <w:r w:rsidRPr="000E15E6">
              <w:rPr>
                <w:highlight w:val="yellow"/>
              </w:rPr>
              <w:t>24212</w:t>
            </w:r>
          </w:p>
        </w:tc>
        <w:tc>
          <w:tcPr>
            <w:tcW w:w="720" w:type="dxa"/>
            <w:hideMark/>
          </w:tcPr>
          <w:p w14:paraId="01D3C04A" w14:textId="77777777" w:rsidR="00F272E2" w:rsidRPr="000E15E6" w:rsidRDefault="00F272E2">
            <w:pPr>
              <w:rPr>
                <w:highlight w:val="yellow"/>
              </w:rPr>
            </w:pPr>
            <w:r w:rsidRPr="000E15E6">
              <w:rPr>
                <w:highlight w:val="yellow"/>
              </w:rPr>
              <w:t>Schelstraete, Sigurd</w:t>
            </w:r>
          </w:p>
        </w:tc>
        <w:tc>
          <w:tcPr>
            <w:tcW w:w="450" w:type="dxa"/>
            <w:hideMark/>
          </w:tcPr>
          <w:p w14:paraId="60A68973" w14:textId="77777777" w:rsidR="00F272E2" w:rsidRPr="000E15E6" w:rsidRDefault="00F272E2">
            <w:pPr>
              <w:rPr>
                <w:highlight w:val="yellow"/>
              </w:rPr>
            </w:pPr>
            <w:r w:rsidRPr="000E15E6">
              <w:rPr>
                <w:highlight w:val="yellow"/>
              </w:rPr>
              <w:t>730</w:t>
            </w:r>
          </w:p>
        </w:tc>
        <w:tc>
          <w:tcPr>
            <w:tcW w:w="450" w:type="dxa"/>
            <w:hideMark/>
          </w:tcPr>
          <w:p w14:paraId="6FF3E58E" w14:textId="77777777" w:rsidR="00F272E2" w:rsidRPr="000E15E6" w:rsidRDefault="00F272E2">
            <w:pPr>
              <w:rPr>
                <w:highlight w:val="yellow"/>
              </w:rPr>
            </w:pPr>
            <w:r w:rsidRPr="000E15E6">
              <w:rPr>
                <w:highlight w:val="yellow"/>
              </w:rPr>
              <w:t>38</w:t>
            </w:r>
          </w:p>
        </w:tc>
        <w:tc>
          <w:tcPr>
            <w:tcW w:w="540" w:type="dxa"/>
            <w:hideMark/>
          </w:tcPr>
          <w:p w14:paraId="04A5F384" w14:textId="77777777" w:rsidR="00F272E2" w:rsidRPr="000E15E6" w:rsidRDefault="00F272E2">
            <w:pPr>
              <w:rPr>
                <w:highlight w:val="yellow"/>
              </w:rPr>
            </w:pPr>
            <w:r w:rsidRPr="000E15E6">
              <w:rPr>
                <w:highlight w:val="yellow"/>
              </w:rPr>
              <w:t>B.4.33.2</w:t>
            </w:r>
          </w:p>
        </w:tc>
        <w:tc>
          <w:tcPr>
            <w:tcW w:w="1710" w:type="dxa"/>
            <w:hideMark/>
          </w:tcPr>
          <w:p w14:paraId="6719E8FD" w14:textId="77777777" w:rsidR="00F272E2" w:rsidRPr="000E15E6" w:rsidRDefault="00F272E2">
            <w:pPr>
              <w:rPr>
                <w:highlight w:val="yellow"/>
              </w:rPr>
            </w:pPr>
            <w:r w:rsidRPr="000E15E6">
              <w:rPr>
                <w:highlight w:val="yellow"/>
              </w:rPr>
              <w:t>Shouldn't HEP2.1, HEP2.2, HEP2.3 and HEP2.4 be mandatory? If not, why does the column "Support" offer the options Y, N, N/A?</w:t>
            </w:r>
          </w:p>
        </w:tc>
        <w:tc>
          <w:tcPr>
            <w:tcW w:w="2430" w:type="dxa"/>
            <w:hideMark/>
          </w:tcPr>
          <w:p w14:paraId="680C0D8C" w14:textId="77777777" w:rsidR="00F272E2" w:rsidRPr="000E15E6" w:rsidRDefault="00F272E2">
            <w:pPr>
              <w:rPr>
                <w:highlight w:val="yellow"/>
              </w:rPr>
            </w:pPr>
            <w:r w:rsidRPr="000E15E6">
              <w:rPr>
                <w:highlight w:val="yellow"/>
              </w:rPr>
              <w:t>Correct. Either Put "M" in column "Status" or leave column "Support" blank</w:t>
            </w:r>
          </w:p>
        </w:tc>
        <w:tc>
          <w:tcPr>
            <w:tcW w:w="3870" w:type="dxa"/>
            <w:hideMark/>
          </w:tcPr>
          <w:p w14:paraId="31709352" w14:textId="18980349" w:rsidR="00F272E2" w:rsidRPr="000E15E6" w:rsidRDefault="00645750">
            <w:pPr>
              <w:rPr>
                <w:highlight w:val="yellow"/>
              </w:rPr>
            </w:pPr>
            <w:r>
              <w:rPr>
                <w:highlight w:val="yellow"/>
              </w:rPr>
              <w:t>&lt;Osama</w:t>
            </w:r>
            <w:r w:rsidR="00B423DD">
              <w:rPr>
                <w:highlight w:val="yellow"/>
              </w:rPr>
              <w:t xml:space="preserve"> - Resolved by Sigurd&gt;</w:t>
            </w:r>
          </w:p>
        </w:tc>
      </w:tr>
      <w:tr w:rsidR="0017025A" w:rsidRPr="00F272E2" w14:paraId="1573F7A0" w14:textId="77777777" w:rsidTr="00526AF7">
        <w:trPr>
          <w:trHeight w:val="170"/>
        </w:trPr>
        <w:tc>
          <w:tcPr>
            <w:tcW w:w="625" w:type="dxa"/>
            <w:hideMark/>
          </w:tcPr>
          <w:p w14:paraId="45FEFB37" w14:textId="77777777" w:rsidR="00F272E2" w:rsidRPr="00F272E2" w:rsidRDefault="00F272E2" w:rsidP="00F272E2">
            <w:r w:rsidRPr="00F272E2">
              <w:t>24227</w:t>
            </w:r>
          </w:p>
        </w:tc>
        <w:tc>
          <w:tcPr>
            <w:tcW w:w="720" w:type="dxa"/>
            <w:hideMark/>
          </w:tcPr>
          <w:p w14:paraId="61F8574D" w14:textId="77777777" w:rsidR="00F272E2" w:rsidRPr="00F272E2" w:rsidRDefault="00F272E2">
            <w:r w:rsidRPr="00F272E2">
              <w:t>Wilhelmsson, Leif</w:t>
            </w:r>
          </w:p>
        </w:tc>
        <w:tc>
          <w:tcPr>
            <w:tcW w:w="450" w:type="dxa"/>
            <w:hideMark/>
          </w:tcPr>
          <w:p w14:paraId="25FDB353" w14:textId="77777777" w:rsidR="00F272E2" w:rsidRPr="00F272E2" w:rsidRDefault="00F272E2">
            <w:r w:rsidRPr="00F272E2">
              <w:t>251</w:t>
            </w:r>
          </w:p>
        </w:tc>
        <w:tc>
          <w:tcPr>
            <w:tcW w:w="450" w:type="dxa"/>
            <w:hideMark/>
          </w:tcPr>
          <w:p w14:paraId="10D53CD7" w14:textId="77777777" w:rsidR="00F272E2" w:rsidRPr="00F272E2" w:rsidRDefault="00F272E2">
            <w:r w:rsidRPr="00F272E2">
              <w:t>50</w:t>
            </w:r>
          </w:p>
        </w:tc>
        <w:tc>
          <w:tcPr>
            <w:tcW w:w="540" w:type="dxa"/>
            <w:hideMark/>
          </w:tcPr>
          <w:p w14:paraId="11822A53" w14:textId="77777777" w:rsidR="00F272E2" w:rsidRPr="00F272E2" w:rsidRDefault="00F272E2">
            <w:r w:rsidRPr="00F272E2">
              <w:t>10.3.3.13.1</w:t>
            </w:r>
          </w:p>
        </w:tc>
        <w:tc>
          <w:tcPr>
            <w:tcW w:w="1710" w:type="dxa"/>
            <w:hideMark/>
          </w:tcPr>
          <w:p w14:paraId="5E0CCFB7" w14:textId="77777777" w:rsidR="00F272E2" w:rsidRPr="00F272E2" w:rsidRDefault="00F272E2">
            <w:r w:rsidRPr="00F272E2">
              <w:t xml:space="preserve">"the acknowledgment procedure for MPDUs that were not transmitted within a VHT MU PPDU". It sounds strange to have an acknowledgement procedure for </w:t>
            </w:r>
            <w:proofErr w:type="spellStart"/>
            <w:r w:rsidRPr="00F272E2">
              <w:t>soemthing</w:t>
            </w:r>
            <w:proofErr w:type="spellEnd"/>
            <w:r w:rsidRPr="00F272E2">
              <w:t xml:space="preserve"> not sent...Is it </w:t>
            </w:r>
            <w:proofErr w:type="spellStart"/>
            <w:r w:rsidRPr="00F272E2">
              <w:t>possbile</w:t>
            </w:r>
            <w:proofErr w:type="spellEnd"/>
            <w:r w:rsidRPr="00F272E2">
              <w:t xml:space="preserve"> to rephrase this to better capture what </w:t>
            </w:r>
            <w:r w:rsidRPr="00F272E2">
              <w:lastRenderedPageBreak/>
              <w:t>is intended  to be said?</w:t>
            </w:r>
          </w:p>
        </w:tc>
        <w:tc>
          <w:tcPr>
            <w:tcW w:w="2430" w:type="dxa"/>
            <w:hideMark/>
          </w:tcPr>
          <w:p w14:paraId="2C8988D5" w14:textId="77777777" w:rsidR="00F272E2" w:rsidRPr="00F272E2" w:rsidRDefault="00F272E2">
            <w:r w:rsidRPr="00F272E2">
              <w:lastRenderedPageBreak/>
              <w:t>As in comment</w:t>
            </w:r>
          </w:p>
        </w:tc>
        <w:tc>
          <w:tcPr>
            <w:tcW w:w="3870" w:type="dxa"/>
            <w:hideMark/>
          </w:tcPr>
          <w:p w14:paraId="0E3A04D1" w14:textId="509D9DBB" w:rsidR="00B6321C" w:rsidRDefault="00B6321C">
            <w:r>
              <w:t>&lt;George&gt;</w:t>
            </w:r>
          </w:p>
          <w:p w14:paraId="49B8E04E" w14:textId="77777777" w:rsidR="00B6321C" w:rsidRDefault="00B6321C"/>
          <w:p w14:paraId="2CD7AFCC" w14:textId="5E0C0573" w:rsidR="00F272E2" w:rsidRDefault="003C7C0D">
            <w:r>
              <w:t>Rejected –</w:t>
            </w:r>
          </w:p>
          <w:p w14:paraId="333DF3B7" w14:textId="77777777" w:rsidR="003C7C0D" w:rsidRDefault="003C7C0D"/>
          <w:p w14:paraId="335315B1" w14:textId="056CEFF2" w:rsidR="003C7C0D" w:rsidRPr="00F272E2" w:rsidRDefault="003C7C0D">
            <w:r>
              <w:t xml:space="preserve">The comment is asking a question. </w:t>
            </w:r>
            <w:r w:rsidR="00E24C12">
              <w:t xml:space="preserve">The current definition captures correctly what is intended to be said, however it is true that it can be clarified better (using positive statements rather than negative statements). </w:t>
            </w:r>
            <w:proofErr w:type="gramStart"/>
            <w:r w:rsidR="00E24C12">
              <w:t>However</w:t>
            </w:r>
            <w:proofErr w:type="gramEnd"/>
            <w:r w:rsidR="00E24C12">
              <w:t xml:space="preserve"> this change is out of scope of TGax since the cited </w:t>
            </w:r>
            <w:r w:rsidR="00DB3CB5">
              <w:t>portion of the sentence is from baseline REVmd. Hence the commenter is invited to re-submit the comment to REVmd so that the appropriate CRC can address it correctly.</w:t>
            </w:r>
          </w:p>
        </w:tc>
      </w:tr>
      <w:tr w:rsidR="0017025A" w:rsidRPr="00F272E2" w14:paraId="7A6B5342" w14:textId="77777777" w:rsidTr="00802F85">
        <w:trPr>
          <w:trHeight w:val="6885"/>
        </w:trPr>
        <w:tc>
          <w:tcPr>
            <w:tcW w:w="625" w:type="dxa"/>
            <w:hideMark/>
          </w:tcPr>
          <w:p w14:paraId="1CEF842D" w14:textId="77777777" w:rsidR="00F272E2" w:rsidRPr="00C974D5" w:rsidRDefault="00F272E2" w:rsidP="00F272E2">
            <w:pPr>
              <w:rPr>
                <w:highlight w:val="yellow"/>
              </w:rPr>
            </w:pPr>
            <w:r w:rsidRPr="00C974D5">
              <w:rPr>
                <w:highlight w:val="yellow"/>
              </w:rPr>
              <w:t>24297</w:t>
            </w:r>
          </w:p>
        </w:tc>
        <w:tc>
          <w:tcPr>
            <w:tcW w:w="720" w:type="dxa"/>
            <w:hideMark/>
          </w:tcPr>
          <w:p w14:paraId="2BAE7E07" w14:textId="77777777" w:rsidR="00F272E2" w:rsidRPr="00C974D5" w:rsidRDefault="00F272E2">
            <w:pPr>
              <w:rPr>
                <w:highlight w:val="yellow"/>
              </w:rPr>
            </w:pPr>
            <w:r w:rsidRPr="00C974D5">
              <w:rPr>
                <w:highlight w:val="yellow"/>
              </w:rPr>
              <w:t>RISON, Mark</w:t>
            </w:r>
          </w:p>
        </w:tc>
        <w:tc>
          <w:tcPr>
            <w:tcW w:w="450" w:type="dxa"/>
            <w:hideMark/>
          </w:tcPr>
          <w:p w14:paraId="3D7D1125" w14:textId="77777777" w:rsidR="00F272E2" w:rsidRPr="00C974D5" w:rsidRDefault="00F272E2">
            <w:pPr>
              <w:rPr>
                <w:highlight w:val="yellow"/>
              </w:rPr>
            </w:pPr>
            <w:r w:rsidRPr="00C974D5">
              <w:rPr>
                <w:highlight w:val="yellow"/>
              </w:rPr>
              <w:t>122</w:t>
            </w:r>
          </w:p>
        </w:tc>
        <w:tc>
          <w:tcPr>
            <w:tcW w:w="450" w:type="dxa"/>
            <w:hideMark/>
          </w:tcPr>
          <w:p w14:paraId="02079821" w14:textId="77777777" w:rsidR="00F272E2" w:rsidRPr="00C974D5" w:rsidRDefault="00F272E2">
            <w:pPr>
              <w:rPr>
                <w:highlight w:val="yellow"/>
              </w:rPr>
            </w:pPr>
            <w:r w:rsidRPr="00C974D5">
              <w:rPr>
                <w:highlight w:val="yellow"/>
              </w:rPr>
              <w:t>17</w:t>
            </w:r>
          </w:p>
        </w:tc>
        <w:tc>
          <w:tcPr>
            <w:tcW w:w="540" w:type="dxa"/>
            <w:hideMark/>
          </w:tcPr>
          <w:p w14:paraId="5054A0CC" w14:textId="77777777" w:rsidR="00F272E2" w:rsidRPr="00C974D5" w:rsidRDefault="00F272E2">
            <w:pPr>
              <w:rPr>
                <w:highlight w:val="yellow"/>
              </w:rPr>
            </w:pPr>
            <w:r w:rsidRPr="00C974D5">
              <w:rPr>
                <w:highlight w:val="yellow"/>
              </w:rPr>
              <w:t>9.3.1.22.1</w:t>
            </w:r>
          </w:p>
        </w:tc>
        <w:tc>
          <w:tcPr>
            <w:tcW w:w="1710" w:type="dxa"/>
            <w:hideMark/>
          </w:tcPr>
          <w:p w14:paraId="4A43AA70" w14:textId="77777777" w:rsidR="00F272E2" w:rsidRPr="00C974D5" w:rsidRDefault="00F272E2">
            <w:pPr>
              <w:rPr>
                <w:highlight w:val="yellow"/>
              </w:rPr>
            </w:pPr>
            <w:r w:rsidRPr="00C974D5">
              <w:rPr>
                <w:highlight w:val="yellow"/>
              </w:rPr>
              <w:t>"The AP Tx Power subfield of the Common Info field indicates, in units of dBm, the AP's combined transmit</w:t>
            </w:r>
            <w:r w:rsidRPr="00C974D5">
              <w:rPr>
                <w:highlight w:val="yellow"/>
              </w:rPr>
              <w:br/>
            </w:r>
            <w:r w:rsidRPr="00C974D5">
              <w:rPr>
                <w:highlight w:val="yellow"/>
              </w:rPr>
              <w:br/>
              <w:t>power at the antenna connectors of all the transmit antennas used to transmit the Trigger frame and normal-</w:t>
            </w:r>
            <w:r w:rsidRPr="00C974D5">
              <w:rPr>
                <w:highlight w:val="yellow"/>
              </w:rPr>
              <w:br/>
            </w:r>
            <w:r w:rsidRPr="00C974D5">
              <w:rPr>
                <w:highlight w:val="yellow"/>
              </w:rPr>
              <w:br/>
            </w:r>
            <w:proofErr w:type="spellStart"/>
            <w:r w:rsidRPr="00C974D5">
              <w:rPr>
                <w:highlight w:val="yellow"/>
              </w:rPr>
              <w:t>ized</w:t>
            </w:r>
            <w:proofErr w:type="spellEnd"/>
            <w:r w:rsidRPr="00C974D5">
              <w:rPr>
                <w:highlight w:val="yellow"/>
              </w:rPr>
              <w:t xml:space="preserve"> to 20 MHz bandwidth. The transmit power is reported with a resolution of 1 dB, with values in the</w:t>
            </w:r>
            <w:r w:rsidRPr="00C974D5">
              <w:rPr>
                <w:highlight w:val="yellow"/>
              </w:rPr>
              <w:br/>
            </w:r>
            <w:r w:rsidRPr="00C974D5">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C974D5">
              <w:rPr>
                <w:highlight w:val="yellow"/>
              </w:rPr>
              <w:t>MHz.</w:t>
            </w:r>
            <w:proofErr w:type="spellEnd"/>
            <w:r w:rsidRPr="00C974D5">
              <w:rPr>
                <w:highlight w:val="yellow"/>
              </w:rPr>
              <w:t xml:space="preserve">  </w:t>
            </w:r>
            <w:proofErr w:type="gramStart"/>
            <w:r w:rsidRPr="00C974D5">
              <w:rPr>
                <w:highlight w:val="yellow"/>
              </w:rPr>
              <w:t>Also</w:t>
            </w:r>
            <w:proofErr w:type="gramEnd"/>
            <w:r w:rsidRPr="00C974D5">
              <w:rPr>
                <w:highlight w:val="yellow"/>
              </w:rPr>
              <w:t xml:space="preserve"> there's only one transmit antenna connector</w:t>
            </w:r>
          </w:p>
        </w:tc>
        <w:tc>
          <w:tcPr>
            <w:tcW w:w="2430" w:type="dxa"/>
            <w:hideMark/>
          </w:tcPr>
          <w:p w14:paraId="20EE6235" w14:textId="77777777" w:rsidR="00F272E2" w:rsidRPr="00C974D5" w:rsidRDefault="00F272E2">
            <w:pPr>
              <w:rPr>
                <w:highlight w:val="yellow"/>
              </w:rPr>
            </w:pPr>
            <w:r w:rsidRPr="00C974D5">
              <w:rPr>
                <w:highlight w:val="yellow"/>
              </w:rPr>
              <w:t>Change to "The AP Tx Power subfield of the Common Info field indicates the AP's transmit</w:t>
            </w:r>
            <w:r w:rsidRPr="00C974D5">
              <w:rPr>
                <w:highlight w:val="yellow"/>
              </w:rPr>
              <w:br/>
            </w:r>
            <w:r w:rsidRPr="00C974D5">
              <w:rPr>
                <w:highlight w:val="yellow"/>
              </w:rPr>
              <w:br/>
              <w:t xml:space="preserve">power spectral density at the transmit antenna connector used to transmit the triggering PPDU, in units of dBm / 20 </w:t>
            </w:r>
            <w:proofErr w:type="spellStart"/>
            <w:r w:rsidRPr="00C974D5">
              <w:rPr>
                <w:highlight w:val="yellow"/>
              </w:rPr>
              <w:t>MHz.</w:t>
            </w:r>
            <w:proofErr w:type="spellEnd"/>
            <w:r w:rsidRPr="00C974D5">
              <w:rPr>
                <w:highlight w:val="yellow"/>
              </w:rPr>
              <w:t xml:space="preserve"> The transmit power is reported with a resolution of 1 dB / 20 MHz, with values in the</w:t>
            </w:r>
            <w:r w:rsidRPr="00C974D5">
              <w:rPr>
                <w:highlight w:val="yellow"/>
              </w:rPr>
              <w:br/>
            </w:r>
            <w:r w:rsidRPr="00C974D5">
              <w:rPr>
                <w:highlight w:val="yellow"/>
              </w:rPr>
              <w:br/>
              <w:t>range 0 to 60 representing -20 dBm / 20 MHz to 40 dBm / 20 MHz, respectively."</w:t>
            </w:r>
          </w:p>
        </w:tc>
        <w:tc>
          <w:tcPr>
            <w:tcW w:w="3870" w:type="dxa"/>
            <w:hideMark/>
          </w:tcPr>
          <w:p w14:paraId="743A44B9" w14:textId="22D84642" w:rsidR="00F272E2" w:rsidRPr="00C974D5" w:rsidRDefault="00B6321C">
            <w:pPr>
              <w:rPr>
                <w:highlight w:val="yellow"/>
              </w:rPr>
            </w:pPr>
            <w:r w:rsidRPr="00C974D5">
              <w:rPr>
                <w:highlight w:val="yellow"/>
              </w:rPr>
              <w:t>&lt;Xiaogang&gt;</w:t>
            </w:r>
          </w:p>
        </w:tc>
      </w:tr>
      <w:tr w:rsidR="00A27851" w:rsidRPr="00F272E2" w14:paraId="5C18D8F4" w14:textId="77777777" w:rsidTr="00802F85">
        <w:trPr>
          <w:trHeight w:val="8190"/>
        </w:trPr>
        <w:tc>
          <w:tcPr>
            <w:tcW w:w="625" w:type="dxa"/>
            <w:hideMark/>
          </w:tcPr>
          <w:p w14:paraId="0265F41B" w14:textId="77777777" w:rsidR="00A27851" w:rsidRPr="00C974D5" w:rsidRDefault="00A27851" w:rsidP="00A27851">
            <w:pPr>
              <w:rPr>
                <w:highlight w:val="yellow"/>
              </w:rPr>
            </w:pPr>
            <w:r w:rsidRPr="00C974D5">
              <w:rPr>
                <w:highlight w:val="yellow"/>
              </w:rPr>
              <w:lastRenderedPageBreak/>
              <w:t>24302</w:t>
            </w:r>
          </w:p>
        </w:tc>
        <w:tc>
          <w:tcPr>
            <w:tcW w:w="720" w:type="dxa"/>
            <w:hideMark/>
          </w:tcPr>
          <w:p w14:paraId="1C525D4B" w14:textId="77777777" w:rsidR="00A27851" w:rsidRPr="00C974D5" w:rsidRDefault="00A27851" w:rsidP="00A27851">
            <w:pPr>
              <w:rPr>
                <w:highlight w:val="yellow"/>
              </w:rPr>
            </w:pPr>
            <w:r w:rsidRPr="00C974D5">
              <w:rPr>
                <w:highlight w:val="yellow"/>
              </w:rPr>
              <w:t>RISON, Mark</w:t>
            </w:r>
          </w:p>
        </w:tc>
        <w:tc>
          <w:tcPr>
            <w:tcW w:w="450" w:type="dxa"/>
            <w:hideMark/>
          </w:tcPr>
          <w:p w14:paraId="77576B48" w14:textId="77777777" w:rsidR="00A27851" w:rsidRPr="00C974D5" w:rsidRDefault="00A27851" w:rsidP="00A27851">
            <w:pPr>
              <w:rPr>
                <w:highlight w:val="yellow"/>
              </w:rPr>
            </w:pPr>
          </w:p>
        </w:tc>
        <w:tc>
          <w:tcPr>
            <w:tcW w:w="450" w:type="dxa"/>
            <w:hideMark/>
          </w:tcPr>
          <w:p w14:paraId="6FBBA144" w14:textId="77777777" w:rsidR="00A27851" w:rsidRPr="00C974D5" w:rsidRDefault="00A27851" w:rsidP="00A27851">
            <w:pPr>
              <w:rPr>
                <w:highlight w:val="yellow"/>
              </w:rPr>
            </w:pPr>
          </w:p>
        </w:tc>
        <w:tc>
          <w:tcPr>
            <w:tcW w:w="540" w:type="dxa"/>
            <w:hideMark/>
          </w:tcPr>
          <w:p w14:paraId="15C83CDB" w14:textId="77777777" w:rsidR="00A27851" w:rsidRPr="00C974D5" w:rsidRDefault="00A27851" w:rsidP="00A27851">
            <w:pPr>
              <w:rPr>
                <w:highlight w:val="yellow"/>
              </w:rPr>
            </w:pPr>
            <w:r w:rsidRPr="00C974D5">
              <w:rPr>
                <w:highlight w:val="yellow"/>
              </w:rPr>
              <w:t>9</w:t>
            </w:r>
          </w:p>
        </w:tc>
        <w:tc>
          <w:tcPr>
            <w:tcW w:w="1710" w:type="dxa"/>
            <w:hideMark/>
          </w:tcPr>
          <w:p w14:paraId="4E6AA2C1" w14:textId="77777777" w:rsidR="00A27851" w:rsidRPr="00C974D5" w:rsidRDefault="00A27851" w:rsidP="00A27851">
            <w:pPr>
              <w:rPr>
                <w:highlight w:val="yellow"/>
              </w:rPr>
            </w:pPr>
            <w:r w:rsidRPr="00C974D5">
              <w:rPr>
                <w:highlight w:val="yellow"/>
              </w:rPr>
              <w:t>"The Rx HE-MCS Map &lt;= 80 MHz subfield is</w:t>
            </w:r>
            <w:r w:rsidRPr="00C974D5">
              <w:rPr>
                <w:highlight w:val="yellow"/>
              </w:rPr>
              <w:br/>
            </w:r>
            <w:r w:rsidRPr="00C974D5">
              <w:rPr>
                <w:highlight w:val="yellow"/>
              </w:rPr>
              <w:br/>
              <w:t>always present in the Supported HE-MCS And</w:t>
            </w:r>
            <w:r w:rsidRPr="00C974D5">
              <w:rPr>
                <w:highlight w:val="yellow"/>
              </w:rPr>
              <w:br/>
            </w:r>
            <w:r w:rsidRPr="00C974D5">
              <w:rPr>
                <w:highlight w:val="yellow"/>
              </w:rPr>
              <w:br/>
              <w:t>NSS Set field." and "The Tx HE-MCS Map &lt;= 80 MHz subfield is</w:t>
            </w:r>
            <w:r w:rsidRPr="00C974D5">
              <w:rPr>
                <w:highlight w:val="yellow"/>
              </w:rPr>
              <w:br/>
            </w:r>
            <w:r w:rsidRPr="00C974D5">
              <w:rPr>
                <w:highlight w:val="yellow"/>
              </w:rPr>
              <w:br/>
              <w:t>always present in the Supported HE-MCS And</w:t>
            </w:r>
            <w:r w:rsidRPr="00C974D5">
              <w:rPr>
                <w:highlight w:val="yellow"/>
              </w:rPr>
              <w:br/>
            </w:r>
            <w:r w:rsidRPr="00C974D5">
              <w:rPr>
                <w:highlight w:val="yellow"/>
              </w:rPr>
              <w:br/>
              <w:t xml:space="preserve">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w:t>
            </w:r>
            <w:proofErr w:type="spellStart"/>
            <w:r w:rsidRPr="00C974D5">
              <w:rPr>
                <w:highlight w:val="yellow"/>
              </w:rPr>
              <w:t>Color</w:t>
            </w:r>
            <w:proofErr w:type="spellEnd"/>
            <w:r w:rsidRPr="00C974D5">
              <w:rPr>
                <w:highlight w:val="yellow"/>
              </w:rPr>
              <w:t xml:space="preserve"> Change Announcement element is always present in the frame." in 9.6.32.2 HE BSS </w:t>
            </w:r>
            <w:proofErr w:type="spellStart"/>
            <w:r w:rsidRPr="00C974D5">
              <w:rPr>
                <w:highlight w:val="yellow"/>
              </w:rPr>
              <w:t>Color</w:t>
            </w:r>
            <w:proofErr w:type="spellEnd"/>
            <w:r w:rsidRPr="00C974D5">
              <w:rPr>
                <w:highlight w:val="yellow"/>
              </w:rPr>
              <w:t xml:space="preserve"> Change Announcement frame format duplicates Table 9-526f--HE BSS </w:t>
            </w:r>
            <w:proofErr w:type="spellStart"/>
            <w:r w:rsidRPr="00C974D5">
              <w:rPr>
                <w:highlight w:val="yellow"/>
              </w:rPr>
              <w:t>Color</w:t>
            </w:r>
            <w:proofErr w:type="spellEnd"/>
            <w:r w:rsidRPr="00C974D5">
              <w:rPr>
                <w:highlight w:val="yellow"/>
              </w:rPr>
              <w:t xml:space="preserve"> Change Announcement frame Action field format.</w:t>
            </w:r>
          </w:p>
        </w:tc>
        <w:tc>
          <w:tcPr>
            <w:tcW w:w="2430" w:type="dxa"/>
            <w:hideMark/>
          </w:tcPr>
          <w:p w14:paraId="6BF2A891" w14:textId="77777777" w:rsidR="00A27851" w:rsidRPr="00C974D5" w:rsidRDefault="00A27851" w:rsidP="00A27851">
            <w:pPr>
              <w:rPr>
                <w:highlight w:val="yellow"/>
              </w:rPr>
            </w:pPr>
            <w:r w:rsidRPr="00C974D5">
              <w:rPr>
                <w:highlight w:val="yellow"/>
              </w:rPr>
              <w:t>Delete the cited texts</w:t>
            </w:r>
          </w:p>
        </w:tc>
        <w:tc>
          <w:tcPr>
            <w:tcW w:w="3870" w:type="dxa"/>
            <w:hideMark/>
          </w:tcPr>
          <w:p w14:paraId="5739B670" w14:textId="7E767439" w:rsidR="00A27851" w:rsidRPr="00C974D5" w:rsidRDefault="00A27851" w:rsidP="00A27851">
            <w:pPr>
              <w:rPr>
                <w:highlight w:val="yellow"/>
              </w:rPr>
            </w:pPr>
            <w:r w:rsidRPr="00C974D5">
              <w:rPr>
                <w:highlight w:val="yellow"/>
              </w:rPr>
              <w:t>&lt;Editor&gt;</w:t>
            </w:r>
          </w:p>
        </w:tc>
      </w:tr>
      <w:tr w:rsidR="00A27851" w:rsidRPr="00F272E2" w14:paraId="003F3C4E" w14:textId="77777777" w:rsidTr="00526AF7">
        <w:trPr>
          <w:trHeight w:val="5210"/>
        </w:trPr>
        <w:tc>
          <w:tcPr>
            <w:tcW w:w="625" w:type="dxa"/>
            <w:hideMark/>
          </w:tcPr>
          <w:p w14:paraId="4047E28E" w14:textId="77777777" w:rsidR="00A27851" w:rsidRPr="00C974D5" w:rsidRDefault="00A27851" w:rsidP="00A27851">
            <w:pPr>
              <w:rPr>
                <w:highlight w:val="yellow"/>
              </w:rPr>
            </w:pPr>
            <w:r w:rsidRPr="00C974D5">
              <w:rPr>
                <w:highlight w:val="yellow"/>
              </w:rPr>
              <w:lastRenderedPageBreak/>
              <w:t>24371</w:t>
            </w:r>
          </w:p>
        </w:tc>
        <w:tc>
          <w:tcPr>
            <w:tcW w:w="720" w:type="dxa"/>
            <w:hideMark/>
          </w:tcPr>
          <w:p w14:paraId="20CB3A3A" w14:textId="77777777" w:rsidR="00A27851" w:rsidRPr="00C974D5" w:rsidRDefault="00A27851" w:rsidP="00A27851">
            <w:pPr>
              <w:rPr>
                <w:highlight w:val="yellow"/>
              </w:rPr>
            </w:pPr>
            <w:r w:rsidRPr="00C974D5">
              <w:rPr>
                <w:highlight w:val="yellow"/>
              </w:rPr>
              <w:t>RISON, Mark</w:t>
            </w:r>
          </w:p>
        </w:tc>
        <w:tc>
          <w:tcPr>
            <w:tcW w:w="450" w:type="dxa"/>
            <w:hideMark/>
          </w:tcPr>
          <w:p w14:paraId="1D3B37C9" w14:textId="77777777" w:rsidR="00A27851" w:rsidRPr="00C974D5" w:rsidRDefault="00A27851" w:rsidP="00A27851">
            <w:pPr>
              <w:rPr>
                <w:highlight w:val="yellow"/>
              </w:rPr>
            </w:pPr>
          </w:p>
        </w:tc>
        <w:tc>
          <w:tcPr>
            <w:tcW w:w="450" w:type="dxa"/>
            <w:hideMark/>
          </w:tcPr>
          <w:p w14:paraId="03D7D66A" w14:textId="77777777" w:rsidR="00A27851" w:rsidRPr="00C974D5" w:rsidRDefault="00A27851" w:rsidP="00A27851">
            <w:pPr>
              <w:rPr>
                <w:highlight w:val="yellow"/>
              </w:rPr>
            </w:pPr>
          </w:p>
        </w:tc>
        <w:tc>
          <w:tcPr>
            <w:tcW w:w="540" w:type="dxa"/>
            <w:hideMark/>
          </w:tcPr>
          <w:p w14:paraId="79E99171" w14:textId="77777777" w:rsidR="00A27851" w:rsidRPr="00C974D5" w:rsidRDefault="00A27851" w:rsidP="00A27851">
            <w:pPr>
              <w:rPr>
                <w:highlight w:val="yellow"/>
              </w:rPr>
            </w:pPr>
          </w:p>
        </w:tc>
        <w:tc>
          <w:tcPr>
            <w:tcW w:w="1710" w:type="dxa"/>
            <w:hideMark/>
          </w:tcPr>
          <w:p w14:paraId="35E3AE1D" w14:textId="77777777" w:rsidR="00A27851" w:rsidRPr="00C974D5" w:rsidRDefault="00A27851" w:rsidP="00A27851">
            <w:pPr>
              <w:rPr>
                <w:highlight w:val="yellow"/>
              </w:rPr>
            </w:pPr>
            <w:r w:rsidRPr="00C974D5">
              <w:rPr>
                <w:highlight w:val="yellow"/>
              </w:rPr>
              <w:t xml:space="preserve">[Resubmission of comment withdrawn on D5.0] Per the definition of an antenna connector there is only ever one for </w:t>
            </w:r>
            <w:proofErr w:type="spellStart"/>
            <w:r w:rsidRPr="00C974D5">
              <w:rPr>
                <w:highlight w:val="yellow"/>
              </w:rPr>
              <w:t>tx</w:t>
            </w:r>
            <w:proofErr w:type="spellEnd"/>
            <w:r w:rsidRPr="00C974D5">
              <w:rPr>
                <w:highlight w:val="yellow"/>
              </w:rPr>
              <w:t xml:space="preserve"> and one for </w:t>
            </w:r>
            <w:proofErr w:type="spellStart"/>
            <w:r w:rsidRPr="00C974D5">
              <w:rPr>
                <w:highlight w:val="yellow"/>
              </w:rPr>
              <w:t>rx</w:t>
            </w:r>
            <w:proofErr w:type="spellEnd"/>
          </w:p>
        </w:tc>
        <w:tc>
          <w:tcPr>
            <w:tcW w:w="2430" w:type="dxa"/>
            <w:hideMark/>
          </w:tcPr>
          <w:p w14:paraId="7A9B594F" w14:textId="77777777" w:rsidR="00A27851" w:rsidRPr="00C974D5" w:rsidRDefault="00A27851" w:rsidP="00A27851">
            <w:pPr>
              <w:rPr>
                <w:highlight w:val="yellow"/>
              </w:rPr>
            </w:pPr>
            <w:r w:rsidRPr="00C974D5">
              <w:rPr>
                <w:highlight w:val="yellow"/>
              </w:rPr>
              <w:t>In 9.2.4.6a.1 TRS Control change "combined transmit power at the antenna connectors of all the transmit antennas" to "power at the transmit antenna connector".  In 9.3.1.22.1 General change "combined transmit</w:t>
            </w:r>
            <w:r w:rsidRPr="00C974D5">
              <w:rPr>
                <w:highlight w:val="yellow"/>
              </w:rPr>
              <w:br/>
            </w:r>
            <w:r w:rsidRPr="00C974D5">
              <w:rPr>
                <w:highlight w:val="yellow"/>
              </w:rPr>
              <w:br/>
              <w:t>power at the antenna connectors of all the transmit antennas used to transmit the Trigger frame" to "power at the transmit antenna connector"; "averaged</w:t>
            </w:r>
            <w:r w:rsidRPr="00C974D5">
              <w:rPr>
                <w:highlight w:val="yellow"/>
              </w:rPr>
              <w:br/>
            </w:r>
            <w:r w:rsidRPr="00C974D5">
              <w:rPr>
                <w:highlight w:val="yellow"/>
              </w:rPr>
              <w:br/>
              <w:t>over the AP's antenna connectors" to "averaged</w:t>
            </w:r>
            <w:r w:rsidRPr="00C974D5">
              <w:rPr>
                <w:highlight w:val="yellow"/>
              </w:rPr>
              <w:br/>
            </w:r>
            <w:r w:rsidRPr="00C974D5">
              <w:rPr>
                <w:highlight w:val="yellow"/>
              </w:rPr>
              <w:br/>
              <w:t>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backoff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C974D5">
              <w:rPr>
                <w:highlight w:val="yellow"/>
              </w:rPr>
              <w:br/>
            </w:r>
            <w:r w:rsidRPr="00C974D5">
              <w:rPr>
                <w:highlight w:val="yellow"/>
              </w:rPr>
              <w:br/>
              <w:t>connectors" to "target receive signal power of the HE TB PPDU at the AP's receive antenna</w:t>
            </w:r>
            <w:r w:rsidRPr="00C974D5">
              <w:rPr>
                <w:highlight w:val="yellow"/>
              </w:rPr>
              <w:br/>
            </w:r>
            <w:r w:rsidRPr="00C974D5">
              <w:rPr>
                <w:highlight w:val="yellow"/>
              </w:rPr>
              <w:lastRenderedPageBreak/>
              <w:br/>
              <w:t>connector" and "antenna connector(s)" to "receive antenna connector".  In 27.3.14.3 Pre-correction accuracy requirements change "support per chain max(P-32, -10) dBm as the minimum trans-</w:t>
            </w:r>
            <w:r w:rsidRPr="00C974D5">
              <w:rPr>
                <w:highlight w:val="yellow"/>
              </w:rPr>
              <w:br/>
            </w:r>
            <w:r w:rsidRPr="00C974D5">
              <w:rPr>
                <w:highlight w:val="yellow"/>
              </w:rPr>
              <w:br/>
            </w:r>
            <w:proofErr w:type="spellStart"/>
            <w:r w:rsidRPr="00C974D5">
              <w:rPr>
                <w:highlight w:val="yellow"/>
              </w:rPr>
              <w:t>mit</w:t>
            </w:r>
            <w:proofErr w:type="spellEnd"/>
            <w:r w:rsidRPr="00C974D5">
              <w:rPr>
                <w:highlight w:val="yellow"/>
              </w:rPr>
              <w:t xml:space="preserve"> power, where P is the maximum power, in dBm, that the STA can transmit at the antenna connector of</w:t>
            </w:r>
            <w:r w:rsidRPr="00C974D5">
              <w:rPr>
                <w:highlight w:val="yellow"/>
              </w:rPr>
              <w:br/>
            </w:r>
            <w:r w:rsidRPr="00C974D5">
              <w:rPr>
                <w:highlight w:val="yellow"/>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3870" w:type="dxa"/>
            <w:hideMark/>
          </w:tcPr>
          <w:p w14:paraId="34BE368B" w14:textId="42F7E3F9" w:rsidR="00A27851" w:rsidRPr="00C974D5" w:rsidRDefault="00A27851" w:rsidP="00A27851">
            <w:pPr>
              <w:rPr>
                <w:highlight w:val="yellow"/>
              </w:rPr>
            </w:pPr>
            <w:r w:rsidRPr="00C974D5">
              <w:rPr>
                <w:highlight w:val="yellow"/>
              </w:rPr>
              <w:lastRenderedPageBreak/>
              <w:t>&lt;Editor&gt;</w:t>
            </w:r>
          </w:p>
        </w:tc>
      </w:tr>
      <w:tr w:rsidR="00A27851" w:rsidRPr="00F272E2" w14:paraId="586DE7D4" w14:textId="77777777" w:rsidTr="00802F85">
        <w:trPr>
          <w:trHeight w:val="3570"/>
        </w:trPr>
        <w:tc>
          <w:tcPr>
            <w:tcW w:w="625" w:type="dxa"/>
            <w:hideMark/>
          </w:tcPr>
          <w:p w14:paraId="14F92C98" w14:textId="77777777" w:rsidR="00A27851" w:rsidRPr="00C974D5" w:rsidRDefault="00A27851" w:rsidP="00A27851">
            <w:pPr>
              <w:rPr>
                <w:highlight w:val="yellow"/>
              </w:rPr>
            </w:pPr>
            <w:r w:rsidRPr="00C974D5">
              <w:rPr>
                <w:highlight w:val="yellow"/>
              </w:rPr>
              <w:t>24374</w:t>
            </w:r>
          </w:p>
        </w:tc>
        <w:tc>
          <w:tcPr>
            <w:tcW w:w="720" w:type="dxa"/>
            <w:hideMark/>
          </w:tcPr>
          <w:p w14:paraId="363075CC" w14:textId="77777777" w:rsidR="00A27851" w:rsidRPr="00C974D5" w:rsidRDefault="00A27851" w:rsidP="00A27851">
            <w:pPr>
              <w:rPr>
                <w:highlight w:val="yellow"/>
              </w:rPr>
            </w:pPr>
            <w:r w:rsidRPr="00C974D5">
              <w:rPr>
                <w:highlight w:val="yellow"/>
              </w:rPr>
              <w:t>RISON, Mark</w:t>
            </w:r>
          </w:p>
        </w:tc>
        <w:tc>
          <w:tcPr>
            <w:tcW w:w="450" w:type="dxa"/>
            <w:hideMark/>
          </w:tcPr>
          <w:p w14:paraId="615D28AF" w14:textId="77777777" w:rsidR="00A27851" w:rsidRPr="00C974D5" w:rsidRDefault="00A27851" w:rsidP="00A27851">
            <w:pPr>
              <w:rPr>
                <w:highlight w:val="yellow"/>
              </w:rPr>
            </w:pPr>
          </w:p>
        </w:tc>
        <w:tc>
          <w:tcPr>
            <w:tcW w:w="450" w:type="dxa"/>
            <w:hideMark/>
          </w:tcPr>
          <w:p w14:paraId="4DEEA5C1" w14:textId="77777777" w:rsidR="00A27851" w:rsidRPr="00C974D5" w:rsidRDefault="00A27851" w:rsidP="00A27851">
            <w:pPr>
              <w:rPr>
                <w:highlight w:val="yellow"/>
              </w:rPr>
            </w:pPr>
          </w:p>
        </w:tc>
        <w:tc>
          <w:tcPr>
            <w:tcW w:w="540" w:type="dxa"/>
            <w:hideMark/>
          </w:tcPr>
          <w:p w14:paraId="508FBF3A" w14:textId="77777777" w:rsidR="00A27851" w:rsidRPr="00C974D5" w:rsidRDefault="00A27851" w:rsidP="00A27851">
            <w:pPr>
              <w:rPr>
                <w:highlight w:val="yellow"/>
              </w:rPr>
            </w:pPr>
            <w:r w:rsidRPr="00C974D5">
              <w:rPr>
                <w:highlight w:val="yellow"/>
              </w:rPr>
              <w:t>10.6.12</w:t>
            </w:r>
          </w:p>
        </w:tc>
        <w:tc>
          <w:tcPr>
            <w:tcW w:w="1710" w:type="dxa"/>
            <w:hideMark/>
          </w:tcPr>
          <w:p w14:paraId="69EDDD74" w14:textId="77777777" w:rsidR="00A27851" w:rsidRPr="00C974D5" w:rsidRDefault="00A27851" w:rsidP="00A27851">
            <w:pPr>
              <w:rPr>
                <w:highlight w:val="yellow"/>
              </w:rPr>
            </w:pPr>
            <w:r w:rsidRPr="00C974D5">
              <w:rPr>
                <w:highlight w:val="yellow"/>
              </w:rPr>
              <w:t xml:space="preserve">[Resubmission of comment withdrawn on D5.0] An HE STA in 2G4 should not be allowed to send a frame with a </w:t>
            </w:r>
            <w:proofErr w:type="spellStart"/>
            <w:r w:rsidRPr="00C974D5">
              <w:rPr>
                <w:highlight w:val="yellow"/>
              </w:rPr>
              <w:t>bw</w:t>
            </w:r>
            <w:proofErr w:type="spellEnd"/>
            <w:r w:rsidRPr="00C974D5">
              <w:rPr>
                <w:highlight w:val="yellow"/>
              </w:rPr>
              <w:t xml:space="preserve">-signalling TA in a DSSS/CCK PPDU (in the baseline this is disallowed because only VHT STAs can send BSTAs but VHT STAs do not operate in the 2G4 band), since DSSS/CCK PPDUs do not carry signalling in the scrambler </w:t>
            </w:r>
            <w:proofErr w:type="spellStart"/>
            <w:r w:rsidRPr="00C974D5">
              <w:rPr>
                <w:highlight w:val="yellow"/>
              </w:rPr>
              <w:t>init</w:t>
            </w:r>
            <w:proofErr w:type="spellEnd"/>
          </w:p>
        </w:tc>
        <w:tc>
          <w:tcPr>
            <w:tcW w:w="2430" w:type="dxa"/>
            <w:hideMark/>
          </w:tcPr>
          <w:p w14:paraId="65558DF8" w14:textId="77777777" w:rsidR="00A27851" w:rsidRPr="00C974D5" w:rsidRDefault="00A27851" w:rsidP="00A27851">
            <w:pPr>
              <w:rPr>
                <w:highlight w:val="yellow"/>
              </w:rPr>
            </w:pPr>
            <w:r w:rsidRPr="00C974D5">
              <w:rPr>
                <w:highlight w:val="yellow"/>
              </w:rPr>
              <w:t xml:space="preserve">Insert as the third sentence of 10.6.12 Channel Width in non-HT and non-HT duplicate PPDUs in the baseline the sentence "The TA field shall not be set to a bandwidth </w:t>
            </w:r>
            <w:proofErr w:type="spellStart"/>
            <w:r w:rsidRPr="00C974D5">
              <w:rPr>
                <w:highlight w:val="yellow"/>
              </w:rPr>
              <w:t>signaling</w:t>
            </w:r>
            <w:proofErr w:type="spellEnd"/>
            <w:r w:rsidRPr="00C974D5">
              <w:rPr>
                <w:highlight w:val="yellow"/>
              </w:rPr>
              <w:t xml:space="preserve"> TA in a frame carried in a DSSS/CCK PPDU."</w:t>
            </w:r>
          </w:p>
        </w:tc>
        <w:tc>
          <w:tcPr>
            <w:tcW w:w="3870" w:type="dxa"/>
            <w:hideMark/>
          </w:tcPr>
          <w:p w14:paraId="1E345357" w14:textId="7849DD57" w:rsidR="00A27851" w:rsidRPr="00C974D5" w:rsidRDefault="00A27851" w:rsidP="00A27851">
            <w:pPr>
              <w:rPr>
                <w:highlight w:val="yellow"/>
              </w:rPr>
            </w:pPr>
            <w:r w:rsidRPr="00C974D5">
              <w:rPr>
                <w:highlight w:val="yellow"/>
              </w:rPr>
              <w:t>&lt;Editor&gt;</w:t>
            </w:r>
          </w:p>
        </w:tc>
      </w:tr>
      <w:tr w:rsidR="00A27851" w:rsidRPr="00F272E2" w14:paraId="1EB8F074" w14:textId="77777777" w:rsidTr="00802F85">
        <w:trPr>
          <w:trHeight w:val="1275"/>
        </w:trPr>
        <w:tc>
          <w:tcPr>
            <w:tcW w:w="625" w:type="dxa"/>
            <w:hideMark/>
          </w:tcPr>
          <w:p w14:paraId="0B6384D7" w14:textId="77777777" w:rsidR="00A27851" w:rsidRPr="00C974D5" w:rsidRDefault="00A27851" w:rsidP="00A27851">
            <w:pPr>
              <w:rPr>
                <w:highlight w:val="yellow"/>
              </w:rPr>
            </w:pPr>
            <w:r w:rsidRPr="00C974D5">
              <w:rPr>
                <w:highlight w:val="yellow"/>
              </w:rPr>
              <w:t>24402</w:t>
            </w:r>
          </w:p>
        </w:tc>
        <w:tc>
          <w:tcPr>
            <w:tcW w:w="720" w:type="dxa"/>
            <w:hideMark/>
          </w:tcPr>
          <w:p w14:paraId="03EBD0E6" w14:textId="77777777" w:rsidR="00A27851" w:rsidRPr="00C974D5" w:rsidRDefault="00A27851" w:rsidP="00A27851">
            <w:pPr>
              <w:rPr>
                <w:highlight w:val="yellow"/>
              </w:rPr>
            </w:pPr>
            <w:r w:rsidRPr="00C974D5">
              <w:rPr>
                <w:highlight w:val="yellow"/>
              </w:rPr>
              <w:t>RISON, Mark</w:t>
            </w:r>
          </w:p>
        </w:tc>
        <w:tc>
          <w:tcPr>
            <w:tcW w:w="450" w:type="dxa"/>
            <w:hideMark/>
          </w:tcPr>
          <w:p w14:paraId="5CD5E605" w14:textId="77777777" w:rsidR="00A27851" w:rsidRPr="00C974D5" w:rsidRDefault="00A27851" w:rsidP="00A27851">
            <w:pPr>
              <w:rPr>
                <w:highlight w:val="yellow"/>
              </w:rPr>
            </w:pPr>
          </w:p>
        </w:tc>
        <w:tc>
          <w:tcPr>
            <w:tcW w:w="450" w:type="dxa"/>
            <w:hideMark/>
          </w:tcPr>
          <w:p w14:paraId="14E6245D" w14:textId="77777777" w:rsidR="00A27851" w:rsidRPr="00C974D5" w:rsidRDefault="00A27851" w:rsidP="00A27851">
            <w:pPr>
              <w:rPr>
                <w:highlight w:val="yellow"/>
              </w:rPr>
            </w:pPr>
          </w:p>
        </w:tc>
        <w:tc>
          <w:tcPr>
            <w:tcW w:w="540" w:type="dxa"/>
            <w:hideMark/>
          </w:tcPr>
          <w:p w14:paraId="662A8BA7" w14:textId="77777777" w:rsidR="00A27851" w:rsidRPr="00C974D5" w:rsidRDefault="00A27851" w:rsidP="00A27851">
            <w:pPr>
              <w:rPr>
                <w:highlight w:val="yellow"/>
              </w:rPr>
            </w:pPr>
            <w:r w:rsidRPr="00C974D5">
              <w:rPr>
                <w:highlight w:val="yellow"/>
              </w:rPr>
              <w:t>C.3</w:t>
            </w:r>
          </w:p>
        </w:tc>
        <w:tc>
          <w:tcPr>
            <w:tcW w:w="1710" w:type="dxa"/>
            <w:hideMark/>
          </w:tcPr>
          <w:p w14:paraId="3236F690" w14:textId="77777777" w:rsidR="00A27851" w:rsidRPr="00C974D5" w:rsidRDefault="00A27851" w:rsidP="00A27851">
            <w:pPr>
              <w:rPr>
                <w:highlight w:val="yellow"/>
              </w:rPr>
            </w:pPr>
            <w:r w:rsidRPr="00C974D5">
              <w:rPr>
                <w:highlight w:val="yellow"/>
              </w:rPr>
              <w:t>[Resubmission of comment withdrawn on D5.0] OCW defaults should be in the MIB, just like EDCA defaults are</w:t>
            </w:r>
          </w:p>
        </w:tc>
        <w:tc>
          <w:tcPr>
            <w:tcW w:w="2430" w:type="dxa"/>
            <w:hideMark/>
          </w:tcPr>
          <w:p w14:paraId="019DCEEE" w14:textId="77777777" w:rsidR="00A27851" w:rsidRPr="00C974D5" w:rsidRDefault="00A27851" w:rsidP="00A27851">
            <w:pPr>
              <w:rPr>
                <w:highlight w:val="yellow"/>
              </w:rPr>
            </w:pPr>
            <w:r w:rsidRPr="00C974D5">
              <w:rPr>
                <w:highlight w:val="yellow"/>
              </w:rPr>
              <w:t>As it says in the comment</w:t>
            </w:r>
          </w:p>
        </w:tc>
        <w:tc>
          <w:tcPr>
            <w:tcW w:w="3870" w:type="dxa"/>
            <w:hideMark/>
          </w:tcPr>
          <w:p w14:paraId="1E18210F" w14:textId="54BE7255" w:rsidR="00A27851" w:rsidRPr="00C974D5" w:rsidRDefault="00A27851" w:rsidP="00A27851">
            <w:pPr>
              <w:rPr>
                <w:highlight w:val="yellow"/>
              </w:rPr>
            </w:pPr>
            <w:r w:rsidRPr="00C974D5">
              <w:rPr>
                <w:highlight w:val="yellow"/>
              </w:rPr>
              <w:t>&lt;Yongho&gt;</w:t>
            </w:r>
          </w:p>
        </w:tc>
      </w:tr>
      <w:tr w:rsidR="00A27851" w:rsidRPr="00F272E2" w14:paraId="10F34640" w14:textId="77777777" w:rsidTr="00526AF7">
        <w:trPr>
          <w:trHeight w:val="1970"/>
        </w:trPr>
        <w:tc>
          <w:tcPr>
            <w:tcW w:w="625" w:type="dxa"/>
            <w:hideMark/>
          </w:tcPr>
          <w:p w14:paraId="37ED535E" w14:textId="77777777" w:rsidR="00A27851" w:rsidRPr="00C974D5" w:rsidRDefault="00A27851" w:rsidP="00A27851">
            <w:pPr>
              <w:rPr>
                <w:highlight w:val="yellow"/>
              </w:rPr>
            </w:pPr>
            <w:r w:rsidRPr="00C974D5">
              <w:rPr>
                <w:highlight w:val="yellow"/>
              </w:rPr>
              <w:t>24403</w:t>
            </w:r>
          </w:p>
        </w:tc>
        <w:tc>
          <w:tcPr>
            <w:tcW w:w="720" w:type="dxa"/>
            <w:hideMark/>
          </w:tcPr>
          <w:p w14:paraId="26A40857" w14:textId="77777777" w:rsidR="00A27851" w:rsidRPr="00C974D5" w:rsidRDefault="00A27851" w:rsidP="00A27851">
            <w:pPr>
              <w:rPr>
                <w:highlight w:val="yellow"/>
              </w:rPr>
            </w:pPr>
            <w:r w:rsidRPr="00C974D5">
              <w:rPr>
                <w:highlight w:val="yellow"/>
              </w:rPr>
              <w:t>RISON, Mark</w:t>
            </w:r>
          </w:p>
        </w:tc>
        <w:tc>
          <w:tcPr>
            <w:tcW w:w="450" w:type="dxa"/>
            <w:hideMark/>
          </w:tcPr>
          <w:p w14:paraId="76331D60" w14:textId="77777777" w:rsidR="00A27851" w:rsidRPr="00C974D5" w:rsidRDefault="00A27851" w:rsidP="00A27851">
            <w:pPr>
              <w:rPr>
                <w:highlight w:val="yellow"/>
              </w:rPr>
            </w:pPr>
          </w:p>
        </w:tc>
        <w:tc>
          <w:tcPr>
            <w:tcW w:w="450" w:type="dxa"/>
            <w:hideMark/>
          </w:tcPr>
          <w:p w14:paraId="21FAEF3A" w14:textId="77777777" w:rsidR="00A27851" w:rsidRPr="00C974D5" w:rsidRDefault="00A27851" w:rsidP="00A27851">
            <w:pPr>
              <w:rPr>
                <w:highlight w:val="yellow"/>
              </w:rPr>
            </w:pPr>
          </w:p>
        </w:tc>
        <w:tc>
          <w:tcPr>
            <w:tcW w:w="540" w:type="dxa"/>
            <w:hideMark/>
          </w:tcPr>
          <w:p w14:paraId="090704F7" w14:textId="77777777" w:rsidR="00A27851" w:rsidRPr="00C974D5" w:rsidRDefault="00A27851" w:rsidP="00A27851">
            <w:pPr>
              <w:rPr>
                <w:highlight w:val="yellow"/>
              </w:rPr>
            </w:pPr>
            <w:r w:rsidRPr="00C974D5">
              <w:rPr>
                <w:highlight w:val="yellow"/>
              </w:rPr>
              <w:t>26.6.3.1</w:t>
            </w:r>
          </w:p>
        </w:tc>
        <w:tc>
          <w:tcPr>
            <w:tcW w:w="1710" w:type="dxa"/>
            <w:hideMark/>
          </w:tcPr>
          <w:p w14:paraId="5E44AEC6" w14:textId="50911DFC" w:rsidR="00A27851" w:rsidRPr="00C974D5" w:rsidRDefault="00A27851" w:rsidP="00A27851">
            <w:pPr>
              <w:rPr>
                <w:highlight w:val="yellow"/>
              </w:rPr>
            </w:pPr>
            <w:r w:rsidRPr="00C974D5">
              <w:rPr>
                <w:highlight w:val="yellow"/>
              </w:rPr>
              <w:t xml:space="preserve">[Resubmission of comment withdrawn on D5.0] There has been extensive discussion in </w:t>
            </w:r>
            <w:proofErr w:type="spellStart"/>
            <w:r w:rsidRPr="00C974D5">
              <w:rPr>
                <w:highlight w:val="yellow"/>
              </w:rPr>
              <w:t>TGmd</w:t>
            </w:r>
            <w:proofErr w:type="spellEnd"/>
            <w:r w:rsidRPr="00C974D5">
              <w:rPr>
                <w:highlight w:val="yellow"/>
              </w:rPr>
              <w:t xml:space="preserve"> of the extent to which multiple ACs' traffic could be transmitted within a given TXOP.  The conclusion (see 18/1368 and </w:t>
            </w:r>
            <w:r w:rsidRPr="00C974D5">
              <w:rPr>
                <w:highlight w:val="yellow"/>
              </w:rPr>
              <w:lastRenderedPageBreak/>
              <w:t>18/1260) was that the correct balance of optimal spectrum utilisation and optimal QoS prioritisation was that:</w:t>
            </w:r>
            <w:r w:rsidRPr="00C974D5">
              <w:rPr>
                <w:highlight w:val="yellow"/>
              </w:rPr>
              <w:br/>
            </w:r>
            <w:r w:rsidRPr="00C974D5">
              <w:rPr>
                <w:highlight w:val="yellow"/>
              </w:rPr>
              <w:br/>
              <w:t>*       Allowing a lower AC to transmit into an AC with higher priority degrades the differentiated service offered to the higher AC</w:t>
            </w:r>
            <w:r w:rsidRPr="00C974D5">
              <w:rPr>
                <w:highlight w:val="yellow"/>
              </w:rPr>
              <w:br/>
            </w:r>
            <w:r w:rsidRPr="00C974D5">
              <w:rPr>
                <w:highlight w:val="yellow"/>
              </w:rPr>
              <w:br/>
              <w:t>though:</w:t>
            </w:r>
            <w:r w:rsidRPr="00C974D5">
              <w:rPr>
                <w:highlight w:val="yellow"/>
              </w:rPr>
              <w:br/>
            </w:r>
            <w:r w:rsidRPr="00C974D5">
              <w:rPr>
                <w:highlight w:val="yellow"/>
              </w:rPr>
              <w:br/>
              <w:t>*       However, once a lower AC has gained access, allowing the same STA higher AC to leverage that same TXOP makes sense</w:t>
            </w:r>
            <w:r w:rsidRPr="00C974D5">
              <w:rPr>
                <w:highlight w:val="yellow"/>
              </w:rPr>
              <w:br/>
            </w:r>
            <w:r w:rsidRPr="00C974D5">
              <w:rPr>
                <w:highlight w:val="yellow"/>
              </w:rPr>
              <w:br/>
              <w:t>i.e. you can aggregate higher-priority traffic only, after transmitting everything available on the primary AC.</w:t>
            </w:r>
            <w:r w:rsidRPr="00C974D5">
              <w:rPr>
                <w:highlight w:val="yellow"/>
              </w:rPr>
              <w:br/>
            </w:r>
            <w:r w:rsidRPr="00C974D5">
              <w:rPr>
                <w:highlight w:val="yellow"/>
              </w:rPr>
              <w:br/>
              <w:t xml:space="preserve">This balance exists for non-TB transmission in 11ax/D5.0.  </w:t>
            </w:r>
            <w:proofErr w:type="gramStart"/>
            <w:r w:rsidRPr="00C974D5">
              <w:rPr>
                <w:highlight w:val="yellow"/>
              </w:rPr>
              <w:t>However</w:t>
            </w:r>
            <w:proofErr w:type="gramEnd"/>
            <w:r w:rsidRPr="00C974D5">
              <w:rPr>
                <w:highlight w:val="yellow"/>
              </w:rPr>
              <w:t xml:space="preserve"> in 11ax/D5.0 for TB transmission any ACs are allowed, with just a recommendation to transmit from the preferred AC or higher.  The rule should be closer to the above, with encouragement to use the preferred AC first, then any higher-priority ACs, then anything else.</w:t>
            </w:r>
            <w:r w:rsidRPr="00C974D5">
              <w:rPr>
                <w:highlight w:val="yellow"/>
              </w:rPr>
              <w:br/>
            </w:r>
            <w:r w:rsidRPr="00C974D5">
              <w:rPr>
                <w:highlight w:val="yellow"/>
              </w:rPr>
              <w:br/>
            </w:r>
            <w:r w:rsidRPr="00C974D5">
              <w:rPr>
                <w:highlight w:val="yellow"/>
              </w:rPr>
              <w:br/>
              <w:t>There is also a lot of waffling and duplication in the current text.  And references to non-existent fields in 26.4.1.</w:t>
            </w:r>
          </w:p>
        </w:tc>
        <w:tc>
          <w:tcPr>
            <w:tcW w:w="2430" w:type="dxa"/>
            <w:hideMark/>
          </w:tcPr>
          <w:p w14:paraId="0BF1CFDA" w14:textId="77777777" w:rsidR="00A27851" w:rsidRPr="00C974D5" w:rsidRDefault="00A27851" w:rsidP="00A27851">
            <w:pPr>
              <w:rPr>
                <w:highlight w:val="yellow"/>
              </w:rPr>
            </w:pPr>
            <w:r w:rsidRPr="00C974D5">
              <w:rPr>
                <w:highlight w:val="yellow"/>
              </w:rPr>
              <w:lastRenderedPageBreak/>
              <w:t>Make the changes shown under Proposed changes for CID 21203 in 19/1667r1</w:t>
            </w:r>
          </w:p>
        </w:tc>
        <w:tc>
          <w:tcPr>
            <w:tcW w:w="3870" w:type="dxa"/>
            <w:hideMark/>
          </w:tcPr>
          <w:p w14:paraId="56BFA394" w14:textId="5EBAB9B9" w:rsidR="00A27851" w:rsidRPr="00C974D5" w:rsidRDefault="00A27851" w:rsidP="00A27851">
            <w:pPr>
              <w:rPr>
                <w:highlight w:val="yellow"/>
              </w:rPr>
            </w:pPr>
            <w:r w:rsidRPr="00C974D5">
              <w:rPr>
                <w:highlight w:val="yellow"/>
              </w:rPr>
              <w:t>&lt;Liwen&gt;</w:t>
            </w:r>
          </w:p>
        </w:tc>
      </w:tr>
      <w:tr w:rsidR="00A27851" w:rsidRPr="00F272E2" w14:paraId="7779562F" w14:textId="77777777" w:rsidTr="00802F85">
        <w:trPr>
          <w:trHeight w:val="4845"/>
        </w:trPr>
        <w:tc>
          <w:tcPr>
            <w:tcW w:w="625" w:type="dxa"/>
            <w:hideMark/>
          </w:tcPr>
          <w:p w14:paraId="5FDAC4CA" w14:textId="77777777" w:rsidR="00A27851" w:rsidRPr="00C974D5" w:rsidRDefault="00A27851" w:rsidP="00A27851">
            <w:pPr>
              <w:rPr>
                <w:highlight w:val="yellow"/>
              </w:rPr>
            </w:pPr>
            <w:r w:rsidRPr="00C974D5">
              <w:rPr>
                <w:highlight w:val="yellow"/>
              </w:rPr>
              <w:lastRenderedPageBreak/>
              <w:t>24404</w:t>
            </w:r>
          </w:p>
        </w:tc>
        <w:tc>
          <w:tcPr>
            <w:tcW w:w="720" w:type="dxa"/>
            <w:hideMark/>
          </w:tcPr>
          <w:p w14:paraId="66BC546B" w14:textId="77777777" w:rsidR="00A27851" w:rsidRPr="00C974D5" w:rsidRDefault="00A27851" w:rsidP="00A27851">
            <w:pPr>
              <w:rPr>
                <w:highlight w:val="yellow"/>
              </w:rPr>
            </w:pPr>
            <w:r w:rsidRPr="00C974D5">
              <w:rPr>
                <w:highlight w:val="yellow"/>
              </w:rPr>
              <w:t>RISON, Mark</w:t>
            </w:r>
          </w:p>
        </w:tc>
        <w:tc>
          <w:tcPr>
            <w:tcW w:w="450" w:type="dxa"/>
            <w:hideMark/>
          </w:tcPr>
          <w:p w14:paraId="0B3DA524" w14:textId="77777777" w:rsidR="00A27851" w:rsidRPr="00C974D5" w:rsidRDefault="00A27851" w:rsidP="00A27851">
            <w:pPr>
              <w:rPr>
                <w:highlight w:val="yellow"/>
              </w:rPr>
            </w:pPr>
          </w:p>
        </w:tc>
        <w:tc>
          <w:tcPr>
            <w:tcW w:w="450" w:type="dxa"/>
            <w:hideMark/>
          </w:tcPr>
          <w:p w14:paraId="56F50B5A" w14:textId="77777777" w:rsidR="00A27851" w:rsidRPr="00C974D5" w:rsidRDefault="00A27851" w:rsidP="00A27851">
            <w:pPr>
              <w:rPr>
                <w:highlight w:val="yellow"/>
              </w:rPr>
            </w:pPr>
          </w:p>
        </w:tc>
        <w:tc>
          <w:tcPr>
            <w:tcW w:w="540" w:type="dxa"/>
            <w:hideMark/>
          </w:tcPr>
          <w:p w14:paraId="27545B39" w14:textId="77777777" w:rsidR="00A27851" w:rsidRPr="00C974D5" w:rsidRDefault="00A27851" w:rsidP="00A27851">
            <w:pPr>
              <w:rPr>
                <w:highlight w:val="yellow"/>
              </w:rPr>
            </w:pPr>
            <w:r w:rsidRPr="00C974D5">
              <w:rPr>
                <w:highlight w:val="yellow"/>
              </w:rPr>
              <w:t>10.23.4.2.3</w:t>
            </w:r>
          </w:p>
        </w:tc>
        <w:tc>
          <w:tcPr>
            <w:tcW w:w="1710" w:type="dxa"/>
            <w:hideMark/>
          </w:tcPr>
          <w:p w14:paraId="5D837E7D" w14:textId="77777777" w:rsidR="00A27851" w:rsidRPr="00C974D5" w:rsidRDefault="00A27851" w:rsidP="00A27851">
            <w:pPr>
              <w:rPr>
                <w:highlight w:val="yellow"/>
              </w:rPr>
            </w:pPr>
            <w:r w:rsidRPr="00C974D5">
              <w:rPr>
                <w:highlight w:val="yellow"/>
              </w:rPr>
              <w:t xml:space="preserve">[Resubmission of comment withdrawn on D5.0] The baseline </w:t>
            </w:r>
            <w:proofErr w:type="gramStart"/>
            <w:r w:rsidRPr="00C974D5">
              <w:rPr>
                <w:highlight w:val="yellow"/>
              </w:rPr>
              <w:t>says</w:t>
            </w:r>
            <w:proofErr w:type="gramEnd"/>
            <w:r w:rsidRPr="00C974D5">
              <w:rPr>
                <w:highlight w:val="yellow"/>
              </w:rPr>
              <w:t xml:space="preserve"> "Frame exchange sequences for Management frames are excluded from the </w:t>
            </w:r>
            <w:proofErr w:type="spellStart"/>
            <w:r w:rsidRPr="00C974D5">
              <w:rPr>
                <w:highlight w:val="yellow"/>
              </w:rPr>
              <w:t>used_time</w:t>
            </w:r>
            <w:proofErr w:type="spellEnd"/>
            <w:r w:rsidRPr="00C974D5">
              <w:rPr>
                <w:highlight w:val="yellow"/>
              </w:rPr>
              <w:t xml:space="preserve"> update.", but it is not clear how HE TB PPDUs count for </w:t>
            </w:r>
            <w:proofErr w:type="spellStart"/>
            <w:r w:rsidRPr="00C974D5">
              <w:rPr>
                <w:highlight w:val="yellow"/>
              </w:rPr>
              <w:t>used_time</w:t>
            </w:r>
            <w:proofErr w:type="spellEnd"/>
            <w:r w:rsidRPr="00C974D5">
              <w:rPr>
                <w:highlight w:val="yellow"/>
              </w:rPr>
              <w:t xml:space="preserve">.  The answer is that TXOPs involving HE TB PPDUs should be excluded from </w:t>
            </w:r>
            <w:proofErr w:type="spellStart"/>
            <w:r w:rsidRPr="00C974D5">
              <w:rPr>
                <w:highlight w:val="yellow"/>
              </w:rPr>
              <w:t>used_time</w:t>
            </w:r>
            <w:proofErr w:type="spellEnd"/>
            <w:r w:rsidRPr="00C974D5">
              <w:rPr>
                <w:highlight w:val="yellow"/>
              </w:rPr>
              <w:t xml:space="preserve"> the AP can account for them when it allocates the </w:t>
            </w:r>
            <w:proofErr w:type="spellStart"/>
            <w:r w:rsidRPr="00C974D5">
              <w:rPr>
                <w:highlight w:val="yellow"/>
              </w:rPr>
              <w:t>admitted_time</w:t>
            </w:r>
            <w:proofErr w:type="spellEnd"/>
            <w:r w:rsidRPr="00C974D5">
              <w:rPr>
                <w:highlight w:val="yellow"/>
              </w:rPr>
              <w:t xml:space="preserve"> to the non-AP STA; any other unfairness is addressed by other mechanisms (e.g. the MU EDCA parameter set).</w:t>
            </w:r>
          </w:p>
        </w:tc>
        <w:tc>
          <w:tcPr>
            <w:tcW w:w="2430" w:type="dxa"/>
            <w:hideMark/>
          </w:tcPr>
          <w:p w14:paraId="18985DF3" w14:textId="77777777" w:rsidR="00A27851" w:rsidRPr="00C974D5" w:rsidRDefault="00A27851" w:rsidP="00A27851">
            <w:pPr>
              <w:rPr>
                <w:highlight w:val="yellow"/>
              </w:rPr>
            </w:pPr>
            <w:r w:rsidRPr="00C974D5">
              <w:rPr>
                <w:highlight w:val="yellow"/>
              </w:rPr>
              <w:t xml:space="preserve">In the referenced subclause, change "Frame exchange sequences for Management frames are excluded from the </w:t>
            </w:r>
            <w:proofErr w:type="spellStart"/>
            <w:r w:rsidRPr="00C974D5">
              <w:rPr>
                <w:highlight w:val="yellow"/>
              </w:rPr>
              <w:t>used_time</w:t>
            </w:r>
            <w:proofErr w:type="spellEnd"/>
            <w:r w:rsidRPr="00C974D5">
              <w:rPr>
                <w:highlight w:val="yellow"/>
              </w:rPr>
              <w:t xml:space="preserve"> update." to "Frame exchange sequences for Management frames and frame exchange sequences that include HE TB PPDU transmission are excluded from the </w:t>
            </w:r>
            <w:proofErr w:type="spellStart"/>
            <w:r w:rsidRPr="00C974D5">
              <w:rPr>
                <w:highlight w:val="yellow"/>
              </w:rPr>
              <w:t>used_time</w:t>
            </w:r>
            <w:proofErr w:type="spellEnd"/>
            <w:r w:rsidRPr="00C974D5">
              <w:rPr>
                <w:highlight w:val="yellow"/>
              </w:rPr>
              <w:t xml:space="preserve"> update."</w:t>
            </w:r>
          </w:p>
        </w:tc>
        <w:tc>
          <w:tcPr>
            <w:tcW w:w="3870" w:type="dxa"/>
            <w:hideMark/>
          </w:tcPr>
          <w:p w14:paraId="2858F345" w14:textId="77777777" w:rsidR="00A27851" w:rsidRPr="00C974D5" w:rsidRDefault="00A27851" w:rsidP="00A27851">
            <w:pPr>
              <w:rPr>
                <w:highlight w:val="yellow"/>
              </w:rPr>
            </w:pPr>
            <w:r w:rsidRPr="00C974D5">
              <w:rPr>
                <w:highlight w:val="yellow"/>
              </w:rPr>
              <w:t>&lt;Editor&gt;</w:t>
            </w:r>
          </w:p>
        </w:tc>
      </w:tr>
      <w:tr w:rsidR="00A27851" w:rsidRPr="00F272E2" w14:paraId="53AC41E9" w14:textId="77777777" w:rsidTr="00526AF7">
        <w:trPr>
          <w:trHeight w:val="350"/>
        </w:trPr>
        <w:tc>
          <w:tcPr>
            <w:tcW w:w="625" w:type="dxa"/>
            <w:hideMark/>
          </w:tcPr>
          <w:p w14:paraId="04EC4B27" w14:textId="77777777" w:rsidR="00A27851" w:rsidRPr="00C974D5" w:rsidRDefault="00A27851" w:rsidP="00A27851">
            <w:pPr>
              <w:rPr>
                <w:highlight w:val="yellow"/>
              </w:rPr>
            </w:pPr>
            <w:r w:rsidRPr="00C974D5">
              <w:rPr>
                <w:highlight w:val="yellow"/>
              </w:rPr>
              <w:t>24408</w:t>
            </w:r>
          </w:p>
        </w:tc>
        <w:tc>
          <w:tcPr>
            <w:tcW w:w="720" w:type="dxa"/>
            <w:hideMark/>
          </w:tcPr>
          <w:p w14:paraId="780BD73B" w14:textId="77777777" w:rsidR="00A27851" w:rsidRPr="00C974D5" w:rsidRDefault="00A27851" w:rsidP="00A27851">
            <w:pPr>
              <w:rPr>
                <w:highlight w:val="yellow"/>
              </w:rPr>
            </w:pPr>
            <w:r w:rsidRPr="00C974D5">
              <w:rPr>
                <w:highlight w:val="yellow"/>
              </w:rPr>
              <w:t>RISON, Mark</w:t>
            </w:r>
          </w:p>
        </w:tc>
        <w:tc>
          <w:tcPr>
            <w:tcW w:w="450" w:type="dxa"/>
            <w:hideMark/>
          </w:tcPr>
          <w:p w14:paraId="35BA2C0D" w14:textId="77777777" w:rsidR="00A27851" w:rsidRPr="00C974D5" w:rsidRDefault="00A27851" w:rsidP="00A27851">
            <w:pPr>
              <w:rPr>
                <w:highlight w:val="yellow"/>
              </w:rPr>
            </w:pPr>
          </w:p>
        </w:tc>
        <w:tc>
          <w:tcPr>
            <w:tcW w:w="450" w:type="dxa"/>
            <w:hideMark/>
          </w:tcPr>
          <w:p w14:paraId="4238AE56" w14:textId="77777777" w:rsidR="00A27851" w:rsidRPr="00C974D5" w:rsidRDefault="00A27851" w:rsidP="00A27851">
            <w:pPr>
              <w:rPr>
                <w:highlight w:val="yellow"/>
              </w:rPr>
            </w:pPr>
          </w:p>
        </w:tc>
        <w:tc>
          <w:tcPr>
            <w:tcW w:w="540" w:type="dxa"/>
            <w:hideMark/>
          </w:tcPr>
          <w:p w14:paraId="454DA8CE" w14:textId="77777777" w:rsidR="00A27851" w:rsidRPr="00C974D5" w:rsidRDefault="00A27851" w:rsidP="00A27851">
            <w:pPr>
              <w:rPr>
                <w:highlight w:val="yellow"/>
              </w:rPr>
            </w:pPr>
          </w:p>
        </w:tc>
        <w:tc>
          <w:tcPr>
            <w:tcW w:w="1710" w:type="dxa"/>
            <w:hideMark/>
          </w:tcPr>
          <w:p w14:paraId="2F5C2CF8" w14:textId="77777777" w:rsidR="00A27851" w:rsidRPr="00C974D5" w:rsidRDefault="00A27851" w:rsidP="00A27851">
            <w:pPr>
              <w:rPr>
                <w:highlight w:val="yellow"/>
              </w:rPr>
            </w:pPr>
            <w:r w:rsidRPr="00C974D5">
              <w:rPr>
                <w:highlight w:val="yellow"/>
              </w:rPr>
              <w:t xml:space="preserve">[Resubmission of comment withdrawn on D5.0] Re CID 20068 said "Avoid reference to magic numbers (2045). TGax has discussed this topic before and had decided to replace all references to AID12=0 or AID12=2045 with RA-RU for associated or </w:t>
            </w:r>
            <w:proofErr w:type="spellStart"/>
            <w:r w:rsidRPr="00C974D5">
              <w:rPr>
                <w:highlight w:val="yellow"/>
              </w:rPr>
              <w:t>unassociated</w:t>
            </w:r>
            <w:proofErr w:type="spellEnd"/>
            <w:r w:rsidRPr="00C974D5">
              <w:rPr>
                <w:highlight w:val="yellow"/>
              </w:rPr>
              <w:t xml:space="preserve"> STA." and was not rejected, but there are still lots of references to 2045</w:t>
            </w:r>
          </w:p>
        </w:tc>
        <w:tc>
          <w:tcPr>
            <w:tcW w:w="2430" w:type="dxa"/>
            <w:hideMark/>
          </w:tcPr>
          <w:p w14:paraId="7E35DF8F" w14:textId="77777777" w:rsidR="00A27851" w:rsidRPr="00C974D5" w:rsidRDefault="00A27851" w:rsidP="00A27851">
            <w:pPr>
              <w:rPr>
                <w:highlight w:val="yellow"/>
              </w:rPr>
            </w:pPr>
            <w:r w:rsidRPr="00C974D5">
              <w:rPr>
                <w:highlight w:val="yellow"/>
              </w:rPr>
              <w:t xml:space="preserve">Fix explicit 2045s in 26.4.1 Overview, 26.4.2 Acknowledgment context in a Multi-STA BlockAck frame, 26.5.2.2.1 General, 26.5.2.2.3 Padding for Trigger frame or frame containing TRS Control subfield, 26.5.2.3.1 General, 26.5.2.4 A-MPDU contents in an HE TB PPDU, 26.5.4.1 General, 26.5.4.5 Additional considerations for </w:t>
            </w:r>
            <w:proofErr w:type="spellStart"/>
            <w:r w:rsidRPr="00C974D5">
              <w:rPr>
                <w:highlight w:val="yellow"/>
              </w:rPr>
              <w:t>unassociated</w:t>
            </w:r>
            <w:proofErr w:type="spellEnd"/>
            <w:r w:rsidRPr="00C974D5">
              <w:rPr>
                <w:highlight w:val="yellow"/>
              </w:rPr>
              <w:t xml:space="preserve"> STAs, 26.11.1 STA_ID</w:t>
            </w:r>
          </w:p>
        </w:tc>
        <w:tc>
          <w:tcPr>
            <w:tcW w:w="3870" w:type="dxa"/>
            <w:hideMark/>
          </w:tcPr>
          <w:p w14:paraId="73CE7D5D" w14:textId="4042EB3C" w:rsidR="00A27851" w:rsidRPr="00C974D5" w:rsidRDefault="00A27851" w:rsidP="00A27851">
            <w:pPr>
              <w:rPr>
                <w:highlight w:val="yellow"/>
              </w:rPr>
            </w:pPr>
            <w:r w:rsidRPr="00C974D5">
              <w:rPr>
                <w:highlight w:val="yellow"/>
              </w:rPr>
              <w:t>&lt;Editor&gt;</w:t>
            </w:r>
          </w:p>
        </w:tc>
      </w:tr>
      <w:tr w:rsidR="00A27851" w:rsidRPr="00F272E2" w14:paraId="49A22C3F" w14:textId="77777777" w:rsidTr="00802F85">
        <w:trPr>
          <w:trHeight w:val="1530"/>
        </w:trPr>
        <w:tc>
          <w:tcPr>
            <w:tcW w:w="625" w:type="dxa"/>
            <w:hideMark/>
          </w:tcPr>
          <w:p w14:paraId="12695B7E" w14:textId="77777777" w:rsidR="00A27851" w:rsidRPr="00C974D5" w:rsidRDefault="00A27851" w:rsidP="00A27851">
            <w:pPr>
              <w:rPr>
                <w:highlight w:val="yellow"/>
              </w:rPr>
            </w:pPr>
            <w:r w:rsidRPr="00C974D5">
              <w:rPr>
                <w:highlight w:val="yellow"/>
              </w:rPr>
              <w:t>24417</w:t>
            </w:r>
          </w:p>
        </w:tc>
        <w:tc>
          <w:tcPr>
            <w:tcW w:w="720" w:type="dxa"/>
            <w:hideMark/>
          </w:tcPr>
          <w:p w14:paraId="6EE7AE10" w14:textId="77777777" w:rsidR="00A27851" w:rsidRPr="00C974D5" w:rsidRDefault="00A27851" w:rsidP="00A27851">
            <w:pPr>
              <w:rPr>
                <w:highlight w:val="yellow"/>
              </w:rPr>
            </w:pPr>
            <w:r w:rsidRPr="00C974D5">
              <w:rPr>
                <w:highlight w:val="yellow"/>
              </w:rPr>
              <w:t>RISON, Mark</w:t>
            </w:r>
          </w:p>
        </w:tc>
        <w:tc>
          <w:tcPr>
            <w:tcW w:w="450" w:type="dxa"/>
            <w:hideMark/>
          </w:tcPr>
          <w:p w14:paraId="591BC62D" w14:textId="77777777" w:rsidR="00A27851" w:rsidRPr="00C974D5" w:rsidRDefault="00A27851" w:rsidP="00A27851">
            <w:pPr>
              <w:rPr>
                <w:highlight w:val="yellow"/>
              </w:rPr>
            </w:pPr>
          </w:p>
        </w:tc>
        <w:tc>
          <w:tcPr>
            <w:tcW w:w="450" w:type="dxa"/>
            <w:hideMark/>
          </w:tcPr>
          <w:p w14:paraId="198E9134" w14:textId="77777777" w:rsidR="00A27851" w:rsidRPr="00C974D5" w:rsidRDefault="00A27851" w:rsidP="00A27851">
            <w:pPr>
              <w:rPr>
                <w:highlight w:val="yellow"/>
              </w:rPr>
            </w:pPr>
          </w:p>
        </w:tc>
        <w:tc>
          <w:tcPr>
            <w:tcW w:w="540" w:type="dxa"/>
            <w:hideMark/>
          </w:tcPr>
          <w:p w14:paraId="2831E87A" w14:textId="77777777" w:rsidR="00A27851" w:rsidRPr="00C974D5" w:rsidRDefault="00A27851" w:rsidP="00A27851">
            <w:pPr>
              <w:rPr>
                <w:highlight w:val="yellow"/>
              </w:rPr>
            </w:pPr>
          </w:p>
        </w:tc>
        <w:tc>
          <w:tcPr>
            <w:tcW w:w="1710" w:type="dxa"/>
            <w:hideMark/>
          </w:tcPr>
          <w:p w14:paraId="070D9CB5" w14:textId="77777777" w:rsidR="00A27851" w:rsidRPr="00C974D5" w:rsidRDefault="00A27851" w:rsidP="00A27851">
            <w:pPr>
              <w:rPr>
                <w:highlight w:val="yellow"/>
              </w:rPr>
            </w:pPr>
            <w:r w:rsidRPr="00C974D5">
              <w:rPr>
                <w:highlight w:val="yellow"/>
              </w:rPr>
              <w:t>[Resubmission of comment withdrawn on D5.0] Re CIDs 20521, 20522.  Various editorial consistency improvements were proposed but not addressed</w:t>
            </w:r>
          </w:p>
        </w:tc>
        <w:tc>
          <w:tcPr>
            <w:tcW w:w="2430" w:type="dxa"/>
            <w:hideMark/>
          </w:tcPr>
          <w:p w14:paraId="30418141" w14:textId="77777777" w:rsidR="00A27851" w:rsidRPr="00C974D5" w:rsidRDefault="00A27851" w:rsidP="00A27851">
            <w:pPr>
              <w:rPr>
                <w:highlight w:val="yellow"/>
              </w:rPr>
            </w:pPr>
            <w:r w:rsidRPr="00C974D5">
              <w:rPr>
                <w:highlight w:val="yellow"/>
              </w:rPr>
              <w:t>Make the editorial consistency improvements proposed for CIDs 20521, 20522</w:t>
            </w:r>
          </w:p>
        </w:tc>
        <w:tc>
          <w:tcPr>
            <w:tcW w:w="3870" w:type="dxa"/>
            <w:hideMark/>
          </w:tcPr>
          <w:p w14:paraId="5C08689D" w14:textId="2283398C" w:rsidR="00A27851" w:rsidRPr="00C974D5" w:rsidRDefault="00A27851" w:rsidP="00A27851">
            <w:pPr>
              <w:rPr>
                <w:highlight w:val="yellow"/>
              </w:rPr>
            </w:pPr>
            <w:r w:rsidRPr="00C974D5">
              <w:rPr>
                <w:highlight w:val="yellow"/>
              </w:rPr>
              <w:t>&lt;Editor&gt;</w:t>
            </w:r>
          </w:p>
        </w:tc>
      </w:tr>
      <w:tr w:rsidR="00A27851" w:rsidRPr="00F272E2" w14:paraId="3B242D25" w14:textId="77777777" w:rsidTr="00526AF7">
        <w:trPr>
          <w:trHeight w:val="260"/>
        </w:trPr>
        <w:tc>
          <w:tcPr>
            <w:tcW w:w="625" w:type="dxa"/>
            <w:hideMark/>
          </w:tcPr>
          <w:p w14:paraId="6D88453A" w14:textId="77777777" w:rsidR="00A27851" w:rsidRPr="00C974D5" w:rsidRDefault="00A27851" w:rsidP="00A27851">
            <w:pPr>
              <w:rPr>
                <w:highlight w:val="yellow"/>
              </w:rPr>
            </w:pPr>
            <w:r w:rsidRPr="00C974D5">
              <w:rPr>
                <w:highlight w:val="yellow"/>
              </w:rPr>
              <w:t>24418</w:t>
            </w:r>
          </w:p>
        </w:tc>
        <w:tc>
          <w:tcPr>
            <w:tcW w:w="720" w:type="dxa"/>
            <w:hideMark/>
          </w:tcPr>
          <w:p w14:paraId="1FD4A1D5" w14:textId="77777777" w:rsidR="00A27851" w:rsidRPr="00C974D5" w:rsidRDefault="00A27851" w:rsidP="00A27851">
            <w:pPr>
              <w:rPr>
                <w:highlight w:val="yellow"/>
              </w:rPr>
            </w:pPr>
            <w:r w:rsidRPr="00C974D5">
              <w:rPr>
                <w:highlight w:val="yellow"/>
              </w:rPr>
              <w:t>RISON, Mark</w:t>
            </w:r>
          </w:p>
        </w:tc>
        <w:tc>
          <w:tcPr>
            <w:tcW w:w="450" w:type="dxa"/>
            <w:hideMark/>
          </w:tcPr>
          <w:p w14:paraId="037D6D7B" w14:textId="77777777" w:rsidR="00A27851" w:rsidRPr="00C974D5" w:rsidRDefault="00A27851" w:rsidP="00A27851">
            <w:pPr>
              <w:rPr>
                <w:highlight w:val="yellow"/>
              </w:rPr>
            </w:pPr>
          </w:p>
        </w:tc>
        <w:tc>
          <w:tcPr>
            <w:tcW w:w="450" w:type="dxa"/>
            <w:hideMark/>
          </w:tcPr>
          <w:p w14:paraId="7DDDBC0E" w14:textId="77777777" w:rsidR="00A27851" w:rsidRPr="00C974D5" w:rsidRDefault="00A27851" w:rsidP="00A27851">
            <w:pPr>
              <w:rPr>
                <w:highlight w:val="yellow"/>
              </w:rPr>
            </w:pPr>
          </w:p>
        </w:tc>
        <w:tc>
          <w:tcPr>
            <w:tcW w:w="540" w:type="dxa"/>
            <w:hideMark/>
          </w:tcPr>
          <w:p w14:paraId="435BD8FC" w14:textId="77777777" w:rsidR="00A27851" w:rsidRPr="00C974D5" w:rsidRDefault="00A27851" w:rsidP="00A27851">
            <w:pPr>
              <w:rPr>
                <w:highlight w:val="yellow"/>
              </w:rPr>
            </w:pPr>
          </w:p>
        </w:tc>
        <w:tc>
          <w:tcPr>
            <w:tcW w:w="1710" w:type="dxa"/>
            <w:hideMark/>
          </w:tcPr>
          <w:p w14:paraId="7A741DE1" w14:textId="77777777" w:rsidR="00A27851" w:rsidRPr="00C974D5" w:rsidRDefault="00A27851" w:rsidP="00A27851">
            <w:pPr>
              <w:rPr>
                <w:highlight w:val="yellow"/>
              </w:rPr>
            </w:pPr>
            <w:r w:rsidRPr="00C974D5">
              <w:rPr>
                <w:highlight w:val="yellow"/>
              </w:rPr>
              <w:t xml:space="preserve">[Resubmission of comment withdrawn on D5.0] Re CID 20522.  It is still not sufficiently clear that  it's not over the PPDU bandwidth, </w:t>
            </w:r>
            <w:r w:rsidRPr="00C974D5">
              <w:rPr>
                <w:highlight w:val="yellow"/>
              </w:rPr>
              <w:lastRenderedPageBreak/>
              <w:t>it's over the RU width</w:t>
            </w:r>
          </w:p>
        </w:tc>
        <w:tc>
          <w:tcPr>
            <w:tcW w:w="2430" w:type="dxa"/>
            <w:hideMark/>
          </w:tcPr>
          <w:p w14:paraId="53AB2C42" w14:textId="77777777" w:rsidR="00A27851" w:rsidRPr="00C974D5" w:rsidRDefault="00A27851" w:rsidP="00A27851">
            <w:pPr>
              <w:rPr>
                <w:highlight w:val="yellow"/>
              </w:rPr>
            </w:pPr>
            <w:r w:rsidRPr="00C974D5">
              <w:rPr>
                <w:highlight w:val="yellow"/>
              </w:rPr>
              <w:lastRenderedPageBreak/>
              <w:t>Make the changes proposed in CID 20522</w:t>
            </w:r>
          </w:p>
        </w:tc>
        <w:tc>
          <w:tcPr>
            <w:tcW w:w="3870" w:type="dxa"/>
            <w:hideMark/>
          </w:tcPr>
          <w:p w14:paraId="68CDD2FD" w14:textId="3620777E" w:rsidR="00A27851" w:rsidRPr="00C974D5" w:rsidRDefault="00A27851" w:rsidP="00A27851">
            <w:pPr>
              <w:rPr>
                <w:highlight w:val="yellow"/>
              </w:rPr>
            </w:pPr>
            <w:r w:rsidRPr="00C974D5">
              <w:rPr>
                <w:highlight w:val="yellow"/>
              </w:rPr>
              <w:t>&lt;Editor&gt;</w:t>
            </w:r>
          </w:p>
        </w:tc>
      </w:tr>
      <w:tr w:rsidR="00A27851" w:rsidRPr="00F272E2" w14:paraId="6847130A" w14:textId="77777777" w:rsidTr="00802F85">
        <w:trPr>
          <w:trHeight w:val="3315"/>
        </w:trPr>
        <w:tc>
          <w:tcPr>
            <w:tcW w:w="625" w:type="dxa"/>
            <w:hideMark/>
          </w:tcPr>
          <w:p w14:paraId="75E4BA3B" w14:textId="77777777" w:rsidR="00A27851" w:rsidRPr="00C974D5" w:rsidRDefault="00A27851" w:rsidP="00A27851">
            <w:pPr>
              <w:rPr>
                <w:highlight w:val="yellow"/>
              </w:rPr>
            </w:pPr>
            <w:r w:rsidRPr="00C974D5">
              <w:rPr>
                <w:highlight w:val="yellow"/>
              </w:rPr>
              <w:t>24425</w:t>
            </w:r>
          </w:p>
        </w:tc>
        <w:tc>
          <w:tcPr>
            <w:tcW w:w="720" w:type="dxa"/>
            <w:hideMark/>
          </w:tcPr>
          <w:p w14:paraId="62C968CF" w14:textId="77777777" w:rsidR="00A27851" w:rsidRPr="00C974D5" w:rsidRDefault="00A27851" w:rsidP="00A27851">
            <w:pPr>
              <w:rPr>
                <w:highlight w:val="yellow"/>
              </w:rPr>
            </w:pPr>
            <w:r w:rsidRPr="00C974D5">
              <w:rPr>
                <w:highlight w:val="yellow"/>
              </w:rPr>
              <w:t>RISON, Mark</w:t>
            </w:r>
          </w:p>
        </w:tc>
        <w:tc>
          <w:tcPr>
            <w:tcW w:w="450" w:type="dxa"/>
            <w:hideMark/>
          </w:tcPr>
          <w:p w14:paraId="553AE0B6" w14:textId="77777777" w:rsidR="00A27851" w:rsidRPr="00C974D5" w:rsidRDefault="00A27851" w:rsidP="00A27851">
            <w:pPr>
              <w:rPr>
                <w:highlight w:val="yellow"/>
              </w:rPr>
            </w:pPr>
          </w:p>
        </w:tc>
        <w:tc>
          <w:tcPr>
            <w:tcW w:w="450" w:type="dxa"/>
            <w:hideMark/>
          </w:tcPr>
          <w:p w14:paraId="4ECB94F0" w14:textId="77777777" w:rsidR="00A27851" w:rsidRPr="00C974D5" w:rsidRDefault="00A27851" w:rsidP="00A27851">
            <w:pPr>
              <w:rPr>
                <w:highlight w:val="yellow"/>
              </w:rPr>
            </w:pPr>
          </w:p>
        </w:tc>
        <w:tc>
          <w:tcPr>
            <w:tcW w:w="540" w:type="dxa"/>
            <w:hideMark/>
          </w:tcPr>
          <w:p w14:paraId="0D5EEE85" w14:textId="77777777" w:rsidR="00A27851" w:rsidRPr="00C974D5" w:rsidRDefault="00A27851" w:rsidP="00A27851">
            <w:pPr>
              <w:rPr>
                <w:highlight w:val="yellow"/>
              </w:rPr>
            </w:pPr>
          </w:p>
        </w:tc>
        <w:tc>
          <w:tcPr>
            <w:tcW w:w="1710" w:type="dxa"/>
            <w:hideMark/>
          </w:tcPr>
          <w:p w14:paraId="06720766" w14:textId="77777777" w:rsidR="00A27851" w:rsidRPr="00C974D5" w:rsidRDefault="00A27851" w:rsidP="00A27851">
            <w:pPr>
              <w:rPr>
                <w:highlight w:val="yellow"/>
              </w:rPr>
            </w:pPr>
            <w:r w:rsidRPr="00C974D5">
              <w:rPr>
                <w:highlight w:val="yellow"/>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2430" w:type="dxa"/>
            <w:hideMark/>
          </w:tcPr>
          <w:p w14:paraId="5F928069" w14:textId="77777777" w:rsidR="00A27851" w:rsidRPr="00C974D5" w:rsidRDefault="00A27851" w:rsidP="00A27851">
            <w:pPr>
              <w:rPr>
                <w:highlight w:val="yellow"/>
              </w:rPr>
            </w:pPr>
            <w:r w:rsidRPr="00C974D5">
              <w:rPr>
                <w:highlight w:val="yellow"/>
              </w:rPr>
              <w:t>At the end of 9.2.4.6a.7 add a para "A CAS Control field is not present in a PPDU that is not an HE PPDU."</w:t>
            </w:r>
          </w:p>
        </w:tc>
        <w:tc>
          <w:tcPr>
            <w:tcW w:w="3870" w:type="dxa"/>
            <w:hideMark/>
          </w:tcPr>
          <w:p w14:paraId="12552A5E" w14:textId="0A499970" w:rsidR="00A27851" w:rsidRPr="00C974D5" w:rsidRDefault="00A27851" w:rsidP="00A27851">
            <w:pPr>
              <w:rPr>
                <w:highlight w:val="yellow"/>
              </w:rPr>
            </w:pPr>
            <w:r w:rsidRPr="00C974D5">
              <w:rPr>
                <w:highlight w:val="yellow"/>
              </w:rPr>
              <w:t>&lt;Editor&gt;</w:t>
            </w:r>
          </w:p>
        </w:tc>
      </w:tr>
      <w:tr w:rsidR="00A27851" w:rsidRPr="00F272E2" w14:paraId="5609E804" w14:textId="77777777" w:rsidTr="00802F85">
        <w:trPr>
          <w:trHeight w:val="3315"/>
        </w:trPr>
        <w:tc>
          <w:tcPr>
            <w:tcW w:w="625" w:type="dxa"/>
            <w:hideMark/>
          </w:tcPr>
          <w:p w14:paraId="09B25DFF" w14:textId="77777777" w:rsidR="00A27851" w:rsidRPr="00C974D5" w:rsidRDefault="00A27851" w:rsidP="00A27851">
            <w:pPr>
              <w:rPr>
                <w:highlight w:val="yellow"/>
              </w:rPr>
            </w:pPr>
            <w:r w:rsidRPr="00C974D5">
              <w:rPr>
                <w:highlight w:val="yellow"/>
              </w:rPr>
              <w:t>24426</w:t>
            </w:r>
          </w:p>
        </w:tc>
        <w:tc>
          <w:tcPr>
            <w:tcW w:w="720" w:type="dxa"/>
            <w:hideMark/>
          </w:tcPr>
          <w:p w14:paraId="1ACCC0AD" w14:textId="77777777" w:rsidR="00A27851" w:rsidRPr="00C974D5" w:rsidRDefault="00A27851" w:rsidP="00A27851">
            <w:pPr>
              <w:rPr>
                <w:highlight w:val="yellow"/>
              </w:rPr>
            </w:pPr>
            <w:r w:rsidRPr="00C974D5">
              <w:rPr>
                <w:highlight w:val="yellow"/>
              </w:rPr>
              <w:t>RISON, Mark</w:t>
            </w:r>
          </w:p>
        </w:tc>
        <w:tc>
          <w:tcPr>
            <w:tcW w:w="450" w:type="dxa"/>
            <w:hideMark/>
          </w:tcPr>
          <w:p w14:paraId="375B7A2A" w14:textId="77777777" w:rsidR="00A27851" w:rsidRPr="00C974D5" w:rsidRDefault="00A27851" w:rsidP="00A27851">
            <w:pPr>
              <w:rPr>
                <w:highlight w:val="yellow"/>
              </w:rPr>
            </w:pPr>
          </w:p>
        </w:tc>
        <w:tc>
          <w:tcPr>
            <w:tcW w:w="450" w:type="dxa"/>
            <w:hideMark/>
          </w:tcPr>
          <w:p w14:paraId="4B6A60EB" w14:textId="77777777" w:rsidR="00A27851" w:rsidRPr="00C974D5" w:rsidRDefault="00A27851" w:rsidP="00A27851">
            <w:pPr>
              <w:rPr>
                <w:highlight w:val="yellow"/>
              </w:rPr>
            </w:pPr>
          </w:p>
        </w:tc>
        <w:tc>
          <w:tcPr>
            <w:tcW w:w="540" w:type="dxa"/>
            <w:hideMark/>
          </w:tcPr>
          <w:p w14:paraId="742336D8" w14:textId="77777777" w:rsidR="00A27851" w:rsidRPr="00C974D5" w:rsidRDefault="00A27851" w:rsidP="00A27851">
            <w:pPr>
              <w:rPr>
                <w:highlight w:val="yellow"/>
              </w:rPr>
            </w:pPr>
          </w:p>
        </w:tc>
        <w:tc>
          <w:tcPr>
            <w:tcW w:w="1710" w:type="dxa"/>
            <w:hideMark/>
          </w:tcPr>
          <w:p w14:paraId="5D178B54" w14:textId="77777777" w:rsidR="00A27851" w:rsidRPr="00C974D5" w:rsidRDefault="00A27851" w:rsidP="00A27851">
            <w:pPr>
              <w:rPr>
                <w:highlight w:val="yellow"/>
              </w:rPr>
            </w:pPr>
            <w:r w:rsidRPr="00C974D5">
              <w:rPr>
                <w:highlight w:val="yellow"/>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2430" w:type="dxa"/>
            <w:hideMark/>
          </w:tcPr>
          <w:p w14:paraId="6B490010" w14:textId="77777777" w:rsidR="00A27851" w:rsidRPr="00C974D5" w:rsidRDefault="00A27851" w:rsidP="00A27851">
            <w:pPr>
              <w:rPr>
                <w:highlight w:val="yellow"/>
              </w:rPr>
            </w:pPr>
            <w:r w:rsidRPr="00C974D5">
              <w:rPr>
                <w:highlight w:val="yellow"/>
              </w:rPr>
              <w:t>As it says in the comment</w:t>
            </w:r>
          </w:p>
        </w:tc>
        <w:tc>
          <w:tcPr>
            <w:tcW w:w="3870" w:type="dxa"/>
            <w:hideMark/>
          </w:tcPr>
          <w:p w14:paraId="6A944AE3" w14:textId="2F6D9475" w:rsidR="00A27851" w:rsidRPr="00C974D5" w:rsidRDefault="00A27851" w:rsidP="00A27851">
            <w:pPr>
              <w:rPr>
                <w:highlight w:val="yellow"/>
              </w:rPr>
            </w:pPr>
            <w:r w:rsidRPr="00C974D5">
              <w:rPr>
                <w:highlight w:val="yellow"/>
              </w:rPr>
              <w:t>&lt;Editor&gt;</w:t>
            </w:r>
          </w:p>
        </w:tc>
      </w:tr>
      <w:tr w:rsidR="00A27851" w:rsidRPr="00F272E2" w14:paraId="057A4A8B" w14:textId="77777777" w:rsidTr="00802F85">
        <w:trPr>
          <w:trHeight w:val="1785"/>
        </w:trPr>
        <w:tc>
          <w:tcPr>
            <w:tcW w:w="625" w:type="dxa"/>
            <w:hideMark/>
          </w:tcPr>
          <w:p w14:paraId="5516BD77" w14:textId="77777777" w:rsidR="00A27851" w:rsidRPr="00C974D5" w:rsidRDefault="00A27851" w:rsidP="00A27851">
            <w:pPr>
              <w:rPr>
                <w:highlight w:val="yellow"/>
              </w:rPr>
            </w:pPr>
            <w:r w:rsidRPr="00C974D5">
              <w:rPr>
                <w:highlight w:val="yellow"/>
              </w:rPr>
              <w:t>24429</w:t>
            </w:r>
          </w:p>
        </w:tc>
        <w:tc>
          <w:tcPr>
            <w:tcW w:w="720" w:type="dxa"/>
            <w:hideMark/>
          </w:tcPr>
          <w:p w14:paraId="646F5A2A" w14:textId="77777777" w:rsidR="00A27851" w:rsidRPr="00C974D5" w:rsidRDefault="00A27851" w:rsidP="00A27851">
            <w:pPr>
              <w:rPr>
                <w:highlight w:val="yellow"/>
              </w:rPr>
            </w:pPr>
            <w:r w:rsidRPr="00C974D5">
              <w:rPr>
                <w:highlight w:val="yellow"/>
              </w:rPr>
              <w:t>RISON, Mark</w:t>
            </w:r>
          </w:p>
        </w:tc>
        <w:tc>
          <w:tcPr>
            <w:tcW w:w="450" w:type="dxa"/>
            <w:hideMark/>
          </w:tcPr>
          <w:p w14:paraId="608201B9" w14:textId="77777777" w:rsidR="00A27851" w:rsidRPr="00C974D5" w:rsidRDefault="00A27851" w:rsidP="00A27851">
            <w:pPr>
              <w:rPr>
                <w:highlight w:val="yellow"/>
              </w:rPr>
            </w:pPr>
          </w:p>
        </w:tc>
        <w:tc>
          <w:tcPr>
            <w:tcW w:w="450" w:type="dxa"/>
            <w:hideMark/>
          </w:tcPr>
          <w:p w14:paraId="7689070C" w14:textId="77777777" w:rsidR="00A27851" w:rsidRPr="00C974D5" w:rsidRDefault="00A27851" w:rsidP="00A27851">
            <w:pPr>
              <w:rPr>
                <w:highlight w:val="yellow"/>
              </w:rPr>
            </w:pPr>
          </w:p>
        </w:tc>
        <w:tc>
          <w:tcPr>
            <w:tcW w:w="540" w:type="dxa"/>
            <w:hideMark/>
          </w:tcPr>
          <w:p w14:paraId="37F404E5" w14:textId="77777777" w:rsidR="00A27851" w:rsidRPr="00C974D5" w:rsidRDefault="00A27851" w:rsidP="00A27851">
            <w:pPr>
              <w:rPr>
                <w:highlight w:val="yellow"/>
              </w:rPr>
            </w:pPr>
          </w:p>
        </w:tc>
        <w:tc>
          <w:tcPr>
            <w:tcW w:w="1710" w:type="dxa"/>
            <w:hideMark/>
          </w:tcPr>
          <w:p w14:paraId="57CBCBCF" w14:textId="77777777" w:rsidR="00A27851" w:rsidRPr="00C974D5" w:rsidRDefault="00A27851" w:rsidP="00A27851">
            <w:pPr>
              <w:rPr>
                <w:highlight w:val="yellow"/>
              </w:rPr>
            </w:pPr>
            <w:r w:rsidRPr="00C974D5">
              <w:rPr>
                <w:highlight w:val="yellow"/>
              </w:rPr>
              <w:t>[Resubmission of comment withdrawn on D5.0] CID 20769.  The resolution is not responsive to the comment, which was a technical comment rather than an editorial comment</w:t>
            </w:r>
          </w:p>
        </w:tc>
        <w:tc>
          <w:tcPr>
            <w:tcW w:w="2430" w:type="dxa"/>
            <w:hideMark/>
          </w:tcPr>
          <w:p w14:paraId="40569F8A" w14:textId="77777777" w:rsidR="00A27851" w:rsidRPr="00C974D5" w:rsidRDefault="00A27851" w:rsidP="00A27851">
            <w:pPr>
              <w:rPr>
                <w:highlight w:val="yellow"/>
              </w:rPr>
            </w:pPr>
            <w:r w:rsidRPr="00C974D5">
              <w:rPr>
                <w:highlight w:val="yellow"/>
              </w:rPr>
              <w:t>Make the changes proposed by CID 20769</w:t>
            </w:r>
          </w:p>
        </w:tc>
        <w:tc>
          <w:tcPr>
            <w:tcW w:w="3870" w:type="dxa"/>
            <w:hideMark/>
          </w:tcPr>
          <w:p w14:paraId="563334B8" w14:textId="51D6E43C" w:rsidR="00A27851" w:rsidRPr="00C974D5" w:rsidRDefault="00A27851" w:rsidP="00A27851">
            <w:pPr>
              <w:rPr>
                <w:highlight w:val="yellow"/>
              </w:rPr>
            </w:pPr>
            <w:r w:rsidRPr="00C974D5">
              <w:rPr>
                <w:highlight w:val="yellow"/>
              </w:rPr>
              <w:t>&lt;Yongho&gt;</w:t>
            </w:r>
          </w:p>
        </w:tc>
      </w:tr>
      <w:tr w:rsidR="00A27851" w:rsidRPr="00F272E2" w14:paraId="0E8CF6C8" w14:textId="77777777" w:rsidTr="00802F85">
        <w:trPr>
          <w:trHeight w:val="6885"/>
        </w:trPr>
        <w:tc>
          <w:tcPr>
            <w:tcW w:w="625" w:type="dxa"/>
            <w:hideMark/>
          </w:tcPr>
          <w:p w14:paraId="3F8A65DA" w14:textId="77777777" w:rsidR="00A27851" w:rsidRPr="00C974D5" w:rsidRDefault="00A27851" w:rsidP="00A27851">
            <w:pPr>
              <w:rPr>
                <w:highlight w:val="yellow"/>
              </w:rPr>
            </w:pPr>
            <w:r w:rsidRPr="00C974D5">
              <w:rPr>
                <w:highlight w:val="yellow"/>
              </w:rPr>
              <w:lastRenderedPageBreak/>
              <w:t>24465</w:t>
            </w:r>
          </w:p>
        </w:tc>
        <w:tc>
          <w:tcPr>
            <w:tcW w:w="720" w:type="dxa"/>
            <w:hideMark/>
          </w:tcPr>
          <w:p w14:paraId="3B722E3E" w14:textId="77777777" w:rsidR="00A27851" w:rsidRPr="00C974D5" w:rsidRDefault="00A27851" w:rsidP="00A27851">
            <w:pPr>
              <w:rPr>
                <w:highlight w:val="yellow"/>
              </w:rPr>
            </w:pPr>
            <w:r w:rsidRPr="00C974D5">
              <w:rPr>
                <w:highlight w:val="yellow"/>
              </w:rPr>
              <w:t>RISON, Mark</w:t>
            </w:r>
          </w:p>
        </w:tc>
        <w:tc>
          <w:tcPr>
            <w:tcW w:w="450" w:type="dxa"/>
            <w:hideMark/>
          </w:tcPr>
          <w:p w14:paraId="08988CAC" w14:textId="77777777" w:rsidR="00A27851" w:rsidRPr="00C974D5" w:rsidRDefault="00A27851" w:rsidP="00A27851">
            <w:pPr>
              <w:rPr>
                <w:highlight w:val="yellow"/>
              </w:rPr>
            </w:pPr>
            <w:r w:rsidRPr="00C974D5">
              <w:rPr>
                <w:highlight w:val="yellow"/>
              </w:rPr>
              <w:t>220</w:t>
            </w:r>
          </w:p>
        </w:tc>
        <w:tc>
          <w:tcPr>
            <w:tcW w:w="450" w:type="dxa"/>
            <w:hideMark/>
          </w:tcPr>
          <w:p w14:paraId="5F596911" w14:textId="77777777" w:rsidR="00A27851" w:rsidRPr="00C974D5" w:rsidRDefault="00A27851" w:rsidP="00A27851">
            <w:pPr>
              <w:rPr>
                <w:highlight w:val="yellow"/>
              </w:rPr>
            </w:pPr>
            <w:r w:rsidRPr="00C974D5">
              <w:rPr>
                <w:highlight w:val="yellow"/>
              </w:rPr>
              <w:t>20</w:t>
            </w:r>
          </w:p>
        </w:tc>
        <w:tc>
          <w:tcPr>
            <w:tcW w:w="540" w:type="dxa"/>
            <w:hideMark/>
          </w:tcPr>
          <w:p w14:paraId="3F44B6C3" w14:textId="77777777" w:rsidR="00A27851" w:rsidRPr="00C974D5" w:rsidRDefault="00A27851" w:rsidP="00A27851">
            <w:pPr>
              <w:rPr>
                <w:highlight w:val="yellow"/>
              </w:rPr>
            </w:pPr>
            <w:r w:rsidRPr="00C974D5">
              <w:rPr>
                <w:highlight w:val="yellow"/>
              </w:rPr>
              <w:t>9.4.2.262</w:t>
            </w:r>
          </w:p>
        </w:tc>
        <w:tc>
          <w:tcPr>
            <w:tcW w:w="1710" w:type="dxa"/>
            <w:hideMark/>
          </w:tcPr>
          <w:p w14:paraId="68358EBB" w14:textId="77777777" w:rsidR="00A27851" w:rsidRPr="00C974D5" w:rsidRDefault="00A27851" w:rsidP="00A27851">
            <w:pPr>
              <w:rPr>
                <w:highlight w:val="yellow"/>
              </w:rPr>
            </w:pPr>
            <w:r w:rsidRPr="00C974D5">
              <w:rPr>
                <w:highlight w:val="yellow"/>
              </w:rPr>
              <w:t>"The UL MU Power Capabilities element indicates the relative maximum transmit</w:t>
            </w:r>
            <w:r w:rsidRPr="00C974D5">
              <w:rPr>
                <w:highlight w:val="yellow"/>
              </w:rPr>
              <w:br/>
            </w:r>
            <w:r w:rsidRPr="00C974D5">
              <w:rPr>
                <w:highlight w:val="yellow"/>
              </w:rPr>
              <w:br/>
              <w:t>power that a STA is capable of transmitting an HE TB PPDU for each HE-MCS in the operating channel</w:t>
            </w:r>
            <w:r w:rsidRPr="00C974D5">
              <w:rPr>
                <w:highlight w:val="yellow"/>
              </w:rPr>
              <w:br/>
            </w:r>
            <w:r w:rsidRPr="00C974D5">
              <w:rPr>
                <w:highlight w:val="yellow"/>
              </w:rPr>
              <w:br/>
              <w:t>width" -- but this doesn't work, because the operating channel width can change (and there's no mechanism for the element to be updated, since it's only included in the (re)</w:t>
            </w:r>
            <w:proofErr w:type="spellStart"/>
            <w:r w:rsidRPr="00C974D5">
              <w:rPr>
                <w:highlight w:val="yellow"/>
              </w:rPr>
              <w:t>assoc</w:t>
            </w:r>
            <w:proofErr w:type="spellEnd"/>
            <w:r w:rsidRPr="00C974D5">
              <w:rPr>
                <w:highlight w:val="yellow"/>
              </w:rPr>
              <w:t xml:space="preserve"> </w:t>
            </w:r>
            <w:proofErr w:type="spellStart"/>
            <w:r w:rsidRPr="00C974D5">
              <w:rPr>
                <w:highlight w:val="yellow"/>
              </w:rPr>
              <w:t>req</w:t>
            </w:r>
            <w:proofErr w:type="spellEnd"/>
            <w:r w:rsidRPr="00C974D5">
              <w:rPr>
                <w:highlight w:val="yellow"/>
              </w:rPr>
              <w:t xml:space="preserve">).  The resolution to CID 22265 seems to be saying ("it does not represent the power beyond the current operating channel") that the information would become useless if the operating channel width changed, which sounds </w:t>
            </w:r>
            <w:proofErr w:type="gramStart"/>
            <w:r w:rsidRPr="00C974D5">
              <w:rPr>
                <w:highlight w:val="yellow"/>
              </w:rPr>
              <w:t>pretty bad</w:t>
            </w:r>
            <w:proofErr w:type="gramEnd"/>
            <w:r w:rsidRPr="00C974D5">
              <w:rPr>
                <w:highlight w:val="yellow"/>
              </w:rPr>
              <w:t xml:space="preserve"> to me.  The information passed needs to work for all </w:t>
            </w:r>
            <w:proofErr w:type="spellStart"/>
            <w:r w:rsidRPr="00C974D5">
              <w:rPr>
                <w:highlight w:val="yellow"/>
              </w:rPr>
              <w:t>oeprating</w:t>
            </w:r>
            <w:proofErr w:type="spellEnd"/>
            <w:r w:rsidRPr="00C974D5">
              <w:rPr>
                <w:highlight w:val="yellow"/>
              </w:rPr>
              <w:t xml:space="preserve"> channel widths</w:t>
            </w:r>
          </w:p>
        </w:tc>
        <w:tc>
          <w:tcPr>
            <w:tcW w:w="2430" w:type="dxa"/>
            <w:hideMark/>
          </w:tcPr>
          <w:p w14:paraId="69B183DB" w14:textId="77777777" w:rsidR="00A27851" w:rsidRPr="00C974D5" w:rsidRDefault="00A27851" w:rsidP="00A27851">
            <w:pPr>
              <w:rPr>
                <w:highlight w:val="yellow"/>
              </w:rPr>
            </w:pPr>
            <w:r w:rsidRPr="00C974D5">
              <w:rPr>
                <w:highlight w:val="yellow"/>
              </w:rPr>
              <w:t>Delete " in the operating channel width" from the cited text.  In 26.5.9 delete "in the current operating channel width "</w:t>
            </w:r>
          </w:p>
        </w:tc>
        <w:tc>
          <w:tcPr>
            <w:tcW w:w="3870" w:type="dxa"/>
            <w:hideMark/>
          </w:tcPr>
          <w:p w14:paraId="5A1C6649" w14:textId="2776735E" w:rsidR="00A27851" w:rsidRPr="00C974D5" w:rsidRDefault="00A27851" w:rsidP="00A27851">
            <w:pPr>
              <w:rPr>
                <w:highlight w:val="yellow"/>
              </w:rPr>
            </w:pPr>
            <w:r w:rsidRPr="00C974D5">
              <w:rPr>
                <w:highlight w:val="yellow"/>
              </w:rPr>
              <w:t>&lt;Yongho&gt;</w:t>
            </w:r>
          </w:p>
        </w:tc>
      </w:tr>
      <w:tr w:rsidR="00A27851" w:rsidRPr="00F272E2" w14:paraId="021C0234" w14:textId="77777777" w:rsidTr="00802F85">
        <w:trPr>
          <w:trHeight w:val="1530"/>
        </w:trPr>
        <w:tc>
          <w:tcPr>
            <w:tcW w:w="625" w:type="dxa"/>
            <w:hideMark/>
          </w:tcPr>
          <w:p w14:paraId="50E41E96" w14:textId="77777777" w:rsidR="00A27851" w:rsidRPr="00C974D5" w:rsidRDefault="00A27851" w:rsidP="00A27851">
            <w:pPr>
              <w:rPr>
                <w:highlight w:val="yellow"/>
              </w:rPr>
            </w:pPr>
            <w:r w:rsidRPr="00C974D5">
              <w:rPr>
                <w:highlight w:val="yellow"/>
              </w:rPr>
              <w:t>24485</w:t>
            </w:r>
          </w:p>
        </w:tc>
        <w:tc>
          <w:tcPr>
            <w:tcW w:w="720" w:type="dxa"/>
            <w:hideMark/>
          </w:tcPr>
          <w:p w14:paraId="5A7648B7" w14:textId="77777777" w:rsidR="00A27851" w:rsidRPr="00C974D5" w:rsidRDefault="00A27851" w:rsidP="00A27851">
            <w:pPr>
              <w:rPr>
                <w:highlight w:val="yellow"/>
              </w:rPr>
            </w:pPr>
            <w:r w:rsidRPr="00C974D5">
              <w:rPr>
                <w:highlight w:val="yellow"/>
              </w:rPr>
              <w:t>RISON, Mark</w:t>
            </w:r>
          </w:p>
        </w:tc>
        <w:tc>
          <w:tcPr>
            <w:tcW w:w="450" w:type="dxa"/>
            <w:hideMark/>
          </w:tcPr>
          <w:p w14:paraId="7213A7F0" w14:textId="77777777" w:rsidR="00A27851" w:rsidRPr="00C974D5" w:rsidRDefault="00A27851" w:rsidP="00A27851">
            <w:pPr>
              <w:rPr>
                <w:highlight w:val="yellow"/>
              </w:rPr>
            </w:pPr>
          </w:p>
        </w:tc>
        <w:tc>
          <w:tcPr>
            <w:tcW w:w="450" w:type="dxa"/>
            <w:hideMark/>
          </w:tcPr>
          <w:p w14:paraId="771E8FBB" w14:textId="77777777" w:rsidR="00A27851" w:rsidRPr="00C974D5" w:rsidRDefault="00A27851" w:rsidP="00A27851">
            <w:pPr>
              <w:rPr>
                <w:highlight w:val="yellow"/>
              </w:rPr>
            </w:pPr>
          </w:p>
        </w:tc>
        <w:tc>
          <w:tcPr>
            <w:tcW w:w="540" w:type="dxa"/>
            <w:hideMark/>
          </w:tcPr>
          <w:p w14:paraId="7C8886E7" w14:textId="77777777" w:rsidR="00A27851" w:rsidRPr="00C974D5" w:rsidRDefault="00A27851" w:rsidP="00A27851">
            <w:pPr>
              <w:rPr>
                <w:highlight w:val="yellow"/>
              </w:rPr>
            </w:pPr>
            <w:r w:rsidRPr="00C974D5">
              <w:rPr>
                <w:highlight w:val="yellow"/>
              </w:rPr>
              <w:t>10.25.2</w:t>
            </w:r>
          </w:p>
        </w:tc>
        <w:tc>
          <w:tcPr>
            <w:tcW w:w="1710" w:type="dxa"/>
            <w:hideMark/>
          </w:tcPr>
          <w:p w14:paraId="40354E98" w14:textId="77777777" w:rsidR="00A27851" w:rsidRPr="00C974D5" w:rsidRDefault="00A27851" w:rsidP="00A27851">
            <w:pPr>
              <w:rPr>
                <w:highlight w:val="yellow"/>
              </w:rPr>
            </w:pPr>
            <w:r w:rsidRPr="00C974D5">
              <w:rPr>
                <w:highlight w:val="yellow"/>
              </w:rPr>
              <w:t>It is not clear whether two HE STAs that have negotiated a BA buffer size &gt;64 for a given TID can exchange &gt;64 MPDUs for that TID in a HT/VHT PPDU</w:t>
            </w:r>
          </w:p>
        </w:tc>
        <w:tc>
          <w:tcPr>
            <w:tcW w:w="2430" w:type="dxa"/>
            <w:hideMark/>
          </w:tcPr>
          <w:p w14:paraId="5814FB7A" w14:textId="77777777" w:rsidR="00A27851" w:rsidRPr="00C974D5" w:rsidRDefault="00A27851" w:rsidP="00A27851">
            <w:pPr>
              <w:rPr>
                <w:highlight w:val="yellow"/>
              </w:rPr>
            </w:pPr>
            <w:r w:rsidRPr="00C974D5">
              <w:rPr>
                <w:highlight w:val="yellow"/>
              </w:rPr>
              <w:t>At 280.37 add a para "An HE STAs whose transmission window is greater than 64 may transmit more than 64 MPDUs in a VHT PPDU to the recipient HE STA."</w:t>
            </w:r>
          </w:p>
        </w:tc>
        <w:tc>
          <w:tcPr>
            <w:tcW w:w="3870" w:type="dxa"/>
            <w:hideMark/>
          </w:tcPr>
          <w:p w14:paraId="3800647E" w14:textId="373128D6" w:rsidR="00A27851" w:rsidRPr="00C974D5" w:rsidRDefault="00A27851" w:rsidP="00A27851">
            <w:pPr>
              <w:rPr>
                <w:highlight w:val="yellow"/>
              </w:rPr>
            </w:pPr>
            <w:r w:rsidRPr="00C974D5">
              <w:rPr>
                <w:highlight w:val="yellow"/>
              </w:rPr>
              <w:t>&lt;George&gt;</w:t>
            </w:r>
          </w:p>
        </w:tc>
      </w:tr>
      <w:tr w:rsidR="00A27851" w:rsidRPr="00F272E2" w14:paraId="18FC9A62" w14:textId="77777777" w:rsidTr="00802F85">
        <w:trPr>
          <w:trHeight w:val="5610"/>
        </w:trPr>
        <w:tc>
          <w:tcPr>
            <w:tcW w:w="625" w:type="dxa"/>
            <w:hideMark/>
          </w:tcPr>
          <w:p w14:paraId="078D42DC" w14:textId="77777777" w:rsidR="00A27851" w:rsidRPr="00C974D5" w:rsidRDefault="00A27851" w:rsidP="00A27851">
            <w:pPr>
              <w:rPr>
                <w:highlight w:val="yellow"/>
              </w:rPr>
            </w:pPr>
            <w:r w:rsidRPr="00C974D5">
              <w:rPr>
                <w:highlight w:val="yellow"/>
              </w:rPr>
              <w:lastRenderedPageBreak/>
              <w:t>24487</w:t>
            </w:r>
          </w:p>
        </w:tc>
        <w:tc>
          <w:tcPr>
            <w:tcW w:w="720" w:type="dxa"/>
            <w:hideMark/>
          </w:tcPr>
          <w:p w14:paraId="514AADB7" w14:textId="77777777" w:rsidR="00A27851" w:rsidRPr="00C974D5" w:rsidRDefault="00A27851" w:rsidP="00A27851">
            <w:pPr>
              <w:rPr>
                <w:highlight w:val="yellow"/>
              </w:rPr>
            </w:pPr>
            <w:r w:rsidRPr="00C974D5">
              <w:rPr>
                <w:highlight w:val="yellow"/>
              </w:rPr>
              <w:t>RISON, Mark</w:t>
            </w:r>
          </w:p>
        </w:tc>
        <w:tc>
          <w:tcPr>
            <w:tcW w:w="450" w:type="dxa"/>
            <w:hideMark/>
          </w:tcPr>
          <w:p w14:paraId="510EFF98" w14:textId="77777777" w:rsidR="00A27851" w:rsidRPr="00C974D5" w:rsidRDefault="00A27851" w:rsidP="00A27851">
            <w:pPr>
              <w:rPr>
                <w:highlight w:val="yellow"/>
              </w:rPr>
            </w:pPr>
          </w:p>
        </w:tc>
        <w:tc>
          <w:tcPr>
            <w:tcW w:w="450" w:type="dxa"/>
            <w:hideMark/>
          </w:tcPr>
          <w:p w14:paraId="47704C26" w14:textId="77777777" w:rsidR="00A27851" w:rsidRPr="00C974D5" w:rsidRDefault="00A27851" w:rsidP="00A27851">
            <w:pPr>
              <w:rPr>
                <w:highlight w:val="yellow"/>
              </w:rPr>
            </w:pPr>
          </w:p>
        </w:tc>
        <w:tc>
          <w:tcPr>
            <w:tcW w:w="540" w:type="dxa"/>
            <w:hideMark/>
          </w:tcPr>
          <w:p w14:paraId="0E9C34CA" w14:textId="77777777" w:rsidR="00A27851" w:rsidRPr="00C974D5" w:rsidRDefault="00A27851" w:rsidP="00A27851">
            <w:pPr>
              <w:rPr>
                <w:highlight w:val="yellow"/>
              </w:rPr>
            </w:pPr>
            <w:r w:rsidRPr="00C974D5">
              <w:rPr>
                <w:highlight w:val="yellow"/>
              </w:rPr>
              <w:t>26.4.4</w:t>
            </w:r>
          </w:p>
        </w:tc>
        <w:tc>
          <w:tcPr>
            <w:tcW w:w="1710" w:type="dxa"/>
            <w:hideMark/>
          </w:tcPr>
          <w:p w14:paraId="0BAE8EAE" w14:textId="77777777" w:rsidR="00A27851" w:rsidRPr="00C974D5" w:rsidRDefault="00A27851" w:rsidP="00A27851">
            <w:pPr>
              <w:rPr>
                <w:highlight w:val="yellow"/>
              </w:rPr>
            </w:pPr>
            <w:r w:rsidRPr="00C974D5">
              <w:rPr>
                <w:highlight w:val="yellow"/>
              </w:rPr>
              <w:t>We have a 26.4.4.4 Responding to an HE MU PPDU, HE SU PPDU or HE ER SU PPDU with an HE TB PPDU but we also need a subclause on responding to a non-HE PPDU with an HE TB PPDU, if the non-HE PPDU is a triggering frame (i.e. contains a Trigger frame or TRS Control).  The resolution to CID 22321 said "Only the MPDUs sent in HE MU  PPDU, HE SU PPDU or HE ER SU PPDU can set the Ack Policy to HTP Ack", which is true, but not relevant to this comment, which is about the need for information on how to respond to a non-HE PPDU with an HE TB PPDU</w:t>
            </w:r>
          </w:p>
        </w:tc>
        <w:tc>
          <w:tcPr>
            <w:tcW w:w="2430" w:type="dxa"/>
            <w:hideMark/>
          </w:tcPr>
          <w:p w14:paraId="42A44E13" w14:textId="77777777" w:rsidR="00A27851" w:rsidRPr="00C974D5" w:rsidRDefault="00A27851" w:rsidP="00A27851">
            <w:pPr>
              <w:rPr>
                <w:highlight w:val="yellow"/>
              </w:rPr>
            </w:pPr>
            <w:r w:rsidRPr="00C974D5">
              <w:rPr>
                <w:highlight w:val="yellow"/>
              </w:rPr>
              <w:t>As it says in the comment</w:t>
            </w:r>
          </w:p>
        </w:tc>
        <w:tc>
          <w:tcPr>
            <w:tcW w:w="3870" w:type="dxa"/>
            <w:hideMark/>
          </w:tcPr>
          <w:p w14:paraId="345416D4" w14:textId="6BB671AE" w:rsidR="00A27851" w:rsidRPr="00C974D5" w:rsidRDefault="00A27851" w:rsidP="00A27851">
            <w:pPr>
              <w:rPr>
                <w:highlight w:val="yellow"/>
              </w:rPr>
            </w:pPr>
            <w:r w:rsidRPr="00C974D5">
              <w:rPr>
                <w:highlight w:val="yellow"/>
              </w:rPr>
              <w:t>&lt;George&gt;</w:t>
            </w:r>
          </w:p>
        </w:tc>
      </w:tr>
      <w:tr w:rsidR="00A27851" w:rsidRPr="00F272E2" w14:paraId="44487FE3" w14:textId="77777777" w:rsidTr="00802F85">
        <w:trPr>
          <w:trHeight w:val="765"/>
        </w:trPr>
        <w:tc>
          <w:tcPr>
            <w:tcW w:w="625" w:type="dxa"/>
            <w:hideMark/>
          </w:tcPr>
          <w:p w14:paraId="2DBB7380" w14:textId="77777777" w:rsidR="00A27851" w:rsidRPr="00C974D5" w:rsidRDefault="00A27851" w:rsidP="00A27851">
            <w:pPr>
              <w:rPr>
                <w:highlight w:val="yellow"/>
              </w:rPr>
            </w:pPr>
            <w:r w:rsidRPr="00C974D5">
              <w:rPr>
                <w:highlight w:val="yellow"/>
              </w:rPr>
              <w:t>24526</w:t>
            </w:r>
          </w:p>
        </w:tc>
        <w:tc>
          <w:tcPr>
            <w:tcW w:w="720" w:type="dxa"/>
            <w:hideMark/>
          </w:tcPr>
          <w:p w14:paraId="0B4ABD6F" w14:textId="77777777" w:rsidR="00A27851" w:rsidRPr="00C974D5" w:rsidRDefault="00A27851" w:rsidP="00A27851">
            <w:pPr>
              <w:rPr>
                <w:highlight w:val="yellow"/>
              </w:rPr>
            </w:pPr>
            <w:r w:rsidRPr="00C974D5">
              <w:rPr>
                <w:highlight w:val="yellow"/>
              </w:rPr>
              <w:t>Yee, James</w:t>
            </w:r>
          </w:p>
        </w:tc>
        <w:tc>
          <w:tcPr>
            <w:tcW w:w="450" w:type="dxa"/>
            <w:hideMark/>
          </w:tcPr>
          <w:p w14:paraId="000A848A" w14:textId="77777777" w:rsidR="00A27851" w:rsidRPr="00C974D5" w:rsidRDefault="00A27851" w:rsidP="00A27851">
            <w:pPr>
              <w:rPr>
                <w:highlight w:val="yellow"/>
              </w:rPr>
            </w:pPr>
            <w:r w:rsidRPr="00C974D5">
              <w:rPr>
                <w:highlight w:val="yellow"/>
              </w:rPr>
              <w:t>458</w:t>
            </w:r>
          </w:p>
        </w:tc>
        <w:tc>
          <w:tcPr>
            <w:tcW w:w="450" w:type="dxa"/>
            <w:hideMark/>
          </w:tcPr>
          <w:p w14:paraId="2E8B55E9" w14:textId="77777777" w:rsidR="00A27851" w:rsidRPr="00C974D5" w:rsidRDefault="00A27851" w:rsidP="00A27851">
            <w:pPr>
              <w:rPr>
                <w:highlight w:val="yellow"/>
              </w:rPr>
            </w:pPr>
            <w:r w:rsidRPr="00C974D5">
              <w:rPr>
                <w:highlight w:val="yellow"/>
              </w:rPr>
              <w:t>13</w:t>
            </w:r>
          </w:p>
        </w:tc>
        <w:tc>
          <w:tcPr>
            <w:tcW w:w="540" w:type="dxa"/>
            <w:hideMark/>
          </w:tcPr>
          <w:p w14:paraId="0D1AD6F6" w14:textId="77777777" w:rsidR="00A27851" w:rsidRPr="00C974D5" w:rsidRDefault="00A27851" w:rsidP="00A27851">
            <w:pPr>
              <w:rPr>
                <w:highlight w:val="yellow"/>
              </w:rPr>
            </w:pPr>
            <w:r w:rsidRPr="00C974D5">
              <w:rPr>
                <w:highlight w:val="yellow"/>
              </w:rPr>
              <w:t>26.17.2.2</w:t>
            </w:r>
          </w:p>
        </w:tc>
        <w:tc>
          <w:tcPr>
            <w:tcW w:w="1710" w:type="dxa"/>
            <w:hideMark/>
          </w:tcPr>
          <w:p w14:paraId="7BD0AAB0" w14:textId="77777777" w:rsidR="00A27851" w:rsidRPr="00C974D5" w:rsidRDefault="00A27851" w:rsidP="00A27851">
            <w:pPr>
              <w:rPr>
                <w:highlight w:val="yellow"/>
              </w:rPr>
            </w:pPr>
            <w:r w:rsidRPr="00C974D5">
              <w:rPr>
                <w:highlight w:val="yellow"/>
              </w:rPr>
              <w:t>The use of "HE AP 6G" occurs only here and is undefined.</w:t>
            </w:r>
          </w:p>
        </w:tc>
        <w:tc>
          <w:tcPr>
            <w:tcW w:w="2430" w:type="dxa"/>
            <w:hideMark/>
          </w:tcPr>
          <w:p w14:paraId="0F31218B" w14:textId="77777777" w:rsidR="00A27851" w:rsidRPr="00C974D5" w:rsidRDefault="00A27851" w:rsidP="00A27851">
            <w:pPr>
              <w:rPr>
                <w:highlight w:val="yellow"/>
              </w:rPr>
            </w:pPr>
            <w:r w:rsidRPr="00C974D5">
              <w:rPr>
                <w:highlight w:val="yellow"/>
              </w:rPr>
              <w:t>Replace with the more commonly used "6 GHz HE AP".</w:t>
            </w:r>
          </w:p>
        </w:tc>
        <w:tc>
          <w:tcPr>
            <w:tcW w:w="3870" w:type="dxa"/>
            <w:hideMark/>
          </w:tcPr>
          <w:p w14:paraId="6AE091DB" w14:textId="45178F49" w:rsidR="00A27851" w:rsidRPr="00C974D5" w:rsidRDefault="00A27851" w:rsidP="00A27851">
            <w:pPr>
              <w:rPr>
                <w:highlight w:val="yellow"/>
              </w:rPr>
            </w:pPr>
            <w:r w:rsidRPr="00C974D5">
              <w:rPr>
                <w:highlight w:val="yellow"/>
              </w:rPr>
              <w:t>&lt;Editor&gt;</w:t>
            </w:r>
          </w:p>
        </w:tc>
      </w:tr>
      <w:tr w:rsidR="00A27851" w:rsidRPr="00F272E2" w14:paraId="10AA7644" w14:textId="77777777" w:rsidTr="00526AF7">
        <w:trPr>
          <w:trHeight w:val="1610"/>
        </w:trPr>
        <w:tc>
          <w:tcPr>
            <w:tcW w:w="625" w:type="dxa"/>
            <w:hideMark/>
          </w:tcPr>
          <w:p w14:paraId="2C5EEEB9" w14:textId="77777777" w:rsidR="00A27851" w:rsidRPr="00C974D5" w:rsidRDefault="00A27851" w:rsidP="00A27851">
            <w:pPr>
              <w:rPr>
                <w:highlight w:val="yellow"/>
              </w:rPr>
            </w:pPr>
            <w:r w:rsidRPr="00C974D5">
              <w:rPr>
                <w:highlight w:val="yellow"/>
              </w:rPr>
              <w:t>24527</w:t>
            </w:r>
          </w:p>
        </w:tc>
        <w:tc>
          <w:tcPr>
            <w:tcW w:w="720" w:type="dxa"/>
            <w:hideMark/>
          </w:tcPr>
          <w:p w14:paraId="50F8FF14" w14:textId="77777777" w:rsidR="00A27851" w:rsidRPr="00C974D5" w:rsidRDefault="00A27851" w:rsidP="00A27851">
            <w:pPr>
              <w:rPr>
                <w:highlight w:val="yellow"/>
              </w:rPr>
            </w:pPr>
            <w:r w:rsidRPr="00C974D5">
              <w:rPr>
                <w:highlight w:val="yellow"/>
              </w:rPr>
              <w:t>Yee, James</w:t>
            </w:r>
          </w:p>
        </w:tc>
        <w:tc>
          <w:tcPr>
            <w:tcW w:w="450" w:type="dxa"/>
            <w:hideMark/>
          </w:tcPr>
          <w:p w14:paraId="4438A17E" w14:textId="77777777" w:rsidR="00A27851" w:rsidRPr="00C974D5" w:rsidRDefault="00A27851" w:rsidP="00A27851">
            <w:pPr>
              <w:rPr>
                <w:highlight w:val="yellow"/>
              </w:rPr>
            </w:pPr>
            <w:r w:rsidRPr="00C974D5">
              <w:rPr>
                <w:highlight w:val="yellow"/>
              </w:rPr>
              <w:t>456</w:t>
            </w:r>
          </w:p>
        </w:tc>
        <w:tc>
          <w:tcPr>
            <w:tcW w:w="450" w:type="dxa"/>
            <w:hideMark/>
          </w:tcPr>
          <w:p w14:paraId="4B98426D" w14:textId="77777777" w:rsidR="00A27851" w:rsidRPr="00C974D5" w:rsidRDefault="00A27851" w:rsidP="00A27851">
            <w:pPr>
              <w:rPr>
                <w:highlight w:val="yellow"/>
              </w:rPr>
            </w:pPr>
            <w:r w:rsidRPr="00C974D5">
              <w:rPr>
                <w:highlight w:val="yellow"/>
              </w:rPr>
              <w:t>35</w:t>
            </w:r>
          </w:p>
        </w:tc>
        <w:tc>
          <w:tcPr>
            <w:tcW w:w="540" w:type="dxa"/>
            <w:hideMark/>
          </w:tcPr>
          <w:p w14:paraId="06E5E740" w14:textId="77777777" w:rsidR="00A27851" w:rsidRPr="00C974D5" w:rsidRDefault="00A27851" w:rsidP="00A27851">
            <w:pPr>
              <w:rPr>
                <w:highlight w:val="yellow"/>
              </w:rPr>
            </w:pPr>
            <w:r w:rsidRPr="00C974D5">
              <w:rPr>
                <w:highlight w:val="yellow"/>
              </w:rPr>
              <w:t>26.17.2.1</w:t>
            </w:r>
          </w:p>
        </w:tc>
        <w:tc>
          <w:tcPr>
            <w:tcW w:w="1710" w:type="dxa"/>
            <w:hideMark/>
          </w:tcPr>
          <w:p w14:paraId="1BD9B5EA" w14:textId="77777777" w:rsidR="00A27851" w:rsidRPr="00C974D5" w:rsidRDefault="00A27851" w:rsidP="00A27851">
            <w:pPr>
              <w:rPr>
                <w:highlight w:val="yellow"/>
              </w:rPr>
            </w:pPr>
            <w:r w:rsidRPr="00C974D5">
              <w:rPr>
                <w:highlight w:val="yellow"/>
              </w:rPr>
              <w:t>The labels "6 GHz HE AP", "6 GHz HE STA", "6 GHz AP", "6 GHz non-AP HE STA" and other variants are awkward typographically since they start with a single numeral.</w:t>
            </w:r>
          </w:p>
        </w:tc>
        <w:tc>
          <w:tcPr>
            <w:tcW w:w="2430" w:type="dxa"/>
            <w:hideMark/>
          </w:tcPr>
          <w:p w14:paraId="0A24A2EF" w14:textId="77777777" w:rsidR="00A27851" w:rsidRPr="00C974D5" w:rsidRDefault="00A27851" w:rsidP="00A27851">
            <w:pPr>
              <w:rPr>
                <w:highlight w:val="yellow"/>
              </w:rPr>
            </w:pPr>
            <w:r w:rsidRPr="00C974D5">
              <w:rPr>
                <w:highlight w:val="yellow"/>
              </w:rPr>
              <w:t>Throughout the document, modify such labels by shortening "6 GHz" to "6GHz" and moving the "6 GHz" to before the last word. For example, replace "6 GHz STA" with "6GHz STA" and "6 GHz HE AP" with "HE 6GHz AP".</w:t>
            </w:r>
          </w:p>
        </w:tc>
        <w:tc>
          <w:tcPr>
            <w:tcW w:w="3870" w:type="dxa"/>
            <w:hideMark/>
          </w:tcPr>
          <w:p w14:paraId="3A8B64E5" w14:textId="417231D0" w:rsidR="00A27851" w:rsidRPr="00C974D5" w:rsidRDefault="00A27851" w:rsidP="00A27851">
            <w:pPr>
              <w:rPr>
                <w:highlight w:val="yellow"/>
              </w:rPr>
            </w:pPr>
            <w:r w:rsidRPr="00C974D5">
              <w:rPr>
                <w:highlight w:val="yellow"/>
              </w:rPr>
              <w:t>&lt;Editor&gt;</w:t>
            </w:r>
          </w:p>
        </w:tc>
      </w:tr>
      <w:tr w:rsidR="00A27851" w:rsidRPr="00F272E2" w14:paraId="1E8C61C2" w14:textId="77777777" w:rsidTr="00526AF7">
        <w:trPr>
          <w:trHeight w:val="1151"/>
        </w:trPr>
        <w:tc>
          <w:tcPr>
            <w:tcW w:w="625" w:type="dxa"/>
            <w:hideMark/>
          </w:tcPr>
          <w:p w14:paraId="7687D6B5" w14:textId="77777777" w:rsidR="00A27851" w:rsidRPr="00C974D5" w:rsidRDefault="00A27851" w:rsidP="00A27851">
            <w:pPr>
              <w:rPr>
                <w:highlight w:val="yellow"/>
              </w:rPr>
            </w:pPr>
            <w:r w:rsidRPr="00C974D5">
              <w:rPr>
                <w:highlight w:val="yellow"/>
              </w:rPr>
              <w:t>24540</w:t>
            </w:r>
          </w:p>
        </w:tc>
        <w:tc>
          <w:tcPr>
            <w:tcW w:w="720" w:type="dxa"/>
            <w:hideMark/>
          </w:tcPr>
          <w:p w14:paraId="5444CCF2" w14:textId="77777777" w:rsidR="00A27851" w:rsidRPr="00C974D5" w:rsidRDefault="00A27851" w:rsidP="00A27851">
            <w:pPr>
              <w:rPr>
                <w:highlight w:val="yellow"/>
              </w:rPr>
            </w:pPr>
            <w:r w:rsidRPr="00C974D5">
              <w:rPr>
                <w:highlight w:val="yellow"/>
              </w:rPr>
              <w:t>Hamilton, Mark</w:t>
            </w:r>
          </w:p>
        </w:tc>
        <w:tc>
          <w:tcPr>
            <w:tcW w:w="450" w:type="dxa"/>
            <w:hideMark/>
          </w:tcPr>
          <w:p w14:paraId="7261DDC5" w14:textId="77777777" w:rsidR="00A27851" w:rsidRPr="00C974D5" w:rsidRDefault="00A27851" w:rsidP="00A27851">
            <w:pPr>
              <w:rPr>
                <w:highlight w:val="yellow"/>
              </w:rPr>
            </w:pPr>
            <w:r w:rsidRPr="00C974D5">
              <w:rPr>
                <w:highlight w:val="yellow"/>
              </w:rPr>
              <w:t>764</w:t>
            </w:r>
          </w:p>
        </w:tc>
        <w:tc>
          <w:tcPr>
            <w:tcW w:w="450" w:type="dxa"/>
            <w:hideMark/>
          </w:tcPr>
          <w:p w14:paraId="2F85BCB6" w14:textId="77777777" w:rsidR="00A27851" w:rsidRPr="00C974D5" w:rsidRDefault="00A27851" w:rsidP="00A27851">
            <w:pPr>
              <w:rPr>
                <w:highlight w:val="yellow"/>
              </w:rPr>
            </w:pPr>
            <w:r w:rsidRPr="00C974D5">
              <w:rPr>
                <w:highlight w:val="yellow"/>
              </w:rPr>
              <w:t>38</w:t>
            </w:r>
          </w:p>
        </w:tc>
        <w:tc>
          <w:tcPr>
            <w:tcW w:w="540" w:type="dxa"/>
            <w:hideMark/>
          </w:tcPr>
          <w:p w14:paraId="13F7BFAC" w14:textId="77777777" w:rsidR="00A27851" w:rsidRPr="00C974D5" w:rsidRDefault="00A27851" w:rsidP="00A27851">
            <w:pPr>
              <w:rPr>
                <w:highlight w:val="yellow"/>
              </w:rPr>
            </w:pPr>
            <w:r w:rsidRPr="00C974D5">
              <w:rPr>
                <w:highlight w:val="yellow"/>
              </w:rPr>
              <w:t>C.3</w:t>
            </w:r>
          </w:p>
        </w:tc>
        <w:tc>
          <w:tcPr>
            <w:tcW w:w="1710" w:type="dxa"/>
            <w:hideMark/>
          </w:tcPr>
          <w:p w14:paraId="1408E961" w14:textId="77777777" w:rsidR="00A27851" w:rsidRPr="00C974D5" w:rsidRDefault="00A27851" w:rsidP="00A27851">
            <w:pPr>
              <w:rPr>
                <w:highlight w:val="yellow"/>
              </w:rPr>
            </w:pPr>
            <w:r w:rsidRPr="00C974D5">
              <w:rPr>
                <w:highlight w:val="yellow"/>
              </w:rPr>
              <w:t>Error in baseline text.  REVmd has dot11SMTbase15 (not dot11SMTbase13) in this location.</w:t>
            </w:r>
          </w:p>
        </w:tc>
        <w:tc>
          <w:tcPr>
            <w:tcW w:w="2430" w:type="dxa"/>
            <w:hideMark/>
          </w:tcPr>
          <w:p w14:paraId="34EDD74D" w14:textId="77777777" w:rsidR="00A27851" w:rsidRPr="00C974D5" w:rsidRDefault="00A27851" w:rsidP="00A27851">
            <w:pPr>
              <w:rPr>
                <w:highlight w:val="yellow"/>
              </w:rPr>
            </w:pPr>
            <w:r w:rsidRPr="00C974D5">
              <w:rPr>
                <w:highlight w:val="yellow"/>
              </w:rPr>
              <w:t xml:space="preserve">Change the struck-through text to "dot11SMTbase15".  </w:t>
            </w:r>
            <w:proofErr w:type="gramStart"/>
            <w:r w:rsidRPr="00C974D5">
              <w:rPr>
                <w:highlight w:val="yellow"/>
              </w:rPr>
              <w:t>Also</w:t>
            </w:r>
            <w:proofErr w:type="gramEnd"/>
            <w:r w:rsidRPr="00C974D5">
              <w:rPr>
                <w:highlight w:val="yellow"/>
              </w:rPr>
              <w:t xml:space="preserve"> dot11MACbase and dot11CountersGroup have also incremented in REVmd, beyond those shown here.  Probably need to scrub the whole MIB for accuracy of quoted baseline text.</w:t>
            </w:r>
          </w:p>
        </w:tc>
        <w:tc>
          <w:tcPr>
            <w:tcW w:w="3870" w:type="dxa"/>
            <w:hideMark/>
          </w:tcPr>
          <w:p w14:paraId="23696D21" w14:textId="778C4C0B" w:rsidR="00A27851" w:rsidRPr="00C974D5" w:rsidRDefault="00A27851" w:rsidP="00A27851">
            <w:pPr>
              <w:rPr>
                <w:highlight w:val="yellow"/>
              </w:rPr>
            </w:pPr>
            <w:r w:rsidRPr="00C974D5">
              <w:rPr>
                <w:highlight w:val="yellow"/>
              </w:rPr>
              <w:t>&lt;Editor&gt;</w:t>
            </w:r>
          </w:p>
        </w:tc>
      </w:tr>
      <w:tr w:rsidR="00A27851" w:rsidRPr="00F272E2" w14:paraId="42D55A05" w14:textId="77777777" w:rsidTr="00802F85">
        <w:trPr>
          <w:trHeight w:val="1275"/>
        </w:trPr>
        <w:tc>
          <w:tcPr>
            <w:tcW w:w="625" w:type="dxa"/>
            <w:hideMark/>
          </w:tcPr>
          <w:p w14:paraId="0A8F0FFE" w14:textId="77777777" w:rsidR="00A27851" w:rsidRPr="00C974D5" w:rsidRDefault="00A27851" w:rsidP="00A27851">
            <w:pPr>
              <w:rPr>
                <w:highlight w:val="yellow"/>
              </w:rPr>
            </w:pPr>
            <w:r w:rsidRPr="00C974D5">
              <w:rPr>
                <w:highlight w:val="yellow"/>
              </w:rPr>
              <w:t>24541</w:t>
            </w:r>
          </w:p>
        </w:tc>
        <w:tc>
          <w:tcPr>
            <w:tcW w:w="720" w:type="dxa"/>
            <w:hideMark/>
          </w:tcPr>
          <w:p w14:paraId="2D6545D0" w14:textId="77777777" w:rsidR="00A27851" w:rsidRPr="00C974D5" w:rsidRDefault="00A27851" w:rsidP="00A27851">
            <w:pPr>
              <w:rPr>
                <w:highlight w:val="yellow"/>
              </w:rPr>
            </w:pPr>
            <w:r w:rsidRPr="00C974D5">
              <w:rPr>
                <w:highlight w:val="yellow"/>
              </w:rPr>
              <w:t>Hamilton, Mark</w:t>
            </w:r>
          </w:p>
        </w:tc>
        <w:tc>
          <w:tcPr>
            <w:tcW w:w="450" w:type="dxa"/>
            <w:hideMark/>
          </w:tcPr>
          <w:p w14:paraId="55465A9D" w14:textId="77777777" w:rsidR="00A27851" w:rsidRPr="00C974D5" w:rsidRDefault="00A27851" w:rsidP="00A27851">
            <w:pPr>
              <w:rPr>
                <w:highlight w:val="yellow"/>
              </w:rPr>
            </w:pPr>
            <w:r w:rsidRPr="00C974D5">
              <w:rPr>
                <w:highlight w:val="yellow"/>
              </w:rPr>
              <w:t>42</w:t>
            </w:r>
          </w:p>
        </w:tc>
        <w:tc>
          <w:tcPr>
            <w:tcW w:w="450" w:type="dxa"/>
            <w:hideMark/>
          </w:tcPr>
          <w:p w14:paraId="070F2CF5" w14:textId="77777777" w:rsidR="00A27851" w:rsidRPr="00C974D5" w:rsidRDefault="00A27851" w:rsidP="00A27851">
            <w:pPr>
              <w:rPr>
                <w:highlight w:val="yellow"/>
              </w:rPr>
            </w:pPr>
            <w:r w:rsidRPr="00C974D5">
              <w:rPr>
                <w:highlight w:val="yellow"/>
              </w:rPr>
              <w:t>42</w:t>
            </w:r>
          </w:p>
        </w:tc>
        <w:tc>
          <w:tcPr>
            <w:tcW w:w="540" w:type="dxa"/>
            <w:hideMark/>
          </w:tcPr>
          <w:p w14:paraId="0A52281B" w14:textId="77777777" w:rsidR="00A27851" w:rsidRPr="00C974D5" w:rsidRDefault="00A27851" w:rsidP="00A27851">
            <w:pPr>
              <w:rPr>
                <w:highlight w:val="yellow"/>
              </w:rPr>
            </w:pPr>
            <w:r w:rsidRPr="00C974D5">
              <w:rPr>
                <w:highlight w:val="yellow"/>
              </w:rPr>
              <w:t>3.2</w:t>
            </w:r>
          </w:p>
        </w:tc>
        <w:tc>
          <w:tcPr>
            <w:tcW w:w="1710" w:type="dxa"/>
            <w:hideMark/>
          </w:tcPr>
          <w:p w14:paraId="51667505" w14:textId="77777777" w:rsidR="00A27851" w:rsidRPr="00C974D5" w:rsidRDefault="00A27851" w:rsidP="00A27851">
            <w:pPr>
              <w:rPr>
                <w:highlight w:val="yellow"/>
              </w:rPr>
            </w:pPr>
            <w:r w:rsidRPr="00C974D5">
              <w:rPr>
                <w:highlight w:val="yellow"/>
              </w:rPr>
              <w:t>REVmd has deleted the term "user".  It seems unnecessary (and causes conflicts in the text with other uses, beyond SU/MU).</w:t>
            </w:r>
          </w:p>
        </w:tc>
        <w:tc>
          <w:tcPr>
            <w:tcW w:w="2430" w:type="dxa"/>
            <w:hideMark/>
          </w:tcPr>
          <w:p w14:paraId="62A424C5" w14:textId="77777777" w:rsidR="00A27851" w:rsidRPr="00C974D5" w:rsidRDefault="00A27851" w:rsidP="00A27851">
            <w:pPr>
              <w:rPr>
                <w:highlight w:val="yellow"/>
              </w:rPr>
            </w:pPr>
            <w:r w:rsidRPr="00C974D5">
              <w:rPr>
                <w:highlight w:val="yellow"/>
              </w:rPr>
              <w:t>Delete the definition "replacement" for the term "user"</w:t>
            </w:r>
          </w:p>
        </w:tc>
        <w:tc>
          <w:tcPr>
            <w:tcW w:w="3870" w:type="dxa"/>
            <w:hideMark/>
          </w:tcPr>
          <w:p w14:paraId="4E237F3E" w14:textId="21E0A62B" w:rsidR="00A27851" w:rsidRPr="00C974D5" w:rsidRDefault="00A27851" w:rsidP="00A27851">
            <w:pPr>
              <w:rPr>
                <w:highlight w:val="yellow"/>
              </w:rPr>
            </w:pPr>
            <w:r w:rsidRPr="00C974D5">
              <w:rPr>
                <w:highlight w:val="yellow"/>
              </w:rPr>
              <w:t>&lt;Editor&gt;</w:t>
            </w:r>
          </w:p>
        </w:tc>
      </w:tr>
      <w:tr w:rsidR="00A27851" w:rsidRPr="00F272E2" w14:paraId="68F5BB25" w14:textId="77777777" w:rsidTr="00802F85">
        <w:trPr>
          <w:trHeight w:val="1785"/>
        </w:trPr>
        <w:tc>
          <w:tcPr>
            <w:tcW w:w="625" w:type="dxa"/>
            <w:hideMark/>
          </w:tcPr>
          <w:p w14:paraId="0DEB4C42" w14:textId="77777777" w:rsidR="00A27851" w:rsidRPr="00F272E2" w:rsidRDefault="00A27851" w:rsidP="00A27851">
            <w:r w:rsidRPr="00F272E2">
              <w:lastRenderedPageBreak/>
              <w:t>24552</w:t>
            </w:r>
          </w:p>
        </w:tc>
        <w:tc>
          <w:tcPr>
            <w:tcW w:w="720" w:type="dxa"/>
            <w:hideMark/>
          </w:tcPr>
          <w:p w14:paraId="16D93CAC" w14:textId="77777777" w:rsidR="00A27851" w:rsidRPr="00F272E2" w:rsidRDefault="00A27851" w:rsidP="00A27851">
            <w:r w:rsidRPr="00F272E2">
              <w:t>Asterjadhi, Alfred</w:t>
            </w:r>
          </w:p>
        </w:tc>
        <w:tc>
          <w:tcPr>
            <w:tcW w:w="450" w:type="dxa"/>
            <w:hideMark/>
          </w:tcPr>
          <w:p w14:paraId="632276C9" w14:textId="77777777" w:rsidR="00A27851" w:rsidRPr="00F272E2" w:rsidRDefault="00A27851" w:rsidP="00A27851">
            <w:r w:rsidRPr="00F272E2">
              <w:t>349</w:t>
            </w:r>
          </w:p>
        </w:tc>
        <w:tc>
          <w:tcPr>
            <w:tcW w:w="450" w:type="dxa"/>
            <w:hideMark/>
          </w:tcPr>
          <w:p w14:paraId="3C33ECE3" w14:textId="77777777" w:rsidR="00A27851" w:rsidRPr="00F272E2" w:rsidRDefault="00A27851" w:rsidP="00A27851">
            <w:r w:rsidRPr="00F272E2">
              <w:t>54</w:t>
            </w:r>
          </w:p>
        </w:tc>
        <w:tc>
          <w:tcPr>
            <w:tcW w:w="540" w:type="dxa"/>
            <w:hideMark/>
          </w:tcPr>
          <w:p w14:paraId="361C452C" w14:textId="77777777" w:rsidR="00A27851" w:rsidRPr="00F272E2" w:rsidRDefault="00A27851" w:rsidP="00A27851">
            <w:r w:rsidRPr="00F272E2">
              <w:t>26.5.2.2.4</w:t>
            </w:r>
          </w:p>
        </w:tc>
        <w:tc>
          <w:tcPr>
            <w:tcW w:w="1710" w:type="dxa"/>
            <w:hideMark/>
          </w:tcPr>
          <w:p w14:paraId="0882F8D5" w14:textId="77777777" w:rsidR="00A27851" w:rsidRPr="00F272E2" w:rsidRDefault="00A27851" w:rsidP="00A27851">
            <w:r w:rsidRPr="00F272E2">
              <w:t>"The other remaining subfields are set to any valid value" This is not clear. I guess you want to say a valid value so that the soliciting STA constructs a valid HE TB PPDU.</w:t>
            </w:r>
          </w:p>
        </w:tc>
        <w:tc>
          <w:tcPr>
            <w:tcW w:w="2430" w:type="dxa"/>
            <w:hideMark/>
          </w:tcPr>
          <w:p w14:paraId="2390C924" w14:textId="77777777" w:rsidR="00A27851" w:rsidRPr="00F272E2" w:rsidRDefault="00A27851" w:rsidP="00A27851">
            <w:r w:rsidRPr="00F272E2">
              <w:t>Ensure that the AP provides valid combinations of the values so that the STA constructs a valid HE TB PPDU.</w:t>
            </w:r>
          </w:p>
        </w:tc>
        <w:tc>
          <w:tcPr>
            <w:tcW w:w="3870" w:type="dxa"/>
            <w:hideMark/>
          </w:tcPr>
          <w:p w14:paraId="1CCF61B9" w14:textId="77777777" w:rsidR="00A27851" w:rsidRDefault="00C974D5" w:rsidP="00A27851">
            <w:r>
              <w:t>&lt;Withdrawn&gt;</w:t>
            </w:r>
          </w:p>
          <w:p w14:paraId="01801496" w14:textId="77777777" w:rsidR="000D2BDF" w:rsidRDefault="000D2BDF" w:rsidP="00A27851"/>
          <w:p w14:paraId="11F27922" w14:textId="77777777" w:rsidR="000D2BDF" w:rsidRDefault="000D2BDF" w:rsidP="00A27851">
            <w:r>
              <w:t>Hello Osama,</w:t>
            </w:r>
          </w:p>
          <w:p w14:paraId="799A72BB" w14:textId="77777777" w:rsidR="000D2BDF" w:rsidRDefault="000D2BDF" w:rsidP="00A27851"/>
          <w:p w14:paraId="048121AE" w14:textId="573E52EE" w:rsidR="000D2BDF" w:rsidRPr="00F272E2" w:rsidRDefault="000D2BDF" w:rsidP="00A27851">
            <w:r>
              <w:t>I, Alfred Asterjadhi, Qualcomm Inc., would like to withdraw CID 24552.</w:t>
            </w:r>
          </w:p>
        </w:tc>
      </w:tr>
      <w:tr w:rsidR="00A27851" w:rsidRPr="00F272E2" w14:paraId="795B746C" w14:textId="77777777" w:rsidTr="00802F85">
        <w:trPr>
          <w:trHeight w:val="2550"/>
        </w:trPr>
        <w:tc>
          <w:tcPr>
            <w:tcW w:w="625" w:type="dxa"/>
            <w:hideMark/>
          </w:tcPr>
          <w:p w14:paraId="3619575A" w14:textId="77777777" w:rsidR="00A27851" w:rsidRPr="00F272E2" w:rsidRDefault="00A27851" w:rsidP="00A27851">
            <w:r w:rsidRPr="00F272E2">
              <w:t>24566</w:t>
            </w:r>
          </w:p>
        </w:tc>
        <w:tc>
          <w:tcPr>
            <w:tcW w:w="720" w:type="dxa"/>
            <w:hideMark/>
          </w:tcPr>
          <w:p w14:paraId="0538FA88" w14:textId="77777777" w:rsidR="00A27851" w:rsidRPr="00F272E2" w:rsidRDefault="00A27851" w:rsidP="00A27851">
            <w:r w:rsidRPr="00F272E2">
              <w:t>Sun, Li-Hsiang</w:t>
            </w:r>
          </w:p>
        </w:tc>
        <w:tc>
          <w:tcPr>
            <w:tcW w:w="450" w:type="dxa"/>
            <w:hideMark/>
          </w:tcPr>
          <w:p w14:paraId="360772B2" w14:textId="77777777" w:rsidR="00A27851" w:rsidRPr="00F272E2" w:rsidRDefault="00A27851" w:rsidP="00A27851">
            <w:r w:rsidRPr="00F272E2">
              <w:t>369</w:t>
            </w:r>
          </w:p>
        </w:tc>
        <w:tc>
          <w:tcPr>
            <w:tcW w:w="450" w:type="dxa"/>
            <w:hideMark/>
          </w:tcPr>
          <w:p w14:paraId="56C7F380" w14:textId="77777777" w:rsidR="00A27851" w:rsidRPr="00F272E2" w:rsidRDefault="00A27851" w:rsidP="00A27851">
            <w:r w:rsidRPr="00F272E2">
              <w:t>27</w:t>
            </w:r>
          </w:p>
        </w:tc>
        <w:tc>
          <w:tcPr>
            <w:tcW w:w="540" w:type="dxa"/>
            <w:hideMark/>
          </w:tcPr>
          <w:p w14:paraId="11BCCCB1" w14:textId="77777777" w:rsidR="00A27851" w:rsidRPr="00F272E2" w:rsidRDefault="00A27851" w:rsidP="00A27851">
            <w:r w:rsidRPr="00F272E2">
              <w:t>26.5.6</w:t>
            </w:r>
          </w:p>
        </w:tc>
        <w:tc>
          <w:tcPr>
            <w:tcW w:w="1710" w:type="dxa"/>
            <w:hideMark/>
          </w:tcPr>
          <w:p w14:paraId="0482CDB1" w14:textId="77777777" w:rsidR="00A27851" w:rsidRPr="00F272E2" w:rsidRDefault="00A27851" w:rsidP="00A27851">
            <w:r w:rsidRPr="00F272E2">
              <w:t xml:space="preserve">If the PPDU carrying BQRP is not occupying 160MHz, there should be no requirement for non-AP STA to report channel availability info for the entire 160MHz. Reporting those 20MHz subchannels occupied by the PPDU carrying BQRP should be </w:t>
            </w:r>
            <w:proofErr w:type="gramStart"/>
            <w:r w:rsidRPr="00F272E2">
              <w:t>sufficient</w:t>
            </w:r>
            <w:proofErr w:type="gramEnd"/>
          </w:p>
        </w:tc>
        <w:tc>
          <w:tcPr>
            <w:tcW w:w="2430" w:type="dxa"/>
            <w:hideMark/>
          </w:tcPr>
          <w:p w14:paraId="2919A37E" w14:textId="77777777" w:rsidR="00A27851" w:rsidRPr="00F272E2" w:rsidRDefault="00A27851" w:rsidP="00A27851">
            <w:r w:rsidRPr="00F272E2">
              <w:t>relax the STA reporting requirement</w:t>
            </w:r>
          </w:p>
        </w:tc>
        <w:tc>
          <w:tcPr>
            <w:tcW w:w="3870" w:type="dxa"/>
            <w:hideMark/>
          </w:tcPr>
          <w:p w14:paraId="4AEAF849" w14:textId="2398AE38" w:rsidR="00A27851" w:rsidRDefault="00A27851" w:rsidP="00A27851">
            <w:r>
              <w:t>&lt;Zhou&gt;</w:t>
            </w:r>
          </w:p>
          <w:p w14:paraId="336071DC" w14:textId="77777777" w:rsidR="00A27851" w:rsidRDefault="00A27851" w:rsidP="00A27851"/>
          <w:p w14:paraId="742F6E99" w14:textId="5FD35EDC" w:rsidR="00A27851" w:rsidRDefault="00A27851" w:rsidP="00A27851">
            <w:r>
              <w:t>Revised –</w:t>
            </w:r>
          </w:p>
          <w:p w14:paraId="41CD1D2C" w14:textId="77777777" w:rsidR="00A27851" w:rsidRDefault="00A27851" w:rsidP="00A27851"/>
          <w:p w14:paraId="71B71AE7" w14:textId="4280465A" w:rsidR="00A27851" w:rsidRDefault="00A27851" w:rsidP="00A27851">
            <w:r>
              <w:t>It is unclear why reporting the subchannel occupancies within the received PPDU is enough. The fact that the AP sent a BQRP of say 20 MHZ has nothing to do with the channel conditions at the recipient (rather at the transmitter, AP). Hence having the STA report for the full BSS BW (say 160 MHz) is very beneficial for the AP. Hence the current requirement is correct. It is true however that a clarification is needed since it is not clear what the “channel availability information at the STA” refers to. Proposed resolution is to add a note to specify that the channel availability is with respect to the channel operation width of the STA.</w:t>
            </w:r>
          </w:p>
          <w:p w14:paraId="5ED73D7C" w14:textId="77777777" w:rsidR="00A27851" w:rsidRDefault="00A27851" w:rsidP="00A27851">
            <w:r>
              <w:br/>
              <w:t xml:space="preserve">TGax editor: Please insert the following note immediately after the note in P369L33: </w:t>
            </w:r>
          </w:p>
          <w:p w14:paraId="57A1E859" w14:textId="144FE9EB" w:rsidR="00A27851" w:rsidRPr="00F272E2" w:rsidRDefault="00A27851" w:rsidP="00A27851">
            <w:r>
              <w:t xml:space="preserve">NOTE 2—The STA includes in a transmitted BQR the channel availability information that is related to the STA’s operating bandwidth. </w:t>
            </w:r>
          </w:p>
        </w:tc>
      </w:tr>
      <w:tr w:rsidR="00A27851" w:rsidRPr="00F272E2" w14:paraId="622ADBB3" w14:textId="77777777" w:rsidTr="00802F85">
        <w:trPr>
          <w:trHeight w:val="510"/>
        </w:trPr>
        <w:tc>
          <w:tcPr>
            <w:tcW w:w="625" w:type="dxa"/>
            <w:hideMark/>
          </w:tcPr>
          <w:p w14:paraId="448E481F" w14:textId="77777777" w:rsidR="00A27851" w:rsidRPr="00F272E2" w:rsidRDefault="00A27851" w:rsidP="00A27851">
            <w:r w:rsidRPr="00F272E2">
              <w:t>24567</w:t>
            </w:r>
          </w:p>
        </w:tc>
        <w:tc>
          <w:tcPr>
            <w:tcW w:w="720" w:type="dxa"/>
            <w:hideMark/>
          </w:tcPr>
          <w:p w14:paraId="2171B4E4" w14:textId="77777777" w:rsidR="00A27851" w:rsidRPr="00F272E2" w:rsidRDefault="00A27851" w:rsidP="00A27851">
            <w:r w:rsidRPr="00F272E2">
              <w:t>Sun, Li-Hsiang</w:t>
            </w:r>
          </w:p>
        </w:tc>
        <w:tc>
          <w:tcPr>
            <w:tcW w:w="450" w:type="dxa"/>
            <w:hideMark/>
          </w:tcPr>
          <w:p w14:paraId="4C33FCD2" w14:textId="77777777" w:rsidR="00A27851" w:rsidRPr="00F272E2" w:rsidRDefault="00A27851" w:rsidP="00A27851">
            <w:r w:rsidRPr="00F272E2">
              <w:t>369</w:t>
            </w:r>
          </w:p>
        </w:tc>
        <w:tc>
          <w:tcPr>
            <w:tcW w:w="450" w:type="dxa"/>
            <w:hideMark/>
          </w:tcPr>
          <w:p w14:paraId="0176D6DD" w14:textId="77777777" w:rsidR="00A27851" w:rsidRPr="00F272E2" w:rsidRDefault="00A27851" w:rsidP="00A27851">
            <w:r w:rsidRPr="00F272E2">
              <w:t>15</w:t>
            </w:r>
          </w:p>
        </w:tc>
        <w:tc>
          <w:tcPr>
            <w:tcW w:w="540" w:type="dxa"/>
            <w:hideMark/>
          </w:tcPr>
          <w:p w14:paraId="584BC4E7" w14:textId="77777777" w:rsidR="00A27851" w:rsidRPr="00F272E2" w:rsidRDefault="00A27851" w:rsidP="00A27851">
            <w:r w:rsidRPr="00F272E2">
              <w:t>26.5.6</w:t>
            </w:r>
          </w:p>
        </w:tc>
        <w:tc>
          <w:tcPr>
            <w:tcW w:w="1710" w:type="dxa"/>
            <w:hideMark/>
          </w:tcPr>
          <w:p w14:paraId="12C6987E" w14:textId="77777777" w:rsidR="00A27851" w:rsidRPr="00F272E2" w:rsidRDefault="00A27851" w:rsidP="00A27851">
            <w:r w:rsidRPr="00F272E2">
              <w:t>Can AID12=0 or 2045 in BQRP?</w:t>
            </w:r>
          </w:p>
        </w:tc>
        <w:tc>
          <w:tcPr>
            <w:tcW w:w="2430" w:type="dxa"/>
            <w:hideMark/>
          </w:tcPr>
          <w:p w14:paraId="67D4C96D" w14:textId="77777777" w:rsidR="00A27851" w:rsidRPr="00F272E2" w:rsidRDefault="00A27851" w:rsidP="00A27851">
            <w:r w:rsidRPr="00F272E2">
              <w:t>Clarify whether STA needs to respond to such BQRP</w:t>
            </w:r>
          </w:p>
        </w:tc>
        <w:tc>
          <w:tcPr>
            <w:tcW w:w="3870" w:type="dxa"/>
            <w:hideMark/>
          </w:tcPr>
          <w:p w14:paraId="081130E5" w14:textId="052DD04F" w:rsidR="00A27851" w:rsidRDefault="00A27851" w:rsidP="00A27851">
            <w:r>
              <w:t>&lt;Zhou&gt;</w:t>
            </w:r>
          </w:p>
          <w:p w14:paraId="2A38CB13" w14:textId="77777777" w:rsidR="00A27851" w:rsidRDefault="00A27851" w:rsidP="00A27851"/>
          <w:p w14:paraId="3AA1FB55" w14:textId="499D14EE" w:rsidR="00A27851" w:rsidRDefault="00A27851" w:rsidP="00A27851">
            <w:r>
              <w:t>Rejected –</w:t>
            </w:r>
          </w:p>
          <w:p w14:paraId="43224B2E" w14:textId="77777777" w:rsidR="00A27851" w:rsidRDefault="00A27851" w:rsidP="00A27851"/>
          <w:p w14:paraId="3AC8452D" w14:textId="08B148B2" w:rsidR="00A27851" w:rsidRDefault="00A27851" w:rsidP="00A27851">
            <w:r>
              <w:t xml:space="preserve">The commenter is asking a question. The AID12 can be set to 0, but cannot be set to 2045 (although not explicitly stated this last one but </w:t>
            </w:r>
            <w:proofErr w:type="spellStart"/>
            <w:r>
              <w:t>understandeable</w:t>
            </w:r>
            <w:proofErr w:type="spellEnd"/>
            <w:r>
              <w:t xml:space="preserve"> since it is not mentioned as an allowed setting by the second sentence) as stated here:</w:t>
            </w:r>
          </w:p>
          <w:p w14:paraId="25477811" w14:textId="6258531F" w:rsidR="00A27851" w:rsidRDefault="00A27851" w:rsidP="00A27851">
            <w:r>
              <w:t>“</w:t>
            </w:r>
            <w:proofErr w:type="spellStart"/>
            <w:r>
              <w:t>An</w:t>
            </w:r>
            <w:proofErr w:type="spellEnd"/>
            <w:r>
              <w:t xml:space="preserve"> HE AP may transmit a Basic Trigger frame, BQRP Trigger frame or BSRP Trigger frame that contains one or more RUs for random access. An AP that transmits a Basic Trigger frame may set the AID12 subfield</w:t>
            </w:r>
          </w:p>
          <w:p w14:paraId="69404884" w14:textId="6EA8C4C3" w:rsidR="00A27851" w:rsidRPr="00F272E2" w:rsidRDefault="00A27851" w:rsidP="00A27851">
            <w:r>
              <w:t>of any User Info field of the frame to 2045. An AP that transmits a Trigger frame that is not a Basic Trigger frame, BQRP Trigger frame or BSRP Trigger frame shall not set the AID12 subfield of any User Info field of the frame to 0.”</w:t>
            </w:r>
          </w:p>
        </w:tc>
      </w:tr>
    </w:tbl>
    <w:p w14:paraId="0ABE4FAA" w14:textId="77777777" w:rsidR="001E29A2" w:rsidRDefault="001E29A2"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183E677E" w14:textId="07FD0EA5" w:rsidR="00922A88" w:rsidRPr="00922A88" w:rsidRDefault="00922A88" w:rsidP="006A6C36">
      <w:pPr>
        <w:pStyle w:val="T"/>
        <w:rPr>
          <w:w w:val="100"/>
        </w:rPr>
      </w:pPr>
    </w:p>
    <w:sectPr w:rsidR="00922A88" w:rsidRPr="00922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1103C" w14:textId="77777777" w:rsidR="002A5027" w:rsidRDefault="002A5027">
      <w:r>
        <w:separator/>
      </w:r>
    </w:p>
  </w:endnote>
  <w:endnote w:type="continuationSeparator" w:id="0">
    <w:p w14:paraId="02981FB1" w14:textId="77777777" w:rsidR="002A5027" w:rsidRDefault="002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4D2A1A">
    <w:pPr>
      <w:pStyle w:val="Footer"/>
      <w:tabs>
        <w:tab w:val="clear" w:pos="6480"/>
        <w:tab w:val="center" w:pos="4680"/>
        <w:tab w:val="right" w:pos="9360"/>
      </w:tabs>
    </w:pPr>
    <w:r>
      <w:fldChar w:fldCharType="begin"/>
    </w:r>
    <w:r>
      <w:instrText xml:space="preserve"> SUBJECT  \* MERGEFORMAT </w:instrText>
    </w:r>
    <w:r>
      <w:fldChar w:fldCharType="separate"/>
    </w:r>
    <w:r w:rsidR="00223BEA">
      <w:t>Submission</w:t>
    </w:r>
    <w:r>
      <w:fldChar w:fldCharType="end"/>
    </w:r>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6518" w14:textId="77777777" w:rsidR="002A5027" w:rsidRDefault="002A5027">
      <w:r>
        <w:separator/>
      </w:r>
    </w:p>
  </w:footnote>
  <w:footnote w:type="continuationSeparator" w:id="0">
    <w:p w14:paraId="419BACF0" w14:textId="77777777" w:rsidR="002A5027" w:rsidRDefault="002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93F12B3" w:rsidR="00223BEA" w:rsidRDefault="009274C2">
    <w:pPr>
      <w:pStyle w:val="Header"/>
      <w:tabs>
        <w:tab w:val="clear" w:pos="6480"/>
        <w:tab w:val="center" w:pos="4680"/>
        <w:tab w:val="right" w:pos="9360"/>
      </w:tabs>
    </w:pPr>
    <w:r>
      <w:rPr>
        <w:lang w:eastAsia="ko-KR"/>
      </w:rPr>
      <w:t>July</w:t>
    </w:r>
    <w:r w:rsidR="00223BEA">
      <w:rPr>
        <w:lang w:eastAsia="ko-KR"/>
      </w:rPr>
      <w:t xml:space="preserve"> 2020</w:t>
    </w:r>
    <w:r w:rsidR="00223BEA">
      <w:tab/>
    </w:r>
    <w:r w:rsidR="00223BEA">
      <w:tab/>
    </w:r>
    <w:r w:rsidR="00223BEA">
      <w:fldChar w:fldCharType="begin"/>
    </w:r>
    <w:r w:rsidR="00223BEA">
      <w:instrText xml:space="preserve"> TITLE  \* MERGEFORMAT </w:instrText>
    </w:r>
    <w:r w:rsidR="00223BEA">
      <w:fldChar w:fldCharType="end"/>
    </w:r>
    <w:r w:rsidR="004D2A1A">
      <w:fldChar w:fldCharType="begin"/>
    </w:r>
    <w:r w:rsidR="004D2A1A">
      <w:instrText xml:space="preserve"> TITLE  \* MERGEFORMAT </w:instrText>
    </w:r>
    <w:r w:rsidR="004D2A1A">
      <w:fldChar w:fldCharType="separate"/>
    </w:r>
    <w:r w:rsidR="00223BEA">
      <w:t>doc.: IEEE 802.11-20/</w:t>
    </w:r>
    <w:r w:rsidR="004D2A1A">
      <w:rPr>
        <w:lang w:eastAsia="ko-KR"/>
      </w:rPr>
      <w:t>1233</w:t>
    </w:r>
    <w:r w:rsidR="00223BEA">
      <w:rPr>
        <w:lang w:eastAsia="ko-KR"/>
      </w:rPr>
      <w:t>r</w:t>
    </w:r>
    <w:r w:rsidR="004D2A1A">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2D20"/>
    <w:rsid w:val="0000339B"/>
    <w:rsid w:val="000045FA"/>
    <w:rsid w:val="00006454"/>
    <w:rsid w:val="000067AA"/>
    <w:rsid w:val="000068FC"/>
    <w:rsid w:val="00006DBB"/>
    <w:rsid w:val="0000743C"/>
    <w:rsid w:val="00010097"/>
    <w:rsid w:val="0001027F"/>
    <w:rsid w:val="00012A80"/>
    <w:rsid w:val="00013196"/>
    <w:rsid w:val="00013F87"/>
    <w:rsid w:val="00014031"/>
    <w:rsid w:val="000157CC"/>
    <w:rsid w:val="00016D9C"/>
    <w:rsid w:val="00017D25"/>
    <w:rsid w:val="00020471"/>
    <w:rsid w:val="000208FD"/>
    <w:rsid w:val="00021A27"/>
    <w:rsid w:val="00023CD8"/>
    <w:rsid w:val="00024344"/>
    <w:rsid w:val="00024487"/>
    <w:rsid w:val="000257EE"/>
    <w:rsid w:val="00026F6E"/>
    <w:rsid w:val="0002760D"/>
    <w:rsid w:val="00027D05"/>
    <w:rsid w:val="000315C7"/>
    <w:rsid w:val="00031E68"/>
    <w:rsid w:val="00032D0B"/>
    <w:rsid w:val="00033B0A"/>
    <w:rsid w:val="000341CB"/>
    <w:rsid w:val="00034E6F"/>
    <w:rsid w:val="0003542F"/>
    <w:rsid w:val="000354AA"/>
    <w:rsid w:val="000358B3"/>
    <w:rsid w:val="000405C4"/>
    <w:rsid w:val="00044DC0"/>
    <w:rsid w:val="00045E2A"/>
    <w:rsid w:val="000478EE"/>
    <w:rsid w:val="00052123"/>
    <w:rsid w:val="00053519"/>
    <w:rsid w:val="000542E9"/>
    <w:rsid w:val="00055CC2"/>
    <w:rsid w:val="00055EE3"/>
    <w:rsid w:val="000567DA"/>
    <w:rsid w:val="00062085"/>
    <w:rsid w:val="00063867"/>
    <w:rsid w:val="000642FC"/>
    <w:rsid w:val="0006469A"/>
    <w:rsid w:val="000653B8"/>
    <w:rsid w:val="00066421"/>
    <w:rsid w:val="0006732A"/>
    <w:rsid w:val="000700B6"/>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8A4"/>
    <w:rsid w:val="00086B53"/>
    <w:rsid w:val="0008758A"/>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A7BD2"/>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C6C33"/>
    <w:rsid w:val="000C7136"/>
    <w:rsid w:val="000D174A"/>
    <w:rsid w:val="000D1AD4"/>
    <w:rsid w:val="000D276A"/>
    <w:rsid w:val="000D2BDF"/>
    <w:rsid w:val="000D2F1B"/>
    <w:rsid w:val="000D4A8F"/>
    <w:rsid w:val="000D5EBD"/>
    <w:rsid w:val="000D674F"/>
    <w:rsid w:val="000E0494"/>
    <w:rsid w:val="000E06EE"/>
    <w:rsid w:val="000E0C79"/>
    <w:rsid w:val="000E0D8A"/>
    <w:rsid w:val="000E0E2D"/>
    <w:rsid w:val="000E15E6"/>
    <w:rsid w:val="000E1C37"/>
    <w:rsid w:val="000E1D7B"/>
    <w:rsid w:val="000E26C5"/>
    <w:rsid w:val="000E4B82"/>
    <w:rsid w:val="000E53D1"/>
    <w:rsid w:val="000E6539"/>
    <w:rsid w:val="000E720C"/>
    <w:rsid w:val="000E752D"/>
    <w:rsid w:val="000F0E46"/>
    <w:rsid w:val="000F2166"/>
    <w:rsid w:val="000F238C"/>
    <w:rsid w:val="000F2B70"/>
    <w:rsid w:val="000F3400"/>
    <w:rsid w:val="000F4937"/>
    <w:rsid w:val="000F5088"/>
    <w:rsid w:val="000F573A"/>
    <w:rsid w:val="000F685B"/>
    <w:rsid w:val="000F6BB9"/>
    <w:rsid w:val="000F76F6"/>
    <w:rsid w:val="000F79E9"/>
    <w:rsid w:val="00100E3B"/>
    <w:rsid w:val="00101214"/>
    <w:rsid w:val="001015F8"/>
    <w:rsid w:val="001028B2"/>
    <w:rsid w:val="0010327A"/>
    <w:rsid w:val="0010469F"/>
    <w:rsid w:val="00105918"/>
    <w:rsid w:val="001101C2"/>
    <w:rsid w:val="00110944"/>
    <w:rsid w:val="001109AA"/>
    <w:rsid w:val="00111CA3"/>
    <w:rsid w:val="00112C6A"/>
    <w:rsid w:val="00113B5F"/>
    <w:rsid w:val="00114FC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ACE"/>
    <w:rsid w:val="00135B4B"/>
    <w:rsid w:val="0013699E"/>
    <w:rsid w:val="001423A2"/>
    <w:rsid w:val="001448D8"/>
    <w:rsid w:val="001450BB"/>
    <w:rsid w:val="001459E7"/>
    <w:rsid w:val="00145C98"/>
    <w:rsid w:val="00146D19"/>
    <w:rsid w:val="001476C7"/>
    <w:rsid w:val="001476F8"/>
    <w:rsid w:val="0015061C"/>
    <w:rsid w:val="00150F68"/>
    <w:rsid w:val="0015132E"/>
    <w:rsid w:val="00151BBE"/>
    <w:rsid w:val="00154791"/>
    <w:rsid w:val="00154B26"/>
    <w:rsid w:val="001557CB"/>
    <w:rsid w:val="001559BB"/>
    <w:rsid w:val="0016428D"/>
    <w:rsid w:val="00165BE6"/>
    <w:rsid w:val="00165FF0"/>
    <w:rsid w:val="0017025A"/>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64A"/>
    <w:rsid w:val="001A072D"/>
    <w:rsid w:val="001A0CEC"/>
    <w:rsid w:val="001A0EDB"/>
    <w:rsid w:val="001A1B7C"/>
    <w:rsid w:val="001A2240"/>
    <w:rsid w:val="001A2CDE"/>
    <w:rsid w:val="001A3489"/>
    <w:rsid w:val="001A41FD"/>
    <w:rsid w:val="001A77FD"/>
    <w:rsid w:val="001B0001"/>
    <w:rsid w:val="001B252D"/>
    <w:rsid w:val="001B2904"/>
    <w:rsid w:val="001B4387"/>
    <w:rsid w:val="001B5FF9"/>
    <w:rsid w:val="001B63BC"/>
    <w:rsid w:val="001B6B30"/>
    <w:rsid w:val="001C10A9"/>
    <w:rsid w:val="001C3FCE"/>
    <w:rsid w:val="001C4460"/>
    <w:rsid w:val="001C501D"/>
    <w:rsid w:val="001C5437"/>
    <w:rsid w:val="001C5EF6"/>
    <w:rsid w:val="001C7CCE"/>
    <w:rsid w:val="001D15ED"/>
    <w:rsid w:val="001D2A6C"/>
    <w:rsid w:val="001D328B"/>
    <w:rsid w:val="001D3CA6"/>
    <w:rsid w:val="001D4078"/>
    <w:rsid w:val="001D4A93"/>
    <w:rsid w:val="001D5F28"/>
    <w:rsid w:val="001D69C1"/>
    <w:rsid w:val="001D7529"/>
    <w:rsid w:val="001D7948"/>
    <w:rsid w:val="001E0946"/>
    <w:rsid w:val="001E0DC2"/>
    <w:rsid w:val="001E1001"/>
    <w:rsid w:val="001E13D1"/>
    <w:rsid w:val="001E15F8"/>
    <w:rsid w:val="001E29A2"/>
    <w:rsid w:val="001E349E"/>
    <w:rsid w:val="001E5E79"/>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8B4"/>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798"/>
    <w:rsid w:val="00255A8B"/>
    <w:rsid w:val="00262D56"/>
    <w:rsid w:val="00263092"/>
    <w:rsid w:val="00263422"/>
    <w:rsid w:val="00264697"/>
    <w:rsid w:val="002662A5"/>
    <w:rsid w:val="00266D63"/>
    <w:rsid w:val="002674D1"/>
    <w:rsid w:val="00267EE0"/>
    <w:rsid w:val="00270171"/>
    <w:rsid w:val="00270F98"/>
    <w:rsid w:val="00273257"/>
    <w:rsid w:val="00273FA9"/>
    <w:rsid w:val="00274623"/>
    <w:rsid w:val="00274A4A"/>
    <w:rsid w:val="00276268"/>
    <w:rsid w:val="00276480"/>
    <w:rsid w:val="002773A7"/>
    <w:rsid w:val="002773F1"/>
    <w:rsid w:val="00281013"/>
    <w:rsid w:val="00281A5D"/>
    <w:rsid w:val="00282053"/>
    <w:rsid w:val="00282EFB"/>
    <w:rsid w:val="00284C5E"/>
    <w:rsid w:val="00284E10"/>
    <w:rsid w:val="00285A6A"/>
    <w:rsid w:val="0028665C"/>
    <w:rsid w:val="00287B9F"/>
    <w:rsid w:val="00291A10"/>
    <w:rsid w:val="0029309B"/>
    <w:rsid w:val="00294B37"/>
    <w:rsid w:val="00294C11"/>
    <w:rsid w:val="00296722"/>
    <w:rsid w:val="00297F3F"/>
    <w:rsid w:val="002A195C"/>
    <w:rsid w:val="002A251F"/>
    <w:rsid w:val="002A3AAB"/>
    <w:rsid w:val="002A4A61"/>
    <w:rsid w:val="002A4C48"/>
    <w:rsid w:val="002A5027"/>
    <w:rsid w:val="002A55B1"/>
    <w:rsid w:val="002B02EF"/>
    <w:rsid w:val="002B0983"/>
    <w:rsid w:val="002B0B91"/>
    <w:rsid w:val="002B43B3"/>
    <w:rsid w:val="002B5901"/>
    <w:rsid w:val="002B5973"/>
    <w:rsid w:val="002C271D"/>
    <w:rsid w:val="002C2A2B"/>
    <w:rsid w:val="002C2DD6"/>
    <w:rsid w:val="002C3475"/>
    <w:rsid w:val="002C3517"/>
    <w:rsid w:val="002C3916"/>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B18"/>
    <w:rsid w:val="002E1D70"/>
    <w:rsid w:val="002E2017"/>
    <w:rsid w:val="002E2E0A"/>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0DC"/>
    <w:rsid w:val="00325AB6"/>
    <w:rsid w:val="00326126"/>
    <w:rsid w:val="003266E8"/>
    <w:rsid w:val="003267C0"/>
    <w:rsid w:val="00326B27"/>
    <w:rsid w:val="00326CDE"/>
    <w:rsid w:val="0033057A"/>
    <w:rsid w:val="003308A8"/>
    <w:rsid w:val="00331749"/>
    <w:rsid w:val="00331F23"/>
    <w:rsid w:val="00332A81"/>
    <w:rsid w:val="00334DEA"/>
    <w:rsid w:val="003357DC"/>
    <w:rsid w:val="00336F5F"/>
    <w:rsid w:val="0034058F"/>
    <w:rsid w:val="00342C7D"/>
    <w:rsid w:val="00343554"/>
    <w:rsid w:val="003449F9"/>
    <w:rsid w:val="00344DA5"/>
    <w:rsid w:val="003452AD"/>
    <w:rsid w:val="0034581F"/>
    <w:rsid w:val="0034592B"/>
    <w:rsid w:val="003479E4"/>
    <w:rsid w:val="00347B84"/>
    <w:rsid w:val="00347C43"/>
    <w:rsid w:val="00350CA7"/>
    <w:rsid w:val="003512D5"/>
    <w:rsid w:val="0035213C"/>
    <w:rsid w:val="00352DC1"/>
    <w:rsid w:val="0035453E"/>
    <w:rsid w:val="00355254"/>
    <w:rsid w:val="0035591D"/>
    <w:rsid w:val="00356265"/>
    <w:rsid w:val="0035628A"/>
    <w:rsid w:val="0035662A"/>
    <w:rsid w:val="00357F36"/>
    <w:rsid w:val="00360C87"/>
    <w:rsid w:val="00361166"/>
    <w:rsid w:val="00361C21"/>
    <w:rsid w:val="003622ED"/>
    <w:rsid w:val="00362C5B"/>
    <w:rsid w:val="00363F49"/>
    <w:rsid w:val="00366AF0"/>
    <w:rsid w:val="00366B5F"/>
    <w:rsid w:val="00371155"/>
    <w:rsid w:val="003713CA"/>
    <w:rsid w:val="0037201A"/>
    <w:rsid w:val="003729FC"/>
    <w:rsid w:val="00372FCA"/>
    <w:rsid w:val="0037459E"/>
    <w:rsid w:val="003747D2"/>
    <w:rsid w:val="00374C87"/>
    <w:rsid w:val="00374CBC"/>
    <w:rsid w:val="003759F9"/>
    <w:rsid w:val="003766B9"/>
    <w:rsid w:val="003767D0"/>
    <w:rsid w:val="00381B93"/>
    <w:rsid w:val="00381F98"/>
    <w:rsid w:val="0038258D"/>
    <w:rsid w:val="00382C54"/>
    <w:rsid w:val="00382FE5"/>
    <w:rsid w:val="00383766"/>
    <w:rsid w:val="00383C03"/>
    <w:rsid w:val="00383C85"/>
    <w:rsid w:val="0038516A"/>
    <w:rsid w:val="00385654"/>
    <w:rsid w:val="00385FD6"/>
    <w:rsid w:val="0038601E"/>
    <w:rsid w:val="003878FA"/>
    <w:rsid w:val="00387A35"/>
    <w:rsid w:val="003906A1"/>
    <w:rsid w:val="00390DCB"/>
    <w:rsid w:val="00391845"/>
    <w:rsid w:val="003924F8"/>
    <w:rsid w:val="003945E3"/>
    <w:rsid w:val="0039500D"/>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0C7A"/>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C0D"/>
    <w:rsid w:val="003C7DBC"/>
    <w:rsid w:val="003D1D90"/>
    <w:rsid w:val="003D26A5"/>
    <w:rsid w:val="003D3623"/>
    <w:rsid w:val="003D3F93"/>
    <w:rsid w:val="003D413F"/>
    <w:rsid w:val="003D4734"/>
    <w:rsid w:val="003D5013"/>
    <w:rsid w:val="003D559C"/>
    <w:rsid w:val="003D56DD"/>
    <w:rsid w:val="003D5F14"/>
    <w:rsid w:val="003D664E"/>
    <w:rsid w:val="003D7652"/>
    <w:rsid w:val="003D77A3"/>
    <w:rsid w:val="003D78F7"/>
    <w:rsid w:val="003D79C9"/>
    <w:rsid w:val="003E03AD"/>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2F77"/>
    <w:rsid w:val="003F43D1"/>
    <w:rsid w:val="003F6B76"/>
    <w:rsid w:val="003F79EE"/>
    <w:rsid w:val="00400249"/>
    <w:rsid w:val="004010D0"/>
    <w:rsid w:val="004014AE"/>
    <w:rsid w:val="004015F5"/>
    <w:rsid w:val="00401E3C"/>
    <w:rsid w:val="00401FF1"/>
    <w:rsid w:val="00402BC8"/>
    <w:rsid w:val="00403271"/>
    <w:rsid w:val="00403645"/>
    <w:rsid w:val="00403B13"/>
    <w:rsid w:val="004051EE"/>
    <w:rsid w:val="00405A77"/>
    <w:rsid w:val="004064D6"/>
    <w:rsid w:val="00407C5B"/>
    <w:rsid w:val="00407EE1"/>
    <w:rsid w:val="00410D52"/>
    <w:rsid w:val="004110BE"/>
    <w:rsid w:val="0041147F"/>
    <w:rsid w:val="00411A99"/>
    <w:rsid w:val="00411C03"/>
    <w:rsid w:val="00411E59"/>
    <w:rsid w:val="00412685"/>
    <w:rsid w:val="0041562C"/>
    <w:rsid w:val="00415C55"/>
    <w:rsid w:val="0041714D"/>
    <w:rsid w:val="0042002A"/>
    <w:rsid w:val="00420882"/>
    <w:rsid w:val="004209D5"/>
    <w:rsid w:val="00421159"/>
    <w:rsid w:val="00421A46"/>
    <w:rsid w:val="00422546"/>
    <w:rsid w:val="00422D5C"/>
    <w:rsid w:val="00423116"/>
    <w:rsid w:val="00423634"/>
    <w:rsid w:val="00425225"/>
    <w:rsid w:val="0042720A"/>
    <w:rsid w:val="0042774D"/>
    <w:rsid w:val="0042794A"/>
    <w:rsid w:val="00430648"/>
    <w:rsid w:val="00430E74"/>
    <w:rsid w:val="00431EBF"/>
    <w:rsid w:val="00432069"/>
    <w:rsid w:val="004328CB"/>
    <w:rsid w:val="004339CB"/>
    <w:rsid w:val="00435208"/>
    <w:rsid w:val="0043677F"/>
    <w:rsid w:val="00437814"/>
    <w:rsid w:val="004402C9"/>
    <w:rsid w:val="00440FF1"/>
    <w:rsid w:val="004417F2"/>
    <w:rsid w:val="00441C39"/>
    <w:rsid w:val="00441EC5"/>
    <w:rsid w:val="00442799"/>
    <w:rsid w:val="00443004"/>
    <w:rsid w:val="00443FBF"/>
    <w:rsid w:val="004452DF"/>
    <w:rsid w:val="004507E7"/>
    <w:rsid w:val="00450CC0"/>
    <w:rsid w:val="00451108"/>
    <w:rsid w:val="0045288D"/>
    <w:rsid w:val="00453A44"/>
    <w:rsid w:val="00453E8C"/>
    <w:rsid w:val="00457028"/>
    <w:rsid w:val="00457E3B"/>
    <w:rsid w:val="00457FA3"/>
    <w:rsid w:val="00461C2E"/>
    <w:rsid w:val="00462172"/>
    <w:rsid w:val="004628A6"/>
    <w:rsid w:val="00465B93"/>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A9B"/>
    <w:rsid w:val="00492FC6"/>
    <w:rsid w:val="0049468A"/>
    <w:rsid w:val="00495671"/>
    <w:rsid w:val="00495DAB"/>
    <w:rsid w:val="00496811"/>
    <w:rsid w:val="00496D1D"/>
    <w:rsid w:val="004A0AF4"/>
    <w:rsid w:val="004A0FC9"/>
    <w:rsid w:val="004A5357"/>
    <w:rsid w:val="004A5537"/>
    <w:rsid w:val="004A5B2D"/>
    <w:rsid w:val="004A7220"/>
    <w:rsid w:val="004A7935"/>
    <w:rsid w:val="004B05C9"/>
    <w:rsid w:val="004B2117"/>
    <w:rsid w:val="004B493F"/>
    <w:rsid w:val="004B50D6"/>
    <w:rsid w:val="004B6DE2"/>
    <w:rsid w:val="004B7780"/>
    <w:rsid w:val="004C0597"/>
    <w:rsid w:val="004C0BD8"/>
    <w:rsid w:val="004C0F0A"/>
    <w:rsid w:val="004C169C"/>
    <w:rsid w:val="004C1E9F"/>
    <w:rsid w:val="004C3411"/>
    <w:rsid w:val="004C3C2A"/>
    <w:rsid w:val="004C40E4"/>
    <w:rsid w:val="004C4A47"/>
    <w:rsid w:val="004C6575"/>
    <w:rsid w:val="004C76A9"/>
    <w:rsid w:val="004C772E"/>
    <w:rsid w:val="004C7CE0"/>
    <w:rsid w:val="004D03A1"/>
    <w:rsid w:val="004D071D"/>
    <w:rsid w:val="004D0F1C"/>
    <w:rsid w:val="004D10F6"/>
    <w:rsid w:val="004D149B"/>
    <w:rsid w:val="004D1E49"/>
    <w:rsid w:val="004D1E7D"/>
    <w:rsid w:val="004D2A1A"/>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5846"/>
    <w:rsid w:val="004E66C3"/>
    <w:rsid w:val="004E6AC0"/>
    <w:rsid w:val="004E7426"/>
    <w:rsid w:val="004E7E34"/>
    <w:rsid w:val="004F05D3"/>
    <w:rsid w:val="004F0CB7"/>
    <w:rsid w:val="004F28C6"/>
    <w:rsid w:val="004F3012"/>
    <w:rsid w:val="004F3535"/>
    <w:rsid w:val="004F4564"/>
    <w:rsid w:val="004F4BBB"/>
    <w:rsid w:val="004F5A90"/>
    <w:rsid w:val="004F5E5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65B"/>
    <w:rsid w:val="00511115"/>
    <w:rsid w:val="0051210F"/>
    <w:rsid w:val="00512749"/>
    <w:rsid w:val="0051305F"/>
    <w:rsid w:val="00513528"/>
    <w:rsid w:val="0051588E"/>
    <w:rsid w:val="00517ED6"/>
    <w:rsid w:val="00520B8C"/>
    <w:rsid w:val="0052151C"/>
    <w:rsid w:val="00522A49"/>
    <w:rsid w:val="005235B6"/>
    <w:rsid w:val="005243B4"/>
    <w:rsid w:val="00524F3A"/>
    <w:rsid w:val="0052575A"/>
    <w:rsid w:val="00526AF7"/>
    <w:rsid w:val="00527489"/>
    <w:rsid w:val="00527BB3"/>
    <w:rsid w:val="00531734"/>
    <w:rsid w:val="0053254A"/>
    <w:rsid w:val="0053298E"/>
    <w:rsid w:val="0053382C"/>
    <w:rsid w:val="0053566B"/>
    <w:rsid w:val="00535EBE"/>
    <w:rsid w:val="00537B91"/>
    <w:rsid w:val="00540657"/>
    <w:rsid w:val="00540A28"/>
    <w:rsid w:val="00540BF8"/>
    <w:rsid w:val="0054235E"/>
    <w:rsid w:val="0054425D"/>
    <w:rsid w:val="005442D3"/>
    <w:rsid w:val="00544B61"/>
    <w:rsid w:val="0054683D"/>
    <w:rsid w:val="00547C2D"/>
    <w:rsid w:val="00547E1F"/>
    <w:rsid w:val="005533B0"/>
    <w:rsid w:val="00553B4F"/>
    <w:rsid w:val="00553C7D"/>
    <w:rsid w:val="0055459B"/>
    <w:rsid w:val="005546A4"/>
    <w:rsid w:val="00554995"/>
    <w:rsid w:val="00554EEF"/>
    <w:rsid w:val="005555B2"/>
    <w:rsid w:val="0055632C"/>
    <w:rsid w:val="0056081A"/>
    <w:rsid w:val="00562627"/>
    <w:rsid w:val="0056327A"/>
    <w:rsid w:val="005632A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A94"/>
    <w:rsid w:val="00574757"/>
    <w:rsid w:val="00575CF4"/>
    <w:rsid w:val="005761C4"/>
    <w:rsid w:val="00580823"/>
    <w:rsid w:val="00580ECF"/>
    <w:rsid w:val="00581836"/>
    <w:rsid w:val="00582823"/>
    <w:rsid w:val="00583212"/>
    <w:rsid w:val="00585D8F"/>
    <w:rsid w:val="00586072"/>
    <w:rsid w:val="0058644C"/>
    <w:rsid w:val="005868C2"/>
    <w:rsid w:val="00586F41"/>
    <w:rsid w:val="005877A4"/>
    <w:rsid w:val="00587CB9"/>
    <w:rsid w:val="00587F10"/>
    <w:rsid w:val="00591351"/>
    <w:rsid w:val="00591B84"/>
    <w:rsid w:val="00596243"/>
    <w:rsid w:val="00596413"/>
    <w:rsid w:val="00596B6A"/>
    <w:rsid w:val="00596C4D"/>
    <w:rsid w:val="00597DAF"/>
    <w:rsid w:val="005A129B"/>
    <w:rsid w:val="005A16CF"/>
    <w:rsid w:val="005A1A3D"/>
    <w:rsid w:val="005A23DB"/>
    <w:rsid w:val="005A2ECA"/>
    <w:rsid w:val="005A4504"/>
    <w:rsid w:val="005A6425"/>
    <w:rsid w:val="005A6BC3"/>
    <w:rsid w:val="005B151D"/>
    <w:rsid w:val="005B2B4E"/>
    <w:rsid w:val="005B2BA0"/>
    <w:rsid w:val="005B31EA"/>
    <w:rsid w:val="005B34A6"/>
    <w:rsid w:val="005B53A0"/>
    <w:rsid w:val="005B55BC"/>
    <w:rsid w:val="005B55FB"/>
    <w:rsid w:val="005B6C67"/>
    <w:rsid w:val="005B727A"/>
    <w:rsid w:val="005B7337"/>
    <w:rsid w:val="005C0CBC"/>
    <w:rsid w:val="005C1653"/>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265"/>
    <w:rsid w:val="005E4475"/>
    <w:rsid w:val="005E49E4"/>
    <w:rsid w:val="005E4E9C"/>
    <w:rsid w:val="005E58D3"/>
    <w:rsid w:val="005E5C90"/>
    <w:rsid w:val="005E6325"/>
    <w:rsid w:val="005E7326"/>
    <w:rsid w:val="005E768D"/>
    <w:rsid w:val="005E7B13"/>
    <w:rsid w:val="005F00B1"/>
    <w:rsid w:val="005F00E7"/>
    <w:rsid w:val="005F185F"/>
    <w:rsid w:val="005F19DD"/>
    <w:rsid w:val="005F23B2"/>
    <w:rsid w:val="005F4AD8"/>
    <w:rsid w:val="005F4C7B"/>
    <w:rsid w:val="005F5ADA"/>
    <w:rsid w:val="005F695C"/>
    <w:rsid w:val="005F71B8"/>
    <w:rsid w:val="005F7C51"/>
    <w:rsid w:val="006005BC"/>
    <w:rsid w:val="006006EF"/>
    <w:rsid w:val="00600A10"/>
    <w:rsid w:val="00600C3B"/>
    <w:rsid w:val="00601ED3"/>
    <w:rsid w:val="006036D9"/>
    <w:rsid w:val="00610293"/>
    <w:rsid w:val="006104BB"/>
    <w:rsid w:val="00610FDF"/>
    <w:rsid w:val="0061104F"/>
    <w:rsid w:val="006111B6"/>
    <w:rsid w:val="006117D4"/>
    <w:rsid w:val="00612605"/>
    <w:rsid w:val="00615E8C"/>
    <w:rsid w:val="00616288"/>
    <w:rsid w:val="00620F63"/>
    <w:rsid w:val="00621286"/>
    <w:rsid w:val="0062254C"/>
    <w:rsid w:val="0062298E"/>
    <w:rsid w:val="006234AD"/>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6E17"/>
    <w:rsid w:val="00637017"/>
    <w:rsid w:val="006372B9"/>
    <w:rsid w:val="006374C2"/>
    <w:rsid w:val="006375C3"/>
    <w:rsid w:val="00637D47"/>
    <w:rsid w:val="006416FF"/>
    <w:rsid w:val="00642CDD"/>
    <w:rsid w:val="00643C1B"/>
    <w:rsid w:val="00644E29"/>
    <w:rsid w:val="00645750"/>
    <w:rsid w:val="0064617E"/>
    <w:rsid w:val="006462F4"/>
    <w:rsid w:val="00646871"/>
    <w:rsid w:val="00646DA5"/>
    <w:rsid w:val="00647186"/>
    <w:rsid w:val="006502DE"/>
    <w:rsid w:val="00650750"/>
    <w:rsid w:val="00651442"/>
    <w:rsid w:val="00651FCD"/>
    <w:rsid w:val="00652255"/>
    <w:rsid w:val="006548B7"/>
    <w:rsid w:val="00654B3B"/>
    <w:rsid w:val="00654CF2"/>
    <w:rsid w:val="00656882"/>
    <w:rsid w:val="00657061"/>
    <w:rsid w:val="00657244"/>
    <w:rsid w:val="00657363"/>
    <w:rsid w:val="00657D18"/>
    <w:rsid w:val="00657DBD"/>
    <w:rsid w:val="00660ACE"/>
    <w:rsid w:val="00660F53"/>
    <w:rsid w:val="00662343"/>
    <w:rsid w:val="0066483B"/>
    <w:rsid w:val="00664CCC"/>
    <w:rsid w:val="00667084"/>
    <w:rsid w:val="0067069C"/>
    <w:rsid w:val="00671F29"/>
    <w:rsid w:val="00672466"/>
    <w:rsid w:val="0067275F"/>
    <w:rsid w:val="0067305F"/>
    <w:rsid w:val="006730A1"/>
    <w:rsid w:val="00673E73"/>
    <w:rsid w:val="00675EF1"/>
    <w:rsid w:val="0067634E"/>
    <w:rsid w:val="006763ED"/>
    <w:rsid w:val="0067737F"/>
    <w:rsid w:val="00680308"/>
    <w:rsid w:val="006813E4"/>
    <w:rsid w:val="0068276E"/>
    <w:rsid w:val="00682A71"/>
    <w:rsid w:val="0068429C"/>
    <w:rsid w:val="0068504F"/>
    <w:rsid w:val="00685816"/>
    <w:rsid w:val="006861D2"/>
    <w:rsid w:val="00686F0A"/>
    <w:rsid w:val="00687476"/>
    <w:rsid w:val="00687952"/>
    <w:rsid w:val="0069038E"/>
    <w:rsid w:val="00690EB5"/>
    <w:rsid w:val="006925B5"/>
    <w:rsid w:val="0069318B"/>
    <w:rsid w:val="0069501E"/>
    <w:rsid w:val="00695B65"/>
    <w:rsid w:val="006976B8"/>
    <w:rsid w:val="00697AF5"/>
    <w:rsid w:val="006A3117"/>
    <w:rsid w:val="006A3A0E"/>
    <w:rsid w:val="006A3EB3"/>
    <w:rsid w:val="006A4F60"/>
    <w:rsid w:val="006A503E"/>
    <w:rsid w:val="006A59BC"/>
    <w:rsid w:val="006A5EA0"/>
    <w:rsid w:val="006A67EB"/>
    <w:rsid w:val="006A6A83"/>
    <w:rsid w:val="006A6C36"/>
    <w:rsid w:val="006A7A77"/>
    <w:rsid w:val="006A7F86"/>
    <w:rsid w:val="006B65FD"/>
    <w:rsid w:val="006B6897"/>
    <w:rsid w:val="006B75AD"/>
    <w:rsid w:val="006C0178"/>
    <w:rsid w:val="006C063A"/>
    <w:rsid w:val="006C1785"/>
    <w:rsid w:val="006C1FA8"/>
    <w:rsid w:val="006C2C97"/>
    <w:rsid w:val="006C3C41"/>
    <w:rsid w:val="006C419C"/>
    <w:rsid w:val="006C4258"/>
    <w:rsid w:val="006C5695"/>
    <w:rsid w:val="006C7C13"/>
    <w:rsid w:val="006D063A"/>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1015"/>
    <w:rsid w:val="006F14CD"/>
    <w:rsid w:val="006F2683"/>
    <w:rsid w:val="006F36A8"/>
    <w:rsid w:val="006F3DD4"/>
    <w:rsid w:val="006F6E4C"/>
    <w:rsid w:val="006F7ED7"/>
    <w:rsid w:val="00700354"/>
    <w:rsid w:val="007027DC"/>
    <w:rsid w:val="00702CA2"/>
    <w:rsid w:val="00703C51"/>
    <w:rsid w:val="007045BD"/>
    <w:rsid w:val="00706960"/>
    <w:rsid w:val="00711213"/>
    <w:rsid w:val="007113EB"/>
    <w:rsid w:val="00711472"/>
    <w:rsid w:val="00711E05"/>
    <w:rsid w:val="007121E9"/>
    <w:rsid w:val="00714DE0"/>
    <w:rsid w:val="007164A7"/>
    <w:rsid w:val="00716DFF"/>
    <w:rsid w:val="00717E28"/>
    <w:rsid w:val="00720C99"/>
    <w:rsid w:val="00721A60"/>
    <w:rsid w:val="007220CF"/>
    <w:rsid w:val="007220EF"/>
    <w:rsid w:val="00723821"/>
    <w:rsid w:val="00724942"/>
    <w:rsid w:val="00727341"/>
    <w:rsid w:val="007275EF"/>
    <w:rsid w:val="00727E1D"/>
    <w:rsid w:val="00730736"/>
    <w:rsid w:val="0073133B"/>
    <w:rsid w:val="007318CE"/>
    <w:rsid w:val="00731F99"/>
    <w:rsid w:val="00734913"/>
    <w:rsid w:val="00734AC1"/>
    <w:rsid w:val="00734C35"/>
    <w:rsid w:val="00734F1A"/>
    <w:rsid w:val="00736065"/>
    <w:rsid w:val="00736C8F"/>
    <w:rsid w:val="0074006F"/>
    <w:rsid w:val="007419DF"/>
    <w:rsid w:val="00741D75"/>
    <w:rsid w:val="007421CA"/>
    <w:rsid w:val="007423F7"/>
    <w:rsid w:val="00743AA2"/>
    <w:rsid w:val="0074621F"/>
    <w:rsid w:val="007463FB"/>
    <w:rsid w:val="00747D93"/>
    <w:rsid w:val="007513CD"/>
    <w:rsid w:val="00751F14"/>
    <w:rsid w:val="00752B06"/>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1B"/>
    <w:rsid w:val="00772027"/>
    <w:rsid w:val="0077249C"/>
    <w:rsid w:val="007745BF"/>
    <w:rsid w:val="0077584D"/>
    <w:rsid w:val="00776AD9"/>
    <w:rsid w:val="0077797F"/>
    <w:rsid w:val="00783B46"/>
    <w:rsid w:val="00784800"/>
    <w:rsid w:val="00784C14"/>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5BF"/>
    <w:rsid w:val="007A098E"/>
    <w:rsid w:val="007A149D"/>
    <w:rsid w:val="007A50EA"/>
    <w:rsid w:val="007A52BA"/>
    <w:rsid w:val="007A5765"/>
    <w:rsid w:val="007A5B89"/>
    <w:rsid w:val="007A77FC"/>
    <w:rsid w:val="007A7B9E"/>
    <w:rsid w:val="007B058E"/>
    <w:rsid w:val="007B0864"/>
    <w:rsid w:val="007B0E05"/>
    <w:rsid w:val="007B1E9F"/>
    <w:rsid w:val="007B2BDF"/>
    <w:rsid w:val="007B5D8C"/>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86"/>
    <w:rsid w:val="007E21DF"/>
    <w:rsid w:val="007E2920"/>
    <w:rsid w:val="007E41CB"/>
    <w:rsid w:val="007E5479"/>
    <w:rsid w:val="007E5BE4"/>
    <w:rsid w:val="007E5F8E"/>
    <w:rsid w:val="007E611D"/>
    <w:rsid w:val="007E61D5"/>
    <w:rsid w:val="007E79A4"/>
    <w:rsid w:val="007F00BD"/>
    <w:rsid w:val="007F072E"/>
    <w:rsid w:val="007F1913"/>
    <w:rsid w:val="007F1C35"/>
    <w:rsid w:val="007F20F1"/>
    <w:rsid w:val="007F2366"/>
    <w:rsid w:val="007F53F3"/>
    <w:rsid w:val="007F5AB4"/>
    <w:rsid w:val="007F6EC7"/>
    <w:rsid w:val="007F75A8"/>
    <w:rsid w:val="007F7EA7"/>
    <w:rsid w:val="008007C7"/>
    <w:rsid w:val="00802F85"/>
    <w:rsid w:val="00802FC5"/>
    <w:rsid w:val="0080305A"/>
    <w:rsid w:val="008037C6"/>
    <w:rsid w:val="00803E94"/>
    <w:rsid w:val="008073F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A31"/>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7E8"/>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94B"/>
    <w:rsid w:val="00875A9F"/>
    <w:rsid w:val="00875ABA"/>
    <w:rsid w:val="008771D6"/>
    <w:rsid w:val="008776B0"/>
    <w:rsid w:val="00877B99"/>
    <w:rsid w:val="0088012D"/>
    <w:rsid w:val="00880858"/>
    <w:rsid w:val="00881C47"/>
    <w:rsid w:val="00882903"/>
    <w:rsid w:val="008831D9"/>
    <w:rsid w:val="00883E1F"/>
    <w:rsid w:val="00884237"/>
    <w:rsid w:val="00887583"/>
    <w:rsid w:val="00887BE4"/>
    <w:rsid w:val="00890F39"/>
    <w:rsid w:val="008912E0"/>
    <w:rsid w:val="00891445"/>
    <w:rsid w:val="0089153D"/>
    <w:rsid w:val="00892781"/>
    <w:rsid w:val="00893106"/>
    <w:rsid w:val="00893604"/>
    <w:rsid w:val="008939BF"/>
    <w:rsid w:val="00895A28"/>
    <w:rsid w:val="00896D76"/>
    <w:rsid w:val="00897183"/>
    <w:rsid w:val="008A03F8"/>
    <w:rsid w:val="008A2992"/>
    <w:rsid w:val="008A5AFD"/>
    <w:rsid w:val="008A6CD4"/>
    <w:rsid w:val="008A788A"/>
    <w:rsid w:val="008B0C92"/>
    <w:rsid w:val="008B2758"/>
    <w:rsid w:val="008B47B4"/>
    <w:rsid w:val="008B50C6"/>
    <w:rsid w:val="008B5396"/>
    <w:rsid w:val="008B581F"/>
    <w:rsid w:val="008B7FCA"/>
    <w:rsid w:val="008C0FD0"/>
    <w:rsid w:val="008C1A82"/>
    <w:rsid w:val="008C3418"/>
    <w:rsid w:val="008C4913"/>
    <w:rsid w:val="008C4AB5"/>
    <w:rsid w:val="008C4B46"/>
    <w:rsid w:val="008C5478"/>
    <w:rsid w:val="008C57E5"/>
    <w:rsid w:val="008C5AD6"/>
    <w:rsid w:val="008C5D4E"/>
    <w:rsid w:val="008C607E"/>
    <w:rsid w:val="008C69F5"/>
    <w:rsid w:val="008C7A4B"/>
    <w:rsid w:val="008D0C05"/>
    <w:rsid w:val="008D26D1"/>
    <w:rsid w:val="008D5ACC"/>
    <w:rsid w:val="008D668D"/>
    <w:rsid w:val="008D71CE"/>
    <w:rsid w:val="008E0E94"/>
    <w:rsid w:val="008E1234"/>
    <w:rsid w:val="008E197A"/>
    <w:rsid w:val="008E235C"/>
    <w:rsid w:val="008E444B"/>
    <w:rsid w:val="008E5787"/>
    <w:rsid w:val="008E7204"/>
    <w:rsid w:val="008F039B"/>
    <w:rsid w:val="008F1717"/>
    <w:rsid w:val="008F1C67"/>
    <w:rsid w:val="008F203F"/>
    <w:rsid w:val="008F238D"/>
    <w:rsid w:val="008F2611"/>
    <w:rsid w:val="008F4312"/>
    <w:rsid w:val="008F4970"/>
    <w:rsid w:val="008F67B2"/>
    <w:rsid w:val="00902E4C"/>
    <w:rsid w:val="00903A59"/>
    <w:rsid w:val="00904D91"/>
    <w:rsid w:val="00905004"/>
    <w:rsid w:val="009057D2"/>
    <w:rsid w:val="00905A7F"/>
    <w:rsid w:val="00906247"/>
    <w:rsid w:val="009064A2"/>
    <w:rsid w:val="00910F8F"/>
    <w:rsid w:val="0091118D"/>
    <w:rsid w:val="00911AC5"/>
    <w:rsid w:val="0091261A"/>
    <w:rsid w:val="009148B0"/>
    <w:rsid w:val="00914B92"/>
    <w:rsid w:val="009156B0"/>
    <w:rsid w:val="00915758"/>
    <w:rsid w:val="00915A9B"/>
    <w:rsid w:val="00920771"/>
    <w:rsid w:val="00920C8A"/>
    <w:rsid w:val="00920EE8"/>
    <w:rsid w:val="00921E02"/>
    <w:rsid w:val="009225A7"/>
    <w:rsid w:val="00922A88"/>
    <w:rsid w:val="009235F0"/>
    <w:rsid w:val="00924D61"/>
    <w:rsid w:val="00926F1C"/>
    <w:rsid w:val="009274C2"/>
    <w:rsid w:val="009278D5"/>
    <w:rsid w:val="00927FEB"/>
    <w:rsid w:val="00930344"/>
    <w:rsid w:val="00930888"/>
    <w:rsid w:val="00931EA1"/>
    <w:rsid w:val="00932E20"/>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533"/>
    <w:rsid w:val="009459D6"/>
    <w:rsid w:val="00945D55"/>
    <w:rsid w:val="009460BB"/>
    <w:rsid w:val="00946444"/>
    <w:rsid w:val="0094736E"/>
    <w:rsid w:val="00947FF8"/>
    <w:rsid w:val="0095165A"/>
    <w:rsid w:val="00951CE8"/>
    <w:rsid w:val="00952557"/>
    <w:rsid w:val="00952D70"/>
    <w:rsid w:val="00953565"/>
    <w:rsid w:val="00954C90"/>
    <w:rsid w:val="00955A8E"/>
    <w:rsid w:val="00956551"/>
    <w:rsid w:val="0095758E"/>
    <w:rsid w:val="00961347"/>
    <w:rsid w:val="00961539"/>
    <w:rsid w:val="00962377"/>
    <w:rsid w:val="00962886"/>
    <w:rsid w:val="00964511"/>
    <w:rsid w:val="00964681"/>
    <w:rsid w:val="00966816"/>
    <w:rsid w:val="00967FC7"/>
    <w:rsid w:val="009704BC"/>
    <w:rsid w:val="009723A1"/>
    <w:rsid w:val="00972E97"/>
    <w:rsid w:val="00973614"/>
    <w:rsid w:val="00973CC2"/>
    <w:rsid w:val="009742AB"/>
    <w:rsid w:val="009749B1"/>
    <w:rsid w:val="00976672"/>
    <w:rsid w:val="0097724C"/>
    <w:rsid w:val="00980866"/>
    <w:rsid w:val="00980D24"/>
    <w:rsid w:val="00982037"/>
    <w:rsid w:val="009824DF"/>
    <w:rsid w:val="00982CA7"/>
    <w:rsid w:val="0098358E"/>
    <w:rsid w:val="0098405A"/>
    <w:rsid w:val="0098426F"/>
    <w:rsid w:val="009877D2"/>
    <w:rsid w:val="00987845"/>
    <w:rsid w:val="009905E0"/>
    <w:rsid w:val="00991A93"/>
    <w:rsid w:val="00992515"/>
    <w:rsid w:val="009948C1"/>
    <w:rsid w:val="00996772"/>
    <w:rsid w:val="00997A7D"/>
    <w:rsid w:val="009A0062"/>
    <w:rsid w:val="009A0E5E"/>
    <w:rsid w:val="009A0F09"/>
    <w:rsid w:val="009A12F2"/>
    <w:rsid w:val="009A36A1"/>
    <w:rsid w:val="009A44FA"/>
    <w:rsid w:val="009A4689"/>
    <w:rsid w:val="009A48F2"/>
    <w:rsid w:val="009A6326"/>
    <w:rsid w:val="009B09CD"/>
    <w:rsid w:val="009B1471"/>
    <w:rsid w:val="009B2383"/>
    <w:rsid w:val="009B2819"/>
    <w:rsid w:val="009B3EC3"/>
    <w:rsid w:val="009B4356"/>
    <w:rsid w:val="009B480C"/>
    <w:rsid w:val="009B4EE3"/>
    <w:rsid w:val="009B5C61"/>
    <w:rsid w:val="009C0566"/>
    <w:rsid w:val="009C23A8"/>
    <w:rsid w:val="009C2AC9"/>
    <w:rsid w:val="009C30AA"/>
    <w:rsid w:val="009C43D1"/>
    <w:rsid w:val="009C5608"/>
    <w:rsid w:val="009C59A6"/>
    <w:rsid w:val="009C6854"/>
    <w:rsid w:val="009C6A52"/>
    <w:rsid w:val="009C6C4B"/>
    <w:rsid w:val="009C7C4B"/>
    <w:rsid w:val="009C7DE0"/>
    <w:rsid w:val="009D0A30"/>
    <w:rsid w:val="009D0AB2"/>
    <w:rsid w:val="009D0C1F"/>
    <w:rsid w:val="009D235E"/>
    <w:rsid w:val="009D3276"/>
    <w:rsid w:val="009D4113"/>
    <w:rsid w:val="009D444C"/>
    <w:rsid w:val="009D4525"/>
    <w:rsid w:val="009D473A"/>
    <w:rsid w:val="009D4B14"/>
    <w:rsid w:val="009E03F1"/>
    <w:rsid w:val="009E0BA6"/>
    <w:rsid w:val="009E1533"/>
    <w:rsid w:val="009E2715"/>
    <w:rsid w:val="009E2785"/>
    <w:rsid w:val="009E3A09"/>
    <w:rsid w:val="009E48CC"/>
    <w:rsid w:val="009E4E19"/>
    <w:rsid w:val="009E5870"/>
    <w:rsid w:val="009F08F6"/>
    <w:rsid w:val="009F0CDB"/>
    <w:rsid w:val="009F1190"/>
    <w:rsid w:val="009F2CA4"/>
    <w:rsid w:val="009F39CB"/>
    <w:rsid w:val="009F3F07"/>
    <w:rsid w:val="009F4BA3"/>
    <w:rsid w:val="00A00EE5"/>
    <w:rsid w:val="00A03E68"/>
    <w:rsid w:val="00A049E2"/>
    <w:rsid w:val="00A06AE1"/>
    <w:rsid w:val="00A070C0"/>
    <w:rsid w:val="00A077D4"/>
    <w:rsid w:val="00A13337"/>
    <w:rsid w:val="00A1344B"/>
    <w:rsid w:val="00A13908"/>
    <w:rsid w:val="00A14378"/>
    <w:rsid w:val="00A170C6"/>
    <w:rsid w:val="00A17B98"/>
    <w:rsid w:val="00A20076"/>
    <w:rsid w:val="00A21126"/>
    <w:rsid w:val="00A219E7"/>
    <w:rsid w:val="00A2290B"/>
    <w:rsid w:val="00A229E4"/>
    <w:rsid w:val="00A23AC0"/>
    <w:rsid w:val="00A23B80"/>
    <w:rsid w:val="00A2417A"/>
    <w:rsid w:val="00A246C2"/>
    <w:rsid w:val="00A256BB"/>
    <w:rsid w:val="00A25CCD"/>
    <w:rsid w:val="00A26D8D"/>
    <w:rsid w:val="00A27692"/>
    <w:rsid w:val="00A277DA"/>
    <w:rsid w:val="00A27851"/>
    <w:rsid w:val="00A3560F"/>
    <w:rsid w:val="00A35D4E"/>
    <w:rsid w:val="00A35DD1"/>
    <w:rsid w:val="00A36DC1"/>
    <w:rsid w:val="00A40884"/>
    <w:rsid w:val="00A40BE1"/>
    <w:rsid w:val="00A42C28"/>
    <w:rsid w:val="00A434B9"/>
    <w:rsid w:val="00A43B6B"/>
    <w:rsid w:val="00A45C7E"/>
    <w:rsid w:val="00A46655"/>
    <w:rsid w:val="00A46AF0"/>
    <w:rsid w:val="00A477E6"/>
    <w:rsid w:val="00A4790E"/>
    <w:rsid w:val="00A47C1B"/>
    <w:rsid w:val="00A50FAA"/>
    <w:rsid w:val="00A51BD6"/>
    <w:rsid w:val="00A530A3"/>
    <w:rsid w:val="00A5337D"/>
    <w:rsid w:val="00A55079"/>
    <w:rsid w:val="00A5564B"/>
    <w:rsid w:val="00A56A01"/>
    <w:rsid w:val="00A57C2D"/>
    <w:rsid w:val="00A57C37"/>
    <w:rsid w:val="00A57CE8"/>
    <w:rsid w:val="00A60B92"/>
    <w:rsid w:val="00A60C82"/>
    <w:rsid w:val="00A61F48"/>
    <w:rsid w:val="00A62DE2"/>
    <w:rsid w:val="00A6389A"/>
    <w:rsid w:val="00A63DC8"/>
    <w:rsid w:val="00A642FC"/>
    <w:rsid w:val="00A649CD"/>
    <w:rsid w:val="00A66C6D"/>
    <w:rsid w:val="00A66CBC"/>
    <w:rsid w:val="00A675B8"/>
    <w:rsid w:val="00A67F5E"/>
    <w:rsid w:val="00A7025D"/>
    <w:rsid w:val="00A704A0"/>
    <w:rsid w:val="00A70990"/>
    <w:rsid w:val="00A7108B"/>
    <w:rsid w:val="00A7357E"/>
    <w:rsid w:val="00A73785"/>
    <w:rsid w:val="00A74E09"/>
    <w:rsid w:val="00A74FD7"/>
    <w:rsid w:val="00A75655"/>
    <w:rsid w:val="00A75A50"/>
    <w:rsid w:val="00A809AC"/>
    <w:rsid w:val="00A80E2F"/>
    <w:rsid w:val="00A81018"/>
    <w:rsid w:val="00A841CC"/>
    <w:rsid w:val="00A844CE"/>
    <w:rsid w:val="00A84FE2"/>
    <w:rsid w:val="00A85AE4"/>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42F"/>
    <w:rsid w:val="00AA188F"/>
    <w:rsid w:val="00AA2B9C"/>
    <w:rsid w:val="00AA382D"/>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520"/>
    <w:rsid w:val="00AB4C6F"/>
    <w:rsid w:val="00AB4E03"/>
    <w:rsid w:val="00AC0237"/>
    <w:rsid w:val="00AC14B8"/>
    <w:rsid w:val="00AC1B7C"/>
    <w:rsid w:val="00AC3A4B"/>
    <w:rsid w:val="00AC3A66"/>
    <w:rsid w:val="00AC4CE3"/>
    <w:rsid w:val="00AC60C2"/>
    <w:rsid w:val="00AC76C6"/>
    <w:rsid w:val="00AC7943"/>
    <w:rsid w:val="00AD0FEB"/>
    <w:rsid w:val="00AD268D"/>
    <w:rsid w:val="00AD3749"/>
    <w:rsid w:val="00AD3F85"/>
    <w:rsid w:val="00AD55B4"/>
    <w:rsid w:val="00AD6723"/>
    <w:rsid w:val="00AD6AE6"/>
    <w:rsid w:val="00AD737B"/>
    <w:rsid w:val="00AD7FBD"/>
    <w:rsid w:val="00AE2C8B"/>
    <w:rsid w:val="00AE43E1"/>
    <w:rsid w:val="00AE496B"/>
    <w:rsid w:val="00AE7BCF"/>
    <w:rsid w:val="00AE7D6D"/>
    <w:rsid w:val="00AF08B8"/>
    <w:rsid w:val="00AF1B15"/>
    <w:rsid w:val="00AF1C91"/>
    <w:rsid w:val="00AF1D18"/>
    <w:rsid w:val="00AF476B"/>
    <w:rsid w:val="00AF494E"/>
    <w:rsid w:val="00AF57A4"/>
    <w:rsid w:val="00AF5B2D"/>
    <w:rsid w:val="00AF5FF7"/>
    <w:rsid w:val="00AF71D8"/>
    <w:rsid w:val="00AF794B"/>
    <w:rsid w:val="00B0051A"/>
    <w:rsid w:val="00B02952"/>
    <w:rsid w:val="00B0303F"/>
    <w:rsid w:val="00B03DB7"/>
    <w:rsid w:val="00B04957"/>
    <w:rsid w:val="00B04986"/>
    <w:rsid w:val="00B04CB8"/>
    <w:rsid w:val="00B05405"/>
    <w:rsid w:val="00B05435"/>
    <w:rsid w:val="00B05658"/>
    <w:rsid w:val="00B056A9"/>
    <w:rsid w:val="00B05C4E"/>
    <w:rsid w:val="00B07571"/>
    <w:rsid w:val="00B07F24"/>
    <w:rsid w:val="00B116A0"/>
    <w:rsid w:val="00B11981"/>
    <w:rsid w:val="00B12087"/>
    <w:rsid w:val="00B13B81"/>
    <w:rsid w:val="00B149C0"/>
    <w:rsid w:val="00B14DC4"/>
    <w:rsid w:val="00B15372"/>
    <w:rsid w:val="00B1581A"/>
    <w:rsid w:val="00B15C03"/>
    <w:rsid w:val="00B16515"/>
    <w:rsid w:val="00B17F46"/>
    <w:rsid w:val="00B2011E"/>
    <w:rsid w:val="00B20519"/>
    <w:rsid w:val="00B205C7"/>
    <w:rsid w:val="00B210A8"/>
    <w:rsid w:val="00B22C00"/>
    <w:rsid w:val="00B2361F"/>
    <w:rsid w:val="00B23C2E"/>
    <w:rsid w:val="00B26572"/>
    <w:rsid w:val="00B2692B"/>
    <w:rsid w:val="00B2718B"/>
    <w:rsid w:val="00B3040A"/>
    <w:rsid w:val="00B305F1"/>
    <w:rsid w:val="00B30B90"/>
    <w:rsid w:val="00B32CC3"/>
    <w:rsid w:val="00B348D8"/>
    <w:rsid w:val="00B34F89"/>
    <w:rsid w:val="00B350FD"/>
    <w:rsid w:val="00B35DB9"/>
    <w:rsid w:val="00B35ECD"/>
    <w:rsid w:val="00B400C2"/>
    <w:rsid w:val="00B40221"/>
    <w:rsid w:val="00B41ADF"/>
    <w:rsid w:val="00B41C74"/>
    <w:rsid w:val="00B41FC5"/>
    <w:rsid w:val="00B422A1"/>
    <w:rsid w:val="00B423DD"/>
    <w:rsid w:val="00B447D8"/>
    <w:rsid w:val="00B45A5E"/>
    <w:rsid w:val="00B51003"/>
    <w:rsid w:val="00B51194"/>
    <w:rsid w:val="00B5142C"/>
    <w:rsid w:val="00B52374"/>
    <w:rsid w:val="00B5292B"/>
    <w:rsid w:val="00B5499F"/>
    <w:rsid w:val="00B54BCB"/>
    <w:rsid w:val="00B554D4"/>
    <w:rsid w:val="00B55A12"/>
    <w:rsid w:val="00B55FB4"/>
    <w:rsid w:val="00B569AC"/>
    <w:rsid w:val="00B56B13"/>
    <w:rsid w:val="00B5776D"/>
    <w:rsid w:val="00B57E9D"/>
    <w:rsid w:val="00B57FDC"/>
    <w:rsid w:val="00B60868"/>
    <w:rsid w:val="00B60DD2"/>
    <w:rsid w:val="00B6166F"/>
    <w:rsid w:val="00B62067"/>
    <w:rsid w:val="00B626F0"/>
    <w:rsid w:val="00B62B4B"/>
    <w:rsid w:val="00B62B65"/>
    <w:rsid w:val="00B6321C"/>
    <w:rsid w:val="00B636A7"/>
    <w:rsid w:val="00B637F9"/>
    <w:rsid w:val="00B63974"/>
    <w:rsid w:val="00B63977"/>
    <w:rsid w:val="00B63F1C"/>
    <w:rsid w:val="00B65AA9"/>
    <w:rsid w:val="00B65F8D"/>
    <w:rsid w:val="00B661D7"/>
    <w:rsid w:val="00B6627F"/>
    <w:rsid w:val="00B674EA"/>
    <w:rsid w:val="00B7006B"/>
    <w:rsid w:val="00B7032B"/>
    <w:rsid w:val="00B70F13"/>
    <w:rsid w:val="00B714BA"/>
    <w:rsid w:val="00B71596"/>
    <w:rsid w:val="00B73C63"/>
    <w:rsid w:val="00B73DAC"/>
    <w:rsid w:val="00B74E3D"/>
    <w:rsid w:val="00B753D1"/>
    <w:rsid w:val="00B75821"/>
    <w:rsid w:val="00B77BB8"/>
    <w:rsid w:val="00B80A1A"/>
    <w:rsid w:val="00B81146"/>
    <w:rsid w:val="00B8242B"/>
    <w:rsid w:val="00B83455"/>
    <w:rsid w:val="00B844E8"/>
    <w:rsid w:val="00B8559C"/>
    <w:rsid w:val="00B86E78"/>
    <w:rsid w:val="00B905D1"/>
    <w:rsid w:val="00B90FF0"/>
    <w:rsid w:val="00B92315"/>
    <w:rsid w:val="00B9272C"/>
    <w:rsid w:val="00B936F0"/>
    <w:rsid w:val="00B94684"/>
    <w:rsid w:val="00B94B98"/>
    <w:rsid w:val="00B94CAC"/>
    <w:rsid w:val="00B94FC4"/>
    <w:rsid w:val="00B96C04"/>
    <w:rsid w:val="00BA06B3"/>
    <w:rsid w:val="00BA32BA"/>
    <w:rsid w:val="00BA32CA"/>
    <w:rsid w:val="00BA424E"/>
    <w:rsid w:val="00BA477A"/>
    <w:rsid w:val="00BA6901"/>
    <w:rsid w:val="00BA6C7C"/>
    <w:rsid w:val="00BA7016"/>
    <w:rsid w:val="00BA787B"/>
    <w:rsid w:val="00BB20F2"/>
    <w:rsid w:val="00BB5178"/>
    <w:rsid w:val="00BB67AE"/>
    <w:rsid w:val="00BB728B"/>
    <w:rsid w:val="00BB7702"/>
    <w:rsid w:val="00BB7718"/>
    <w:rsid w:val="00BC049F"/>
    <w:rsid w:val="00BC0AB9"/>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4D87"/>
    <w:rsid w:val="00BE603A"/>
    <w:rsid w:val="00BE6CB3"/>
    <w:rsid w:val="00BE6E21"/>
    <w:rsid w:val="00BE7D3E"/>
    <w:rsid w:val="00BF0988"/>
    <w:rsid w:val="00BF2436"/>
    <w:rsid w:val="00BF2F67"/>
    <w:rsid w:val="00BF3035"/>
    <w:rsid w:val="00BF321B"/>
    <w:rsid w:val="00BF36A4"/>
    <w:rsid w:val="00BF3773"/>
    <w:rsid w:val="00BF3E14"/>
    <w:rsid w:val="00BF3EAA"/>
    <w:rsid w:val="00BF4644"/>
    <w:rsid w:val="00BF4718"/>
    <w:rsid w:val="00BF4BF8"/>
    <w:rsid w:val="00BF5BB7"/>
    <w:rsid w:val="00BF6269"/>
    <w:rsid w:val="00BF63AA"/>
    <w:rsid w:val="00BF66A0"/>
    <w:rsid w:val="00C00D18"/>
    <w:rsid w:val="00C0119D"/>
    <w:rsid w:val="00C020CA"/>
    <w:rsid w:val="00C0274B"/>
    <w:rsid w:val="00C03B8D"/>
    <w:rsid w:val="00C0428C"/>
    <w:rsid w:val="00C04532"/>
    <w:rsid w:val="00C06C8F"/>
    <w:rsid w:val="00C06D1A"/>
    <w:rsid w:val="00C078F3"/>
    <w:rsid w:val="00C11262"/>
    <w:rsid w:val="00C11CDA"/>
    <w:rsid w:val="00C12A01"/>
    <w:rsid w:val="00C12AEB"/>
    <w:rsid w:val="00C131A9"/>
    <w:rsid w:val="00C1356B"/>
    <w:rsid w:val="00C151D0"/>
    <w:rsid w:val="00C164E0"/>
    <w:rsid w:val="00C17C1B"/>
    <w:rsid w:val="00C20366"/>
    <w:rsid w:val="00C21AC3"/>
    <w:rsid w:val="00C22BA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37AC3"/>
    <w:rsid w:val="00C40424"/>
    <w:rsid w:val="00C4276C"/>
    <w:rsid w:val="00C4329D"/>
    <w:rsid w:val="00C43374"/>
    <w:rsid w:val="00C4509E"/>
    <w:rsid w:val="00C45A69"/>
    <w:rsid w:val="00C45B13"/>
    <w:rsid w:val="00C462B1"/>
    <w:rsid w:val="00C46538"/>
    <w:rsid w:val="00C46AA2"/>
    <w:rsid w:val="00C46C48"/>
    <w:rsid w:val="00C50BCF"/>
    <w:rsid w:val="00C51A87"/>
    <w:rsid w:val="00C5217A"/>
    <w:rsid w:val="00C5366A"/>
    <w:rsid w:val="00C542F0"/>
    <w:rsid w:val="00C54A72"/>
    <w:rsid w:val="00C55F0E"/>
    <w:rsid w:val="00C5620E"/>
    <w:rsid w:val="00C5709A"/>
    <w:rsid w:val="00C57CDB"/>
    <w:rsid w:val="00C57F04"/>
    <w:rsid w:val="00C60A9B"/>
    <w:rsid w:val="00C60F8E"/>
    <w:rsid w:val="00C6108B"/>
    <w:rsid w:val="00C61854"/>
    <w:rsid w:val="00C62F58"/>
    <w:rsid w:val="00C633AB"/>
    <w:rsid w:val="00C6522B"/>
    <w:rsid w:val="00C66B2F"/>
    <w:rsid w:val="00C701FE"/>
    <w:rsid w:val="00C7233D"/>
    <w:rsid w:val="00C723BC"/>
    <w:rsid w:val="00C72A9A"/>
    <w:rsid w:val="00C73282"/>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70"/>
    <w:rsid w:val="00C85C0F"/>
    <w:rsid w:val="00C85EAD"/>
    <w:rsid w:val="00C8640E"/>
    <w:rsid w:val="00C86645"/>
    <w:rsid w:val="00C87821"/>
    <w:rsid w:val="00C8795F"/>
    <w:rsid w:val="00C91103"/>
    <w:rsid w:val="00C92726"/>
    <w:rsid w:val="00C9365B"/>
    <w:rsid w:val="00C93BCA"/>
    <w:rsid w:val="00C9447C"/>
    <w:rsid w:val="00C94642"/>
    <w:rsid w:val="00C94AEE"/>
    <w:rsid w:val="00C95BF8"/>
    <w:rsid w:val="00C95FF7"/>
    <w:rsid w:val="00C96AF0"/>
    <w:rsid w:val="00C974D5"/>
    <w:rsid w:val="00C975ED"/>
    <w:rsid w:val="00C9767E"/>
    <w:rsid w:val="00CA0268"/>
    <w:rsid w:val="00CA04C9"/>
    <w:rsid w:val="00CA1130"/>
    <w:rsid w:val="00CA19CB"/>
    <w:rsid w:val="00CA1F8F"/>
    <w:rsid w:val="00CA2591"/>
    <w:rsid w:val="00CA2EA4"/>
    <w:rsid w:val="00CA38E5"/>
    <w:rsid w:val="00CA6689"/>
    <w:rsid w:val="00CA7E6D"/>
    <w:rsid w:val="00CB0D3F"/>
    <w:rsid w:val="00CB0D43"/>
    <w:rsid w:val="00CB1212"/>
    <w:rsid w:val="00CB147A"/>
    <w:rsid w:val="00CB285C"/>
    <w:rsid w:val="00CB6234"/>
    <w:rsid w:val="00CB62CB"/>
    <w:rsid w:val="00CB7A46"/>
    <w:rsid w:val="00CC0C5F"/>
    <w:rsid w:val="00CC251D"/>
    <w:rsid w:val="00CC2D20"/>
    <w:rsid w:val="00CC3806"/>
    <w:rsid w:val="00CC4281"/>
    <w:rsid w:val="00CC648A"/>
    <w:rsid w:val="00CC76CE"/>
    <w:rsid w:val="00CC781D"/>
    <w:rsid w:val="00CD0910"/>
    <w:rsid w:val="00CD0ABD"/>
    <w:rsid w:val="00CD1D51"/>
    <w:rsid w:val="00CD259C"/>
    <w:rsid w:val="00CD4080"/>
    <w:rsid w:val="00CD4A93"/>
    <w:rsid w:val="00CD6F45"/>
    <w:rsid w:val="00CE09AE"/>
    <w:rsid w:val="00CE1EE1"/>
    <w:rsid w:val="00CE223F"/>
    <w:rsid w:val="00CE2F84"/>
    <w:rsid w:val="00CE3B09"/>
    <w:rsid w:val="00CE3B88"/>
    <w:rsid w:val="00CE3DDC"/>
    <w:rsid w:val="00CE3F65"/>
    <w:rsid w:val="00CE3FFA"/>
    <w:rsid w:val="00CE4BAA"/>
    <w:rsid w:val="00CE63EE"/>
    <w:rsid w:val="00CE6A02"/>
    <w:rsid w:val="00CE7EE1"/>
    <w:rsid w:val="00CF16A0"/>
    <w:rsid w:val="00CF16FB"/>
    <w:rsid w:val="00CF2295"/>
    <w:rsid w:val="00CF3BDE"/>
    <w:rsid w:val="00CF6654"/>
    <w:rsid w:val="00CF6F66"/>
    <w:rsid w:val="00CF783C"/>
    <w:rsid w:val="00CF7E12"/>
    <w:rsid w:val="00CF7EAA"/>
    <w:rsid w:val="00D020F4"/>
    <w:rsid w:val="00D03738"/>
    <w:rsid w:val="00D03F4F"/>
    <w:rsid w:val="00D04391"/>
    <w:rsid w:val="00D05DEB"/>
    <w:rsid w:val="00D05F32"/>
    <w:rsid w:val="00D07808"/>
    <w:rsid w:val="00D07ABE"/>
    <w:rsid w:val="00D10338"/>
    <w:rsid w:val="00D10F21"/>
    <w:rsid w:val="00D1264D"/>
    <w:rsid w:val="00D13972"/>
    <w:rsid w:val="00D152E1"/>
    <w:rsid w:val="00D15DEC"/>
    <w:rsid w:val="00D16022"/>
    <w:rsid w:val="00D17833"/>
    <w:rsid w:val="00D202C0"/>
    <w:rsid w:val="00D20BEC"/>
    <w:rsid w:val="00D22352"/>
    <w:rsid w:val="00D2694A"/>
    <w:rsid w:val="00D277CF"/>
    <w:rsid w:val="00D30761"/>
    <w:rsid w:val="00D307A6"/>
    <w:rsid w:val="00D312F2"/>
    <w:rsid w:val="00D33C85"/>
    <w:rsid w:val="00D36C35"/>
    <w:rsid w:val="00D41C47"/>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0081"/>
    <w:rsid w:val="00D721F7"/>
    <w:rsid w:val="00D72906"/>
    <w:rsid w:val="00D72BC8"/>
    <w:rsid w:val="00D72BCE"/>
    <w:rsid w:val="00D73E07"/>
    <w:rsid w:val="00D74A52"/>
    <w:rsid w:val="00D74DE9"/>
    <w:rsid w:val="00D7707D"/>
    <w:rsid w:val="00D77E65"/>
    <w:rsid w:val="00D8147A"/>
    <w:rsid w:val="00D826B4"/>
    <w:rsid w:val="00D84566"/>
    <w:rsid w:val="00D85CC4"/>
    <w:rsid w:val="00D86197"/>
    <w:rsid w:val="00D91380"/>
    <w:rsid w:val="00D92487"/>
    <w:rsid w:val="00D92951"/>
    <w:rsid w:val="00D92C11"/>
    <w:rsid w:val="00D9485C"/>
    <w:rsid w:val="00D94B05"/>
    <w:rsid w:val="00D94D3A"/>
    <w:rsid w:val="00D95BF4"/>
    <w:rsid w:val="00D9667F"/>
    <w:rsid w:val="00D97318"/>
    <w:rsid w:val="00D97DF1"/>
    <w:rsid w:val="00DA122F"/>
    <w:rsid w:val="00DA3423"/>
    <w:rsid w:val="00DA3576"/>
    <w:rsid w:val="00DA3D06"/>
    <w:rsid w:val="00DA3D0C"/>
    <w:rsid w:val="00DA3EDB"/>
    <w:rsid w:val="00DA5774"/>
    <w:rsid w:val="00DA63CC"/>
    <w:rsid w:val="00DA7631"/>
    <w:rsid w:val="00DA7A97"/>
    <w:rsid w:val="00DA7F0D"/>
    <w:rsid w:val="00DB222D"/>
    <w:rsid w:val="00DB3CB5"/>
    <w:rsid w:val="00DB4DB4"/>
    <w:rsid w:val="00DB5266"/>
    <w:rsid w:val="00DB5542"/>
    <w:rsid w:val="00DB5AD9"/>
    <w:rsid w:val="00DB68BE"/>
    <w:rsid w:val="00DB6A29"/>
    <w:rsid w:val="00DB6B0C"/>
    <w:rsid w:val="00DB7227"/>
    <w:rsid w:val="00DB7D1B"/>
    <w:rsid w:val="00DC0CA2"/>
    <w:rsid w:val="00DC176F"/>
    <w:rsid w:val="00DC1C04"/>
    <w:rsid w:val="00DC2192"/>
    <w:rsid w:val="00DC2B1D"/>
    <w:rsid w:val="00DC40E8"/>
    <w:rsid w:val="00DC7028"/>
    <w:rsid w:val="00DC77AA"/>
    <w:rsid w:val="00DD07CA"/>
    <w:rsid w:val="00DD0980"/>
    <w:rsid w:val="00DD18B6"/>
    <w:rsid w:val="00DD2304"/>
    <w:rsid w:val="00DD2BD3"/>
    <w:rsid w:val="00DD32A6"/>
    <w:rsid w:val="00DD369B"/>
    <w:rsid w:val="00DD3BD5"/>
    <w:rsid w:val="00DD4535"/>
    <w:rsid w:val="00DD4967"/>
    <w:rsid w:val="00DD64AA"/>
    <w:rsid w:val="00DD6EB7"/>
    <w:rsid w:val="00DD70FA"/>
    <w:rsid w:val="00DD7512"/>
    <w:rsid w:val="00DE1492"/>
    <w:rsid w:val="00DE19E8"/>
    <w:rsid w:val="00DE202C"/>
    <w:rsid w:val="00DE2E19"/>
    <w:rsid w:val="00DE3143"/>
    <w:rsid w:val="00DE35F8"/>
    <w:rsid w:val="00DE385C"/>
    <w:rsid w:val="00DE3BE5"/>
    <w:rsid w:val="00DE4BE2"/>
    <w:rsid w:val="00DE584F"/>
    <w:rsid w:val="00DE6B23"/>
    <w:rsid w:val="00DE6B30"/>
    <w:rsid w:val="00DE710B"/>
    <w:rsid w:val="00DE780F"/>
    <w:rsid w:val="00DF05E3"/>
    <w:rsid w:val="00DF15D7"/>
    <w:rsid w:val="00DF3527"/>
    <w:rsid w:val="00DF3E12"/>
    <w:rsid w:val="00DF3E4E"/>
    <w:rsid w:val="00DF69A3"/>
    <w:rsid w:val="00DF6CC2"/>
    <w:rsid w:val="00DF7E35"/>
    <w:rsid w:val="00E00367"/>
    <w:rsid w:val="00E006E4"/>
    <w:rsid w:val="00E02800"/>
    <w:rsid w:val="00E02AAD"/>
    <w:rsid w:val="00E02D4E"/>
    <w:rsid w:val="00E03924"/>
    <w:rsid w:val="00E03A4B"/>
    <w:rsid w:val="00E03C85"/>
    <w:rsid w:val="00E04621"/>
    <w:rsid w:val="00E051FD"/>
    <w:rsid w:val="00E064D6"/>
    <w:rsid w:val="00E0769B"/>
    <w:rsid w:val="00E07E4A"/>
    <w:rsid w:val="00E10812"/>
    <w:rsid w:val="00E11083"/>
    <w:rsid w:val="00E11C34"/>
    <w:rsid w:val="00E11E63"/>
    <w:rsid w:val="00E1433A"/>
    <w:rsid w:val="00E14AFB"/>
    <w:rsid w:val="00E16539"/>
    <w:rsid w:val="00E16650"/>
    <w:rsid w:val="00E16966"/>
    <w:rsid w:val="00E16C63"/>
    <w:rsid w:val="00E17492"/>
    <w:rsid w:val="00E20D41"/>
    <w:rsid w:val="00E245D5"/>
    <w:rsid w:val="00E24C12"/>
    <w:rsid w:val="00E25E03"/>
    <w:rsid w:val="00E25FBD"/>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4945"/>
    <w:rsid w:val="00E46D15"/>
    <w:rsid w:val="00E53859"/>
    <w:rsid w:val="00E53C1B"/>
    <w:rsid w:val="00E544C1"/>
    <w:rsid w:val="00E54758"/>
    <w:rsid w:val="00E54D26"/>
    <w:rsid w:val="00E55158"/>
    <w:rsid w:val="00E55A58"/>
    <w:rsid w:val="00E55DFC"/>
    <w:rsid w:val="00E56B18"/>
    <w:rsid w:val="00E56CF6"/>
    <w:rsid w:val="00E5708C"/>
    <w:rsid w:val="00E57F35"/>
    <w:rsid w:val="00E60B59"/>
    <w:rsid w:val="00E610D6"/>
    <w:rsid w:val="00E616F1"/>
    <w:rsid w:val="00E62A4F"/>
    <w:rsid w:val="00E62BCB"/>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B08"/>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A06"/>
    <w:rsid w:val="00EA3B16"/>
    <w:rsid w:val="00EA48D0"/>
    <w:rsid w:val="00EA678C"/>
    <w:rsid w:val="00EA6A6E"/>
    <w:rsid w:val="00EA6DCB"/>
    <w:rsid w:val="00EA7A4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35E7"/>
    <w:rsid w:val="00F039EE"/>
    <w:rsid w:val="00F047A1"/>
    <w:rsid w:val="00F04926"/>
    <w:rsid w:val="00F04FF6"/>
    <w:rsid w:val="00F0504C"/>
    <w:rsid w:val="00F0703F"/>
    <w:rsid w:val="00F077E7"/>
    <w:rsid w:val="00F100D0"/>
    <w:rsid w:val="00F10374"/>
    <w:rsid w:val="00F109FC"/>
    <w:rsid w:val="00F12D1B"/>
    <w:rsid w:val="00F13775"/>
    <w:rsid w:val="00F13D95"/>
    <w:rsid w:val="00F154AA"/>
    <w:rsid w:val="00F16057"/>
    <w:rsid w:val="00F1619A"/>
    <w:rsid w:val="00F16324"/>
    <w:rsid w:val="00F175AB"/>
    <w:rsid w:val="00F233C0"/>
    <w:rsid w:val="00F2375B"/>
    <w:rsid w:val="00F24F93"/>
    <w:rsid w:val="00F250D3"/>
    <w:rsid w:val="00F2561F"/>
    <w:rsid w:val="00F2637D"/>
    <w:rsid w:val="00F2656B"/>
    <w:rsid w:val="00F272E2"/>
    <w:rsid w:val="00F31334"/>
    <w:rsid w:val="00F33998"/>
    <w:rsid w:val="00F342FD"/>
    <w:rsid w:val="00F34E9E"/>
    <w:rsid w:val="00F36D46"/>
    <w:rsid w:val="00F36DC0"/>
    <w:rsid w:val="00F37ECD"/>
    <w:rsid w:val="00F400A1"/>
    <w:rsid w:val="00F41684"/>
    <w:rsid w:val="00F418ED"/>
    <w:rsid w:val="00F41B1A"/>
    <w:rsid w:val="00F41E6A"/>
    <w:rsid w:val="00F42EFD"/>
    <w:rsid w:val="00F44755"/>
    <w:rsid w:val="00F451CD"/>
    <w:rsid w:val="00F455E0"/>
    <w:rsid w:val="00F45822"/>
    <w:rsid w:val="00F45E7C"/>
    <w:rsid w:val="00F50AB9"/>
    <w:rsid w:val="00F520A7"/>
    <w:rsid w:val="00F52E16"/>
    <w:rsid w:val="00F5458D"/>
    <w:rsid w:val="00F54F3A"/>
    <w:rsid w:val="00F55028"/>
    <w:rsid w:val="00F5536D"/>
    <w:rsid w:val="00F5550B"/>
    <w:rsid w:val="00F5594F"/>
    <w:rsid w:val="00F5670E"/>
    <w:rsid w:val="00F60892"/>
    <w:rsid w:val="00F61E6F"/>
    <w:rsid w:val="00F6431B"/>
    <w:rsid w:val="00F64411"/>
    <w:rsid w:val="00F653A1"/>
    <w:rsid w:val="00F659E1"/>
    <w:rsid w:val="00F668FF"/>
    <w:rsid w:val="00F670F7"/>
    <w:rsid w:val="00F717D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211"/>
    <w:rsid w:val="00F85369"/>
    <w:rsid w:val="00F858DD"/>
    <w:rsid w:val="00F92542"/>
    <w:rsid w:val="00F934C1"/>
    <w:rsid w:val="00F93DC9"/>
    <w:rsid w:val="00F94872"/>
    <w:rsid w:val="00F9547F"/>
    <w:rsid w:val="00F95CD2"/>
    <w:rsid w:val="00F967E0"/>
    <w:rsid w:val="00F96A6A"/>
    <w:rsid w:val="00F96F66"/>
    <w:rsid w:val="00F97C20"/>
    <w:rsid w:val="00FA0362"/>
    <w:rsid w:val="00FA08AC"/>
    <w:rsid w:val="00FA156D"/>
    <w:rsid w:val="00FA43B6"/>
    <w:rsid w:val="00FA4A33"/>
    <w:rsid w:val="00FA4C14"/>
    <w:rsid w:val="00FA54F0"/>
    <w:rsid w:val="00FA5D88"/>
    <w:rsid w:val="00FA6D0A"/>
    <w:rsid w:val="00FA751A"/>
    <w:rsid w:val="00FA7AEE"/>
    <w:rsid w:val="00FA7B22"/>
    <w:rsid w:val="00FB0152"/>
    <w:rsid w:val="00FB046D"/>
    <w:rsid w:val="00FB1482"/>
    <w:rsid w:val="00FB1A63"/>
    <w:rsid w:val="00FB22B7"/>
    <w:rsid w:val="00FB29A4"/>
    <w:rsid w:val="00FB33E4"/>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D70BD"/>
    <w:rsid w:val="00FD71E7"/>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977187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77223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51A9-3FCC-43F8-8652-CA699D6CD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4.xml><?xml version="1.0" encoding="utf-8"?>
<ds:datastoreItem xmlns:ds="http://schemas.openxmlformats.org/officeDocument/2006/customXml" ds:itemID="{3554394E-FFEE-4D14-B4BC-C8CA3E0A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14</Pages>
  <Words>3753</Words>
  <Characters>18847</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22555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122</cp:revision>
  <cp:lastPrinted>2010-05-04T03:47:00Z</cp:lastPrinted>
  <dcterms:created xsi:type="dcterms:W3CDTF">2020-05-25T21:57:00Z</dcterms:created>
  <dcterms:modified xsi:type="dcterms:W3CDTF">2020-08-17T02:35:00Z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