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2BE4515F" w:rsidR="00CA09B2" w:rsidRPr="00DE4DD3" w:rsidRDefault="00C95776" w:rsidP="002902F3">
            <w:pPr>
              <w:pStyle w:val="T2"/>
              <w:rPr>
                <w:rFonts w:asciiTheme="minorHAnsi" w:hAnsiTheme="minorHAnsi"/>
              </w:rPr>
            </w:pPr>
            <w:r>
              <w:rPr>
                <w:rFonts w:asciiTheme="minorHAnsi" w:hAnsiTheme="minorHAnsi"/>
              </w:rPr>
              <w:t>Operational Rates and MCSs</w:t>
            </w:r>
            <w:r>
              <w:rPr>
                <w:rFonts w:asciiTheme="minorHAnsi" w:hAnsiTheme="minorHAnsi" w:cstheme="minorHAnsi"/>
              </w:rPr>
              <w:t>―</w:t>
            </w:r>
            <w:proofErr w:type="spellStart"/>
            <w:r w:rsidR="00E569EA">
              <w:rPr>
                <w:rFonts w:asciiTheme="minorHAnsi" w:hAnsiTheme="minorHAnsi"/>
              </w:rPr>
              <w:t>REVmd</w:t>
            </w:r>
            <w:proofErr w:type="spellEnd"/>
            <w:r w:rsidR="00E569EA">
              <w:rPr>
                <w:rFonts w:asciiTheme="minorHAnsi" w:hAnsiTheme="minorHAnsi"/>
              </w:rPr>
              <w:t xml:space="preserve"> SB1 </w:t>
            </w:r>
            <w:r w:rsidR="009152BA">
              <w:rPr>
                <w:rFonts w:asciiTheme="minorHAnsi" w:hAnsiTheme="minorHAnsi"/>
              </w:rPr>
              <w:t>CID 42</w:t>
            </w:r>
            <w:r w:rsidR="00F16B73">
              <w:rPr>
                <w:rFonts w:asciiTheme="minorHAnsi" w:hAnsiTheme="minorHAnsi"/>
              </w:rPr>
              <w:t>29</w:t>
            </w:r>
          </w:p>
        </w:tc>
      </w:tr>
      <w:tr w:rsidR="00CA09B2" w14:paraId="35FC781E" w14:textId="77777777">
        <w:trPr>
          <w:trHeight w:val="359"/>
          <w:jc w:val="center"/>
        </w:trPr>
        <w:tc>
          <w:tcPr>
            <w:tcW w:w="9576" w:type="dxa"/>
            <w:gridSpan w:val="5"/>
            <w:vAlign w:val="center"/>
          </w:tcPr>
          <w:p w14:paraId="37B50137" w14:textId="1874839B"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w:t>
            </w:r>
            <w:r w:rsidR="009152BA">
              <w:rPr>
                <w:rFonts w:asciiTheme="minorHAnsi" w:hAnsiTheme="minorHAnsi"/>
                <w:b w:val="0"/>
                <w:sz w:val="20"/>
              </w:rPr>
              <w:t>20</w:t>
            </w:r>
            <w:r w:rsidR="00F410CB" w:rsidRPr="00DE4DD3">
              <w:rPr>
                <w:rFonts w:asciiTheme="minorHAnsi" w:hAnsiTheme="minorHAnsi"/>
                <w:b w:val="0"/>
                <w:sz w:val="20"/>
              </w:rPr>
              <w:t>-0</w:t>
            </w:r>
            <w:r w:rsidR="00C95776">
              <w:rPr>
                <w:rFonts w:asciiTheme="minorHAnsi" w:hAnsiTheme="minorHAnsi"/>
                <w:b w:val="0"/>
                <w:sz w:val="20"/>
              </w:rPr>
              <w:t>7-1</w:t>
            </w:r>
            <w:r w:rsidR="00B75F51">
              <w:rPr>
                <w:rFonts w:asciiTheme="minorHAnsi" w:hAnsiTheme="minorHAnsi"/>
                <w:b w:val="0"/>
                <w:sz w:val="20"/>
              </w:rPr>
              <w:t>4</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337766F6">
                <wp:simplePos x="0" y="0"/>
                <wp:positionH relativeFrom="column">
                  <wp:posOffset>-60960</wp:posOffset>
                </wp:positionH>
                <wp:positionV relativeFrom="paragraph">
                  <wp:posOffset>201930</wp:posOffset>
                </wp:positionV>
                <wp:extent cx="5943600" cy="5852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5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2A833EFD" w14:textId="2D7B850A" w:rsidR="00C95776" w:rsidRDefault="00C95776">
                            <w:pPr>
                              <w:jc w:val="both"/>
                              <w:rPr>
                                <w:rFonts w:asciiTheme="minorHAnsi" w:hAnsiTheme="minorHAnsi"/>
                                <w:sz w:val="26"/>
                                <w:szCs w:val="26"/>
                              </w:rPr>
                            </w:pPr>
                            <w:r w:rsidRPr="00C95776">
                              <w:rPr>
                                <w:rFonts w:asciiTheme="minorHAnsi" w:hAnsiTheme="minorHAnsi"/>
                                <w:sz w:val="26"/>
                                <w:szCs w:val="26"/>
                              </w:rPr>
                              <w:t xml:space="preserve">CID 4229 </w:t>
                            </w:r>
                            <w:r w:rsidR="00B02248">
                              <w:rPr>
                                <w:rFonts w:asciiTheme="minorHAnsi" w:hAnsiTheme="minorHAnsi"/>
                                <w:sz w:val="26"/>
                                <w:szCs w:val="26"/>
                              </w:rPr>
                              <w:t>and d</w:t>
                            </w:r>
                            <w:r>
                              <w:rPr>
                                <w:rFonts w:asciiTheme="minorHAnsi" w:hAnsiTheme="minorHAnsi"/>
                                <w:sz w:val="26"/>
                                <w:szCs w:val="26"/>
                              </w:rPr>
                              <w:t>oc. 11-20/0435r6 propose</w:t>
                            </w:r>
                            <w:r w:rsidR="00B02248">
                              <w:rPr>
                                <w:rFonts w:asciiTheme="minorHAnsi" w:hAnsiTheme="minorHAnsi"/>
                                <w:sz w:val="26"/>
                                <w:szCs w:val="26"/>
                              </w:rPr>
                              <w:t xml:space="preserve"> modifying a note in 11.1.4.6 to add the underlined text:</w:t>
                            </w:r>
                          </w:p>
                          <w:p w14:paraId="76AB9809" w14:textId="2FF49572" w:rsidR="00B02248" w:rsidRDefault="00B02248">
                            <w:pPr>
                              <w:jc w:val="both"/>
                              <w:rPr>
                                <w:rFonts w:asciiTheme="minorHAnsi" w:hAnsiTheme="minorHAnsi"/>
                                <w:sz w:val="26"/>
                                <w:szCs w:val="26"/>
                              </w:rPr>
                            </w:pPr>
                          </w:p>
                          <w:p w14:paraId="69A34067" w14:textId="1A5BA2B9" w:rsidR="00B02248" w:rsidRPr="00CC6419" w:rsidRDefault="00B02248" w:rsidP="00B02248">
                            <w:pPr>
                              <w:ind w:left="720"/>
                              <w:rPr>
                                <w:rFonts w:asciiTheme="minorHAnsi" w:hAnsiTheme="minorHAnsi" w:cstheme="minorHAnsi"/>
                                <w:sz w:val="24"/>
                                <w:szCs w:val="24"/>
                              </w:rPr>
                            </w:pPr>
                            <w:r w:rsidRPr="00B02248">
                              <w:rPr>
                                <w:rFonts w:asciiTheme="minorHAnsi" w:hAnsiTheme="minorHAnsi"/>
                                <w:sz w:val="24"/>
                                <w:szCs w:val="24"/>
                              </w:rPr>
                              <w:t>“</w:t>
                            </w:r>
                            <w:r w:rsidRPr="00B02248">
                              <w:rPr>
                                <w:sz w:val="24"/>
                                <w:szCs w:val="24"/>
                              </w:rPr>
                              <w:t>NOTE 1—A STA is not required to include all mandatory rates</w:t>
                            </w:r>
                            <w:r w:rsidRPr="00B02248">
                              <w:rPr>
                                <w:sz w:val="24"/>
                                <w:szCs w:val="24"/>
                                <w:u w:val="single"/>
                              </w:rPr>
                              <w:t xml:space="preserve"> or </w:t>
                            </w:r>
                            <w:proofErr w:type="spellStart"/>
                            <w:r w:rsidRPr="00B02248">
                              <w:rPr>
                                <w:sz w:val="24"/>
                                <w:szCs w:val="24"/>
                                <w:u w:val="single"/>
                              </w:rPr>
                              <w:t>MCSes</w:t>
                            </w:r>
                            <w:proofErr w:type="spellEnd"/>
                            <w:r w:rsidRPr="00B02248">
                              <w:rPr>
                                <w:sz w:val="24"/>
                                <w:szCs w:val="24"/>
                              </w:rPr>
                              <w:t xml:space="preserve"> in its operational rate</w:t>
                            </w:r>
                            <w:r w:rsidRPr="00B02248">
                              <w:rPr>
                                <w:sz w:val="24"/>
                                <w:szCs w:val="24"/>
                                <w:u w:val="single"/>
                              </w:rPr>
                              <w:t xml:space="preserve"> or MCS</w:t>
                            </w:r>
                            <w:r w:rsidRPr="00B02248">
                              <w:rPr>
                                <w:sz w:val="24"/>
                                <w:szCs w:val="24"/>
                              </w:rPr>
                              <w:t xml:space="preserve"> set</w:t>
                            </w:r>
                            <w:r w:rsidRPr="00B02248">
                              <w:rPr>
                                <w:sz w:val="24"/>
                                <w:szCs w:val="24"/>
                                <w:u w:val="single"/>
                              </w:rPr>
                              <w:t>, respectively</w:t>
                            </w:r>
                            <w:r w:rsidR="00CC6419" w:rsidRPr="00CC6419">
                              <w:rPr>
                                <w:rFonts w:asciiTheme="minorHAnsi" w:hAnsiTheme="minorHAnsi" w:cstheme="minorHAnsi"/>
                                <w:sz w:val="24"/>
                                <w:szCs w:val="24"/>
                              </w:rPr>
                              <w:t>”.</w:t>
                            </w:r>
                          </w:p>
                          <w:p w14:paraId="5515F9C6" w14:textId="2B45C157" w:rsidR="00B02248" w:rsidRDefault="00B02248">
                            <w:pPr>
                              <w:jc w:val="both"/>
                              <w:rPr>
                                <w:rFonts w:asciiTheme="minorHAnsi" w:hAnsiTheme="minorHAnsi"/>
                                <w:sz w:val="26"/>
                                <w:szCs w:val="26"/>
                              </w:rPr>
                            </w:pPr>
                          </w:p>
                          <w:p w14:paraId="5576A83D" w14:textId="1DC1D5B7" w:rsidR="00B02248" w:rsidRDefault="00B02248">
                            <w:pPr>
                              <w:jc w:val="both"/>
                              <w:rPr>
                                <w:rFonts w:asciiTheme="minorHAnsi" w:hAnsiTheme="minorHAnsi"/>
                                <w:sz w:val="26"/>
                                <w:szCs w:val="26"/>
                              </w:rPr>
                            </w:pPr>
                            <w:r>
                              <w:rPr>
                                <w:rFonts w:asciiTheme="minorHAnsi" w:hAnsiTheme="minorHAnsi"/>
                                <w:sz w:val="26"/>
                                <w:szCs w:val="26"/>
                              </w:rPr>
                              <w:t>and to add a definition for operational MCS set, with some sundry supporting changes.</w:t>
                            </w:r>
                          </w:p>
                          <w:p w14:paraId="2405CA8A" w14:textId="0D37DB4A" w:rsidR="00C95776" w:rsidRDefault="00C95776">
                            <w:pPr>
                              <w:jc w:val="both"/>
                              <w:rPr>
                                <w:rFonts w:asciiTheme="minorHAnsi" w:hAnsiTheme="minorHAnsi"/>
                                <w:sz w:val="26"/>
                                <w:szCs w:val="26"/>
                              </w:rPr>
                            </w:pPr>
                          </w:p>
                          <w:p w14:paraId="32E4607A" w14:textId="6AD1C958" w:rsidR="00C95776" w:rsidRDefault="00C95776">
                            <w:pPr>
                              <w:jc w:val="both"/>
                              <w:rPr>
                                <w:rFonts w:asciiTheme="minorHAnsi" w:hAnsiTheme="minorHAnsi"/>
                                <w:sz w:val="26"/>
                                <w:szCs w:val="26"/>
                              </w:rPr>
                            </w:pPr>
                            <w:r>
                              <w:rPr>
                                <w:rFonts w:asciiTheme="minorHAnsi" w:hAnsiTheme="minorHAnsi"/>
                                <w:sz w:val="26"/>
                                <w:szCs w:val="26"/>
                              </w:rPr>
                              <w:t xml:space="preserve">We should not adopt the proposed resolution, </w:t>
                            </w:r>
                            <w:r w:rsidR="00EE1C7F">
                              <w:rPr>
                                <w:rFonts w:asciiTheme="minorHAnsi" w:hAnsiTheme="minorHAnsi"/>
                                <w:sz w:val="26"/>
                                <w:szCs w:val="26"/>
                              </w:rPr>
                              <w:t>because</w:t>
                            </w:r>
                          </w:p>
                          <w:p w14:paraId="175502B3" w14:textId="0C7C26C9" w:rsidR="00C95776" w:rsidRDefault="00B02248" w:rsidP="00C95776">
                            <w:pPr>
                              <w:pStyle w:val="ListParagraph"/>
                              <w:numPr>
                                <w:ilvl w:val="0"/>
                                <w:numId w:val="10"/>
                              </w:numPr>
                              <w:jc w:val="both"/>
                              <w:rPr>
                                <w:rFonts w:asciiTheme="minorHAnsi" w:hAnsiTheme="minorHAnsi"/>
                                <w:sz w:val="26"/>
                                <w:szCs w:val="26"/>
                              </w:rPr>
                            </w:pPr>
                            <w:r>
                              <w:rPr>
                                <w:rFonts w:asciiTheme="minorHAnsi" w:hAnsiTheme="minorHAnsi"/>
                                <w:sz w:val="26"/>
                                <w:szCs w:val="26"/>
                              </w:rPr>
                              <w:t>Many (most?) STAs</w:t>
                            </w:r>
                            <w:r w:rsidR="00CC6419">
                              <w:rPr>
                                <w:rFonts w:asciiTheme="minorHAnsi" w:hAnsiTheme="minorHAnsi"/>
                                <w:sz w:val="26"/>
                                <w:szCs w:val="26"/>
                              </w:rPr>
                              <w:t xml:space="preserve"> are required </w:t>
                            </w:r>
                            <w:r>
                              <w:rPr>
                                <w:rFonts w:asciiTheme="minorHAnsi" w:hAnsiTheme="minorHAnsi"/>
                                <w:sz w:val="26"/>
                                <w:szCs w:val="26"/>
                              </w:rPr>
                              <w:t xml:space="preserve">to include all mandatory MCSs in </w:t>
                            </w:r>
                            <w:r w:rsidR="00CC6419">
                              <w:rPr>
                                <w:rFonts w:asciiTheme="minorHAnsi" w:hAnsiTheme="minorHAnsi"/>
                                <w:sz w:val="26"/>
                                <w:szCs w:val="26"/>
                              </w:rPr>
                              <w:t xml:space="preserve">(the proposed definition of) </w:t>
                            </w:r>
                            <w:r>
                              <w:rPr>
                                <w:rFonts w:asciiTheme="minorHAnsi" w:hAnsiTheme="minorHAnsi"/>
                                <w:sz w:val="26"/>
                                <w:szCs w:val="26"/>
                              </w:rPr>
                              <w:t xml:space="preserve">their operational </w:t>
                            </w:r>
                            <w:r w:rsidR="00CC6419">
                              <w:rPr>
                                <w:rFonts w:asciiTheme="minorHAnsi" w:hAnsiTheme="minorHAnsi"/>
                                <w:sz w:val="26"/>
                                <w:szCs w:val="26"/>
                              </w:rPr>
                              <w:t xml:space="preserve">MCS </w:t>
                            </w:r>
                            <w:r>
                              <w:rPr>
                                <w:rFonts w:asciiTheme="minorHAnsi" w:hAnsiTheme="minorHAnsi"/>
                                <w:sz w:val="26"/>
                                <w:szCs w:val="26"/>
                              </w:rPr>
                              <w:t>set</w:t>
                            </w:r>
                            <w:r w:rsidR="00CC6419">
                              <w:rPr>
                                <w:rFonts w:asciiTheme="minorHAnsi" w:hAnsiTheme="minorHAnsi"/>
                                <w:sz w:val="26"/>
                                <w:szCs w:val="26"/>
                              </w:rPr>
                              <w:t>, so the addition is incorrect</w:t>
                            </w:r>
                            <w:r>
                              <w:rPr>
                                <w:rFonts w:asciiTheme="minorHAnsi" w:hAnsiTheme="minorHAnsi"/>
                                <w:sz w:val="26"/>
                                <w:szCs w:val="26"/>
                              </w:rPr>
                              <w:t>;</w:t>
                            </w:r>
                          </w:p>
                          <w:p w14:paraId="54266E4A" w14:textId="2616218F" w:rsidR="00D31AD7" w:rsidRPr="00EF077A" w:rsidRDefault="00B02248" w:rsidP="00EF077A">
                            <w:pPr>
                              <w:pStyle w:val="ListParagraph"/>
                              <w:numPr>
                                <w:ilvl w:val="0"/>
                                <w:numId w:val="10"/>
                              </w:numPr>
                              <w:jc w:val="both"/>
                              <w:rPr>
                                <w:rFonts w:asciiTheme="minorHAnsi" w:hAnsiTheme="minorHAnsi"/>
                                <w:sz w:val="26"/>
                                <w:szCs w:val="26"/>
                              </w:rPr>
                            </w:pPr>
                            <w:r>
                              <w:rPr>
                                <w:rFonts w:asciiTheme="minorHAnsi" w:hAnsiTheme="minorHAnsi"/>
                                <w:sz w:val="26"/>
                                <w:szCs w:val="26"/>
                              </w:rPr>
                              <w:t>Many (most?) STAs</w:t>
                            </w:r>
                            <w:r w:rsidR="00CC6419">
                              <w:rPr>
                                <w:rFonts w:asciiTheme="minorHAnsi" w:hAnsiTheme="minorHAnsi"/>
                                <w:sz w:val="26"/>
                                <w:szCs w:val="26"/>
                              </w:rPr>
                              <w:t xml:space="preserve"> are required</w:t>
                            </w:r>
                            <w:r>
                              <w:rPr>
                                <w:rFonts w:asciiTheme="minorHAnsi" w:hAnsiTheme="minorHAnsi"/>
                                <w:sz w:val="26"/>
                                <w:szCs w:val="26"/>
                              </w:rPr>
                              <w:t xml:space="preserve"> to include all mandatory rates in their operational rate set</w:t>
                            </w:r>
                            <w:r w:rsidR="00CC6419">
                              <w:rPr>
                                <w:rFonts w:asciiTheme="minorHAnsi" w:hAnsiTheme="minorHAnsi"/>
                                <w:sz w:val="26"/>
                                <w:szCs w:val="26"/>
                              </w:rPr>
                              <w:t>, so the note is incorrect</w:t>
                            </w:r>
                            <w:r w:rsidR="00D31AD7" w:rsidRPr="00EF077A">
                              <w:rPr>
                                <w:rFonts w:asciiTheme="minorHAnsi" w:hAnsiTheme="minorHAnsi"/>
                                <w:sz w:val="26"/>
                                <w:szCs w:val="26"/>
                              </w:rPr>
                              <w:t>.</w:t>
                            </w:r>
                          </w:p>
                          <w:p w14:paraId="76CA1F90" w14:textId="4E164746" w:rsidR="00D31AD7" w:rsidRDefault="00D31AD7" w:rsidP="00D31AD7">
                            <w:pPr>
                              <w:jc w:val="both"/>
                              <w:rPr>
                                <w:rFonts w:asciiTheme="minorHAnsi" w:hAnsiTheme="minorHAnsi"/>
                                <w:sz w:val="26"/>
                                <w:szCs w:val="26"/>
                              </w:rPr>
                            </w:pPr>
                          </w:p>
                          <w:p w14:paraId="42F9B4B9" w14:textId="1ADAE00A" w:rsidR="004174FD" w:rsidRDefault="00BE3C1A" w:rsidP="00D31AD7">
                            <w:pPr>
                              <w:jc w:val="both"/>
                              <w:rPr>
                                <w:rFonts w:asciiTheme="minorHAnsi" w:hAnsiTheme="minorHAnsi"/>
                                <w:sz w:val="26"/>
                                <w:szCs w:val="26"/>
                              </w:rPr>
                            </w:pPr>
                            <w:r>
                              <w:rPr>
                                <w:rFonts w:asciiTheme="minorHAnsi" w:hAnsiTheme="minorHAnsi"/>
                                <w:sz w:val="26"/>
                                <w:szCs w:val="26"/>
                              </w:rPr>
                              <w:t>A separate note in 10.3 is similar</w:t>
                            </w:r>
                            <w:r w:rsidR="000365D8">
                              <w:rPr>
                                <w:rFonts w:asciiTheme="minorHAnsi" w:hAnsiTheme="minorHAnsi"/>
                                <w:sz w:val="26"/>
                                <w:szCs w:val="26"/>
                              </w:rPr>
                              <w:t xml:space="preserve"> but not identical</w:t>
                            </w:r>
                            <w:r>
                              <w:rPr>
                                <w:rFonts w:asciiTheme="minorHAnsi" w:hAnsiTheme="minorHAnsi"/>
                                <w:sz w:val="26"/>
                                <w:szCs w:val="26"/>
                              </w:rPr>
                              <w:t xml:space="preserve">, and 11.1.4.6 proposes extending that note to MCSs also. </w:t>
                            </w:r>
                            <w:r w:rsidR="000365D8">
                              <w:rPr>
                                <w:rFonts w:asciiTheme="minorHAnsi" w:hAnsiTheme="minorHAnsi"/>
                                <w:sz w:val="26"/>
                                <w:szCs w:val="26"/>
                              </w:rPr>
                              <w:t>The applicability of th</w:t>
                            </w:r>
                            <w:r w:rsidR="008910F9">
                              <w:rPr>
                                <w:rFonts w:asciiTheme="minorHAnsi" w:hAnsiTheme="minorHAnsi"/>
                                <w:sz w:val="26"/>
                                <w:szCs w:val="26"/>
                              </w:rPr>
                              <w:t>at</w:t>
                            </w:r>
                            <w:r w:rsidR="000365D8">
                              <w:rPr>
                                <w:rFonts w:asciiTheme="minorHAnsi" w:hAnsiTheme="minorHAnsi"/>
                                <w:sz w:val="26"/>
                                <w:szCs w:val="26"/>
                              </w:rPr>
                              <w:t xml:space="preserve"> note is at best limited, since it would not apply for HT or VHT STAs</w:t>
                            </w:r>
                            <w:r w:rsidR="006E6A24">
                              <w:rPr>
                                <w:rFonts w:asciiTheme="minorHAnsi" w:hAnsiTheme="minorHAnsi"/>
                                <w:sz w:val="26"/>
                                <w:szCs w:val="26"/>
                              </w:rPr>
                              <w:t xml:space="preserve">, and its wording needs work anyway. </w:t>
                            </w:r>
                            <w:r w:rsidR="000365D8">
                              <w:rPr>
                                <w:rFonts w:asciiTheme="minorHAnsi" w:hAnsiTheme="minorHAnsi"/>
                                <w:sz w:val="26"/>
                                <w:szCs w:val="26"/>
                              </w:rPr>
                              <w:t>The changes hardly seem worth it, and in any case do not match the comment.</w:t>
                            </w:r>
                          </w:p>
                          <w:p w14:paraId="3A1D5E34" w14:textId="77777777" w:rsidR="004174FD" w:rsidRDefault="004174FD" w:rsidP="00D31AD7">
                            <w:pPr>
                              <w:jc w:val="both"/>
                              <w:rPr>
                                <w:rFonts w:asciiTheme="minorHAnsi" w:hAnsiTheme="minorHAnsi"/>
                                <w:sz w:val="26"/>
                                <w:szCs w:val="26"/>
                              </w:rPr>
                            </w:pPr>
                          </w:p>
                          <w:p w14:paraId="7BAAD5FB" w14:textId="46BF1807" w:rsidR="00BB1B5C" w:rsidRPr="00D31AD7" w:rsidRDefault="000365D8" w:rsidP="00D31AD7">
                            <w:pPr>
                              <w:jc w:val="both"/>
                              <w:rPr>
                                <w:rFonts w:asciiTheme="minorHAnsi" w:hAnsiTheme="minorHAnsi"/>
                                <w:sz w:val="26"/>
                                <w:szCs w:val="26"/>
                              </w:rPr>
                            </w:pPr>
                            <w:r>
                              <w:rPr>
                                <w:rFonts w:asciiTheme="minorHAnsi" w:hAnsiTheme="minorHAnsi"/>
                                <w:sz w:val="26"/>
                                <w:szCs w:val="26"/>
                              </w:rPr>
                              <w:t>T</w:t>
                            </w:r>
                            <w:r w:rsidR="00D31AD7">
                              <w:rPr>
                                <w:rFonts w:asciiTheme="minorHAnsi" w:hAnsiTheme="minorHAnsi"/>
                                <w:sz w:val="26"/>
                                <w:szCs w:val="26"/>
                              </w:rPr>
                              <w:t>he comment</w:t>
                            </w:r>
                            <w:r>
                              <w:rPr>
                                <w:rFonts w:asciiTheme="minorHAnsi" w:hAnsiTheme="minorHAnsi"/>
                                <w:sz w:val="26"/>
                                <w:szCs w:val="26"/>
                              </w:rPr>
                              <w:t xml:space="preserve"> should be rejected</w:t>
                            </w:r>
                            <w:r w:rsidR="00D31AD7">
                              <w:rPr>
                                <w:rFonts w:asciiTheme="minorHAnsi" w:hAnsiTheme="minorHAnsi"/>
                                <w:sz w:val="26"/>
                                <w:szCs w:val="26"/>
                              </w:rPr>
                              <w:t>.</w:t>
                            </w:r>
                          </w:p>
                          <w:p w14:paraId="3B264599" w14:textId="0B31872F" w:rsidR="00C95776" w:rsidRDefault="00C95776">
                            <w:pPr>
                              <w:jc w:val="both"/>
                              <w:rPr>
                                <w:rFonts w:asciiTheme="minorHAnsi" w:hAnsiTheme="minorHAnsi"/>
                              </w:rPr>
                            </w:pPr>
                          </w:p>
                          <w:p w14:paraId="061BC92E" w14:textId="7301988A" w:rsidR="004174FD" w:rsidRDefault="004174FD">
                            <w:pPr>
                              <w:jc w:val="both"/>
                              <w:rPr>
                                <w:rFonts w:asciiTheme="minorHAnsi" w:hAnsiTheme="minorHAnsi"/>
                              </w:rPr>
                            </w:pPr>
                          </w:p>
                          <w:p w14:paraId="1F45D421" w14:textId="2376D492" w:rsidR="004174FD" w:rsidRDefault="004174FD">
                            <w:pPr>
                              <w:jc w:val="both"/>
                              <w:rPr>
                                <w:rFonts w:asciiTheme="minorHAnsi" w:hAnsiTheme="minorHAnsi"/>
                              </w:rPr>
                            </w:pPr>
                          </w:p>
                          <w:p w14:paraId="20C5B657" w14:textId="77777777" w:rsidR="006E6A24" w:rsidRDefault="006E6A24">
                            <w:pPr>
                              <w:jc w:val="both"/>
                              <w:rPr>
                                <w:rFonts w:asciiTheme="minorHAnsi" w:hAnsiTheme="minorHAnsi"/>
                              </w:rPr>
                            </w:pPr>
                          </w:p>
                          <w:p w14:paraId="2D4EB584" w14:textId="2B035D7D" w:rsidR="000576A5" w:rsidRPr="00BB1B5C" w:rsidRDefault="000576A5">
                            <w:pPr>
                              <w:jc w:val="both"/>
                              <w:rPr>
                                <w:rFonts w:asciiTheme="minorHAnsi" w:hAnsiTheme="minorHAnsi"/>
                                <w:sz w:val="24"/>
                                <w:szCs w:val="24"/>
                              </w:rPr>
                            </w:pPr>
                            <w:r w:rsidRPr="00BB1B5C">
                              <w:rPr>
                                <w:rFonts w:asciiTheme="minorHAnsi" w:hAnsiTheme="minorHAnsi"/>
                                <w:sz w:val="24"/>
                                <w:szCs w:val="24"/>
                              </w:rPr>
                              <w:t>References to page and line numbers are to D3.0.</w:t>
                            </w:r>
                          </w:p>
                          <w:p w14:paraId="34198025" w14:textId="77777777" w:rsidR="00284223" w:rsidRPr="00BB1B5C" w:rsidRDefault="00284223">
                            <w:pPr>
                              <w:jc w:val="both"/>
                              <w:rPr>
                                <w:rFonts w:asciiTheme="minorHAnsi" w:hAnsiTheme="minorHAnsi"/>
                                <w:sz w:val="24"/>
                                <w:szCs w:val="24"/>
                              </w:rPr>
                            </w:pPr>
                            <w:r w:rsidRPr="00BB1B5C">
                              <w:rPr>
                                <w:rFonts w:asciiTheme="minorHAnsi" w:hAnsiTheme="minorHAnsi"/>
                                <w:sz w:val="24"/>
                                <w:szCs w:val="24"/>
                              </w:rPr>
                              <w:t>Change history:</w:t>
                            </w:r>
                          </w:p>
                          <w:p w14:paraId="36BBE6BA" w14:textId="1A350B0F" w:rsidR="00C74260" w:rsidRPr="00BB1B5C" w:rsidRDefault="008D3217" w:rsidP="00F16B73">
                            <w:pPr>
                              <w:tabs>
                                <w:tab w:val="left" w:pos="288"/>
                              </w:tabs>
                              <w:jc w:val="both"/>
                              <w:rPr>
                                <w:rFonts w:asciiTheme="minorHAnsi" w:hAnsiTheme="minorHAnsi"/>
                                <w:sz w:val="24"/>
                                <w:szCs w:val="24"/>
                              </w:rPr>
                            </w:pPr>
                            <w:r w:rsidRPr="00BB1B5C">
                              <w:rPr>
                                <w:rFonts w:asciiTheme="minorHAnsi" w:hAnsiTheme="minorHAnsi"/>
                                <w:sz w:val="24"/>
                                <w:szCs w:val="24"/>
                              </w:rPr>
                              <w:t>r</w:t>
                            </w:r>
                            <w:r w:rsidR="000A1E26" w:rsidRPr="00BB1B5C">
                              <w:rPr>
                                <w:rFonts w:asciiTheme="minorHAnsi" w:hAnsiTheme="minorHAnsi"/>
                                <w:sz w:val="24"/>
                                <w:szCs w:val="24"/>
                              </w:rPr>
                              <w:t>0</w:t>
                            </w:r>
                            <w:r w:rsidR="009152BA" w:rsidRPr="00BB1B5C">
                              <w:rPr>
                                <w:rFonts w:asciiTheme="minorHAnsi" w:hAnsiTheme="minorHAnsi"/>
                                <w:sz w:val="24"/>
                                <w:szCs w:val="24"/>
                              </w:rPr>
                              <w:t xml:space="preserve"> (2020-0</w:t>
                            </w:r>
                            <w:r w:rsidR="00C95776" w:rsidRPr="00BB1B5C">
                              <w:rPr>
                                <w:rFonts w:asciiTheme="minorHAnsi" w:hAnsiTheme="minorHAnsi"/>
                                <w:sz w:val="24"/>
                                <w:szCs w:val="24"/>
                              </w:rPr>
                              <w:t>7</w:t>
                            </w:r>
                            <w:r w:rsidR="009152BA" w:rsidRPr="00BB1B5C">
                              <w:rPr>
                                <w:rFonts w:asciiTheme="minorHAnsi" w:hAnsiTheme="minorHAnsi"/>
                                <w:sz w:val="24"/>
                                <w:szCs w:val="24"/>
                              </w:rPr>
                              <w:t>-</w:t>
                            </w:r>
                            <w:r w:rsidR="00C95776" w:rsidRPr="00BB1B5C">
                              <w:rPr>
                                <w:rFonts w:asciiTheme="minorHAnsi" w:hAnsiTheme="minorHAnsi"/>
                                <w:sz w:val="24"/>
                                <w:szCs w:val="24"/>
                              </w:rPr>
                              <w:t>1</w:t>
                            </w:r>
                            <w:r w:rsidR="00B75F51">
                              <w:rPr>
                                <w:rFonts w:asciiTheme="minorHAnsi" w:hAnsiTheme="minorHAnsi"/>
                                <w:sz w:val="24"/>
                                <w:szCs w:val="24"/>
                              </w:rPr>
                              <w:t>4</w:t>
                            </w:r>
                            <w:r w:rsidR="009152BA" w:rsidRPr="00BB1B5C">
                              <w:rPr>
                                <w:rFonts w:asciiTheme="minorHAnsi" w:hAnsiTheme="minorHAnsi"/>
                                <w:sz w:val="24"/>
                                <w:szCs w:val="24"/>
                              </w:rPr>
                              <w:t>)</w:t>
                            </w:r>
                            <w:r w:rsidR="000A1E26" w:rsidRPr="00BB1B5C">
                              <w:rPr>
                                <w:rFonts w:asciiTheme="minorHAnsi" w:hAnsiTheme="minorHAnsi"/>
                                <w:sz w:val="24"/>
                                <w:szCs w:val="24"/>
                              </w:rPr>
                              <w:t>:</w:t>
                            </w:r>
                            <w:r w:rsidR="009152BA" w:rsidRPr="00BB1B5C">
                              <w:rPr>
                                <w:rFonts w:asciiTheme="minorHAnsi" w:hAnsiTheme="minorHAnsi"/>
                                <w:sz w:val="24"/>
                                <w:szCs w:val="24"/>
                              </w:rPr>
                              <w:tab/>
                            </w:r>
                            <w:r w:rsidR="000A1E26" w:rsidRPr="00BB1B5C">
                              <w:rPr>
                                <w:rFonts w:asciiTheme="minorHAnsi" w:hAnsiTheme="minorHAnsi"/>
                                <w:sz w:val="24"/>
                                <w:szCs w:val="24"/>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8pt;margin-top:15.9pt;width:468pt;height:4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aE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2A833EFD" w14:textId="2D7B850A" w:rsidR="00C95776" w:rsidRDefault="00C95776">
                      <w:pPr>
                        <w:jc w:val="both"/>
                        <w:rPr>
                          <w:rFonts w:asciiTheme="minorHAnsi" w:hAnsiTheme="minorHAnsi"/>
                          <w:sz w:val="26"/>
                          <w:szCs w:val="26"/>
                        </w:rPr>
                      </w:pPr>
                      <w:r w:rsidRPr="00C95776">
                        <w:rPr>
                          <w:rFonts w:asciiTheme="minorHAnsi" w:hAnsiTheme="minorHAnsi"/>
                          <w:sz w:val="26"/>
                          <w:szCs w:val="26"/>
                        </w:rPr>
                        <w:t xml:space="preserve">CID 4229 </w:t>
                      </w:r>
                      <w:r w:rsidR="00B02248">
                        <w:rPr>
                          <w:rFonts w:asciiTheme="minorHAnsi" w:hAnsiTheme="minorHAnsi"/>
                          <w:sz w:val="26"/>
                          <w:szCs w:val="26"/>
                        </w:rPr>
                        <w:t>and d</w:t>
                      </w:r>
                      <w:r>
                        <w:rPr>
                          <w:rFonts w:asciiTheme="minorHAnsi" w:hAnsiTheme="minorHAnsi"/>
                          <w:sz w:val="26"/>
                          <w:szCs w:val="26"/>
                        </w:rPr>
                        <w:t>oc. 11-20/0435r6 propose</w:t>
                      </w:r>
                      <w:r w:rsidR="00B02248">
                        <w:rPr>
                          <w:rFonts w:asciiTheme="minorHAnsi" w:hAnsiTheme="minorHAnsi"/>
                          <w:sz w:val="26"/>
                          <w:szCs w:val="26"/>
                        </w:rPr>
                        <w:t xml:space="preserve"> modifying a note in 11.1.4.6 to add the underlined text:</w:t>
                      </w:r>
                    </w:p>
                    <w:p w14:paraId="76AB9809" w14:textId="2FF49572" w:rsidR="00B02248" w:rsidRDefault="00B02248">
                      <w:pPr>
                        <w:jc w:val="both"/>
                        <w:rPr>
                          <w:rFonts w:asciiTheme="minorHAnsi" w:hAnsiTheme="minorHAnsi"/>
                          <w:sz w:val="26"/>
                          <w:szCs w:val="26"/>
                        </w:rPr>
                      </w:pPr>
                    </w:p>
                    <w:p w14:paraId="69A34067" w14:textId="1A5BA2B9" w:rsidR="00B02248" w:rsidRPr="00CC6419" w:rsidRDefault="00B02248" w:rsidP="00B02248">
                      <w:pPr>
                        <w:ind w:left="720"/>
                        <w:rPr>
                          <w:rFonts w:asciiTheme="minorHAnsi" w:hAnsiTheme="minorHAnsi" w:cstheme="minorHAnsi"/>
                          <w:sz w:val="24"/>
                          <w:szCs w:val="24"/>
                        </w:rPr>
                      </w:pPr>
                      <w:r w:rsidRPr="00B02248">
                        <w:rPr>
                          <w:rFonts w:asciiTheme="minorHAnsi" w:hAnsiTheme="minorHAnsi"/>
                          <w:sz w:val="24"/>
                          <w:szCs w:val="24"/>
                        </w:rPr>
                        <w:t>“</w:t>
                      </w:r>
                      <w:r w:rsidRPr="00B02248">
                        <w:rPr>
                          <w:sz w:val="24"/>
                          <w:szCs w:val="24"/>
                        </w:rPr>
                        <w:t>NOTE 1—A STA is not required to include all mandatory rates</w:t>
                      </w:r>
                      <w:r w:rsidRPr="00B02248">
                        <w:rPr>
                          <w:sz w:val="24"/>
                          <w:szCs w:val="24"/>
                          <w:u w:val="single"/>
                        </w:rPr>
                        <w:t xml:space="preserve"> or </w:t>
                      </w:r>
                      <w:proofErr w:type="spellStart"/>
                      <w:r w:rsidRPr="00B02248">
                        <w:rPr>
                          <w:sz w:val="24"/>
                          <w:szCs w:val="24"/>
                          <w:u w:val="single"/>
                        </w:rPr>
                        <w:t>MCSes</w:t>
                      </w:r>
                      <w:proofErr w:type="spellEnd"/>
                      <w:r w:rsidRPr="00B02248">
                        <w:rPr>
                          <w:sz w:val="24"/>
                          <w:szCs w:val="24"/>
                        </w:rPr>
                        <w:t xml:space="preserve"> in its operational rate</w:t>
                      </w:r>
                      <w:r w:rsidRPr="00B02248">
                        <w:rPr>
                          <w:sz w:val="24"/>
                          <w:szCs w:val="24"/>
                          <w:u w:val="single"/>
                        </w:rPr>
                        <w:t xml:space="preserve"> or MCS</w:t>
                      </w:r>
                      <w:r w:rsidRPr="00B02248">
                        <w:rPr>
                          <w:sz w:val="24"/>
                          <w:szCs w:val="24"/>
                        </w:rPr>
                        <w:t xml:space="preserve"> set</w:t>
                      </w:r>
                      <w:r w:rsidRPr="00B02248">
                        <w:rPr>
                          <w:sz w:val="24"/>
                          <w:szCs w:val="24"/>
                          <w:u w:val="single"/>
                        </w:rPr>
                        <w:t>, respectively</w:t>
                      </w:r>
                      <w:r w:rsidR="00CC6419" w:rsidRPr="00CC6419">
                        <w:rPr>
                          <w:rFonts w:asciiTheme="minorHAnsi" w:hAnsiTheme="minorHAnsi" w:cstheme="minorHAnsi"/>
                          <w:sz w:val="24"/>
                          <w:szCs w:val="24"/>
                        </w:rPr>
                        <w:t>”.</w:t>
                      </w:r>
                    </w:p>
                    <w:p w14:paraId="5515F9C6" w14:textId="2B45C157" w:rsidR="00B02248" w:rsidRDefault="00B02248">
                      <w:pPr>
                        <w:jc w:val="both"/>
                        <w:rPr>
                          <w:rFonts w:asciiTheme="minorHAnsi" w:hAnsiTheme="minorHAnsi"/>
                          <w:sz w:val="26"/>
                          <w:szCs w:val="26"/>
                        </w:rPr>
                      </w:pPr>
                    </w:p>
                    <w:p w14:paraId="5576A83D" w14:textId="1DC1D5B7" w:rsidR="00B02248" w:rsidRDefault="00B02248">
                      <w:pPr>
                        <w:jc w:val="both"/>
                        <w:rPr>
                          <w:rFonts w:asciiTheme="minorHAnsi" w:hAnsiTheme="minorHAnsi"/>
                          <w:sz w:val="26"/>
                          <w:szCs w:val="26"/>
                        </w:rPr>
                      </w:pPr>
                      <w:r>
                        <w:rPr>
                          <w:rFonts w:asciiTheme="minorHAnsi" w:hAnsiTheme="minorHAnsi"/>
                          <w:sz w:val="26"/>
                          <w:szCs w:val="26"/>
                        </w:rPr>
                        <w:t>and to add a definition for operational MCS set, with some sundry supporting changes.</w:t>
                      </w:r>
                    </w:p>
                    <w:p w14:paraId="2405CA8A" w14:textId="0D37DB4A" w:rsidR="00C95776" w:rsidRDefault="00C95776">
                      <w:pPr>
                        <w:jc w:val="both"/>
                        <w:rPr>
                          <w:rFonts w:asciiTheme="minorHAnsi" w:hAnsiTheme="minorHAnsi"/>
                          <w:sz w:val="26"/>
                          <w:szCs w:val="26"/>
                        </w:rPr>
                      </w:pPr>
                    </w:p>
                    <w:p w14:paraId="32E4607A" w14:textId="6AD1C958" w:rsidR="00C95776" w:rsidRDefault="00C95776">
                      <w:pPr>
                        <w:jc w:val="both"/>
                        <w:rPr>
                          <w:rFonts w:asciiTheme="minorHAnsi" w:hAnsiTheme="minorHAnsi"/>
                          <w:sz w:val="26"/>
                          <w:szCs w:val="26"/>
                        </w:rPr>
                      </w:pPr>
                      <w:r>
                        <w:rPr>
                          <w:rFonts w:asciiTheme="minorHAnsi" w:hAnsiTheme="minorHAnsi"/>
                          <w:sz w:val="26"/>
                          <w:szCs w:val="26"/>
                        </w:rPr>
                        <w:t xml:space="preserve">We should not adopt the proposed resolution, </w:t>
                      </w:r>
                      <w:r w:rsidR="00EE1C7F">
                        <w:rPr>
                          <w:rFonts w:asciiTheme="minorHAnsi" w:hAnsiTheme="minorHAnsi"/>
                          <w:sz w:val="26"/>
                          <w:szCs w:val="26"/>
                        </w:rPr>
                        <w:t>because</w:t>
                      </w:r>
                    </w:p>
                    <w:p w14:paraId="175502B3" w14:textId="0C7C26C9" w:rsidR="00C95776" w:rsidRDefault="00B02248" w:rsidP="00C95776">
                      <w:pPr>
                        <w:pStyle w:val="ListParagraph"/>
                        <w:numPr>
                          <w:ilvl w:val="0"/>
                          <w:numId w:val="10"/>
                        </w:numPr>
                        <w:jc w:val="both"/>
                        <w:rPr>
                          <w:rFonts w:asciiTheme="minorHAnsi" w:hAnsiTheme="minorHAnsi"/>
                          <w:sz w:val="26"/>
                          <w:szCs w:val="26"/>
                        </w:rPr>
                      </w:pPr>
                      <w:r>
                        <w:rPr>
                          <w:rFonts w:asciiTheme="minorHAnsi" w:hAnsiTheme="minorHAnsi"/>
                          <w:sz w:val="26"/>
                          <w:szCs w:val="26"/>
                        </w:rPr>
                        <w:t>Many (most?) STAs</w:t>
                      </w:r>
                      <w:r w:rsidR="00CC6419">
                        <w:rPr>
                          <w:rFonts w:asciiTheme="minorHAnsi" w:hAnsiTheme="minorHAnsi"/>
                          <w:sz w:val="26"/>
                          <w:szCs w:val="26"/>
                        </w:rPr>
                        <w:t xml:space="preserve"> are required </w:t>
                      </w:r>
                      <w:r>
                        <w:rPr>
                          <w:rFonts w:asciiTheme="minorHAnsi" w:hAnsiTheme="minorHAnsi"/>
                          <w:sz w:val="26"/>
                          <w:szCs w:val="26"/>
                        </w:rPr>
                        <w:t xml:space="preserve">to include all mandatory MCSs in </w:t>
                      </w:r>
                      <w:r w:rsidR="00CC6419">
                        <w:rPr>
                          <w:rFonts w:asciiTheme="minorHAnsi" w:hAnsiTheme="minorHAnsi"/>
                          <w:sz w:val="26"/>
                          <w:szCs w:val="26"/>
                        </w:rPr>
                        <w:t xml:space="preserve">(the proposed definition of) </w:t>
                      </w:r>
                      <w:r>
                        <w:rPr>
                          <w:rFonts w:asciiTheme="minorHAnsi" w:hAnsiTheme="minorHAnsi"/>
                          <w:sz w:val="26"/>
                          <w:szCs w:val="26"/>
                        </w:rPr>
                        <w:t xml:space="preserve">their operational </w:t>
                      </w:r>
                      <w:r w:rsidR="00CC6419">
                        <w:rPr>
                          <w:rFonts w:asciiTheme="minorHAnsi" w:hAnsiTheme="minorHAnsi"/>
                          <w:sz w:val="26"/>
                          <w:szCs w:val="26"/>
                        </w:rPr>
                        <w:t xml:space="preserve">MCS </w:t>
                      </w:r>
                      <w:r>
                        <w:rPr>
                          <w:rFonts w:asciiTheme="minorHAnsi" w:hAnsiTheme="minorHAnsi"/>
                          <w:sz w:val="26"/>
                          <w:szCs w:val="26"/>
                        </w:rPr>
                        <w:t>set</w:t>
                      </w:r>
                      <w:r w:rsidR="00CC6419">
                        <w:rPr>
                          <w:rFonts w:asciiTheme="minorHAnsi" w:hAnsiTheme="minorHAnsi"/>
                          <w:sz w:val="26"/>
                          <w:szCs w:val="26"/>
                        </w:rPr>
                        <w:t>, so the addition is incorrect</w:t>
                      </w:r>
                      <w:r>
                        <w:rPr>
                          <w:rFonts w:asciiTheme="minorHAnsi" w:hAnsiTheme="minorHAnsi"/>
                          <w:sz w:val="26"/>
                          <w:szCs w:val="26"/>
                        </w:rPr>
                        <w:t>;</w:t>
                      </w:r>
                    </w:p>
                    <w:p w14:paraId="54266E4A" w14:textId="2616218F" w:rsidR="00D31AD7" w:rsidRPr="00EF077A" w:rsidRDefault="00B02248" w:rsidP="00EF077A">
                      <w:pPr>
                        <w:pStyle w:val="ListParagraph"/>
                        <w:numPr>
                          <w:ilvl w:val="0"/>
                          <w:numId w:val="10"/>
                        </w:numPr>
                        <w:jc w:val="both"/>
                        <w:rPr>
                          <w:rFonts w:asciiTheme="minorHAnsi" w:hAnsiTheme="minorHAnsi"/>
                          <w:sz w:val="26"/>
                          <w:szCs w:val="26"/>
                        </w:rPr>
                      </w:pPr>
                      <w:r>
                        <w:rPr>
                          <w:rFonts w:asciiTheme="minorHAnsi" w:hAnsiTheme="minorHAnsi"/>
                          <w:sz w:val="26"/>
                          <w:szCs w:val="26"/>
                        </w:rPr>
                        <w:t>Many (most?) STAs</w:t>
                      </w:r>
                      <w:r w:rsidR="00CC6419">
                        <w:rPr>
                          <w:rFonts w:asciiTheme="minorHAnsi" w:hAnsiTheme="minorHAnsi"/>
                          <w:sz w:val="26"/>
                          <w:szCs w:val="26"/>
                        </w:rPr>
                        <w:t xml:space="preserve"> are required</w:t>
                      </w:r>
                      <w:r>
                        <w:rPr>
                          <w:rFonts w:asciiTheme="minorHAnsi" w:hAnsiTheme="minorHAnsi"/>
                          <w:sz w:val="26"/>
                          <w:szCs w:val="26"/>
                        </w:rPr>
                        <w:t xml:space="preserve"> to include all mandatory rates in their operational rate set</w:t>
                      </w:r>
                      <w:r w:rsidR="00CC6419">
                        <w:rPr>
                          <w:rFonts w:asciiTheme="minorHAnsi" w:hAnsiTheme="minorHAnsi"/>
                          <w:sz w:val="26"/>
                          <w:szCs w:val="26"/>
                        </w:rPr>
                        <w:t>, so the note is incorrect</w:t>
                      </w:r>
                      <w:r w:rsidR="00D31AD7" w:rsidRPr="00EF077A">
                        <w:rPr>
                          <w:rFonts w:asciiTheme="minorHAnsi" w:hAnsiTheme="minorHAnsi"/>
                          <w:sz w:val="26"/>
                          <w:szCs w:val="26"/>
                        </w:rPr>
                        <w:t>.</w:t>
                      </w:r>
                    </w:p>
                    <w:p w14:paraId="76CA1F90" w14:textId="4E164746" w:rsidR="00D31AD7" w:rsidRDefault="00D31AD7" w:rsidP="00D31AD7">
                      <w:pPr>
                        <w:jc w:val="both"/>
                        <w:rPr>
                          <w:rFonts w:asciiTheme="minorHAnsi" w:hAnsiTheme="minorHAnsi"/>
                          <w:sz w:val="26"/>
                          <w:szCs w:val="26"/>
                        </w:rPr>
                      </w:pPr>
                    </w:p>
                    <w:p w14:paraId="42F9B4B9" w14:textId="1ADAE00A" w:rsidR="004174FD" w:rsidRDefault="00BE3C1A" w:rsidP="00D31AD7">
                      <w:pPr>
                        <w:jc w:val="both"/>
                        <w:rPr>
                          <w:rFonts w:asciiTheme="minorHAnsi" w:hAnsiTheme="minorHAnsi"/>
                          <w:sz w:val="26"/>
                          <w:szCs w:val="26"/>
                        </w:rPr>
                      </w:pPr>
                      <w:r>
                        <w:rPr>
                          <w:rFonts w:asciiTheme="minorHAnsi" w:hAnsiTheme="minorHAnsi"/>
                          <w:sz w:val="26"/>
                          <w:szCs w:val="26"/>
                        </w:rPr>
                        <w:t>A separate note in 10.3 is similar</w:t>
                      </w:r>
                      <w:r w:rsidR="000365D8">
                        <w:rPr>
                          <w:rFonts w:asciiTheme="minorHAnsi" w:hAnsiTheme="minorHAnsi"/>
                          <w:sz w:val="26"/>
                          <w:szCs w:val="26"/>
                        </w:rPr>
                        <w:t xml:space="preserve"> but not identical</w:t>
                      </w:r>
                      <w:r>
                        <w:rPr>
                          <w:rFonts w:asciiTheme="minorHAnsi" w:hAnsiTheme="minorHAnsi"/>
                          <w:sz w:val="26"/>
                          <w:szCs w:val="26"/>
                        </w:rPr>
                        <w:t xml:space="preserve">, and 11.1.4.6 proposes extending that note to MCSs also. </w:t>
                      </w:r>
                      <w:r w:rsidR="000365D8">
                        <w:rPr>
                          <w:rFonts w:asciiTheme="minorHAnsi" w:hAnsiTheme="minorHAnsi"/>
                          <w:sz w:val="26"/>
                          <w:szCs w:val="26"/>
                        </w:rPr>
                        <w:t>The applicability of th</w:t>
                      </w:r>
                      <w:r w:rsidR="008910F9">
                        <w:rPr>
                          <w:rFonts w:asciiTheme="minorHAnsi" w:hAnsiTheme="minorHAnsi"/>
                          <w:sz w:val="26"/>
                          <w:szCs w:val="26"/>
                        </w:rPr>
                        <w:t>at</w:t>
                      </w:r>
                      <w:r w:rsidR="000365D8">
                        <w:rPr>
                          <w:rFonts w:asciiTheme="minorHAnsi" w:hAnsiTheme="minorHAnsi"/>
                          <w:sz w:val="26"/>
                          <w:szCs w:val="26"/>
                        </w:rPr>
                        <w:t xml:space="preserve"> note is at best limited, since it would not apply for HT or VHT STAs</w:t>
                      </w:r>
                      <w:r w:rsidR="006E6A24">
                        <w:rPr>
                          <w:rFonts w:asciiTheme="minorHAnsi" w:hAnsiTheme="minorHAnsi"/>
                          <w:sz w:val="26"/>
                          <w:szCs w:val="26"/>
                        </w:rPr>
                        <w:t xml:space="preserve">, and its wording needs work anyway. </w:t>
                      </w:r>
                      <w:r w:rsidR="000365D8">
                        <w:rPr>
                          <w:rFonts w:asciiTheme="minorHAnsi" w:hAnsiTheme="minorHAnsi"/>
                          <w:sz w:val="26"/>
                          <w:szCs w:val="26"/>
                        </w:rPr>
                        <w:t>The changes hardly seem worth it, and in any case do not match the comment.</w:t>
                      </w:r>
                    </w:p>
                    <w:p w14:paraId="3A1D5E34" w14:textId="77777777" w:rsidR="004174FD" w:rsidRDefault="004174FD" w:rsidP="00D31AD7">
                      <w:pPr>
                        <w:jc w:val="both"/>
                        <w:rPr>
                          <w:rFonts w:asciiTheme="minorHAnsi" w:hAnsiTheme="minorHAnsi"/>
                          <w:sz w:val="26"/>
                          <w:szCs w:val="26"/>
                        </w:rPr>
                      </w:pPr>
                    </w:p>
                    <w:p w14:paraId="7BAAD5FB" w14:textId="46BF1807" w:rsidR="00BB1B5C" w:rsidRPr="00D31AD7" w:rsidRDefault="000365D8" w:rsidP="00D31AD7">
                      <w:pPr>
                        <w:jc w:val="both"/>
                        <w:rPr>
                          <w:rFonts w:asciiTheme="minorHAnsi" w:hAnsiTheme="minorHAnsi"/>
                          <w:sz w:val="26"/>
                          <w:szCs w:val="26"/>
                        </w:rPr>
                      </w:pPr>
                      <w:r>
                        <w:rPr>
                          <w:rFonts w:asciiTheme="minorHAnsi" w:hAnsiTheme="minorHAnsi"/>
                          <w:sz w:val="26"/>
                          <w:szCs w:val="26"/>
                        </w:rPr>
                        <w:t>T</w:t>
                      </w:r>
                      <w:r w:rsidR="00D31AD7">
                        <w:rPr>
                          <w:rFonts w:asciiTheme="minorHAnsi" w:hAnsiTheme="minorHAnsi"/>
                          <w:sz w:val="26"/>
                          <w:szCs w:val="26"/>
                        </w:rPr>
                        <w:t>he comment</w:t>
                      </w:r>
                      <w:r>
                        <w:rPr>
                          <w:rFonts w:asciiTheme="minorHAnsi" w:hAnsiTheme="minorHAnsi"/>
                          <w:sz w:val="26"/>
                          <w:szCs w:val="26"/>
                        </w:rPr>
                        <w:t xml:space="preserve"> should be rejected</w:t>
                      </w:r>
                      <w:r w:rsidR="00D31AD7">
                        <w:rPr>
                          <w:rFonts w:asciiTheme="minorHAnsi" w:hAnsiTheme="minorHAnsi"/>
                          <w:sz w:val="26"/>
                          <w:szCs w:val="26"/>
                        </w:rPr>
                        <w:t>.</w:t>
                      </w:r>
                    </w:p>
                    <w:p w14:paraId="3B264599" w14:textId="0B31872F" w:rsidR="00C95776" w:rsidRDefault="00C95776">
                      <w:pPr>
                        <w:jc w:val="both"/>
                        <w:rPr>
                          <w:rFonts w:asciiTheme="minorHAnsi" w:hAnsiTheme="minorHAnsi"/>
                        </w:rPr>
                      </w:pPr>
                    </w:p>
                    <w:p w14:paraId="061BC92E" w14:textId="7301988A" w:rsidR="004174FD" w:rsidRDefault="004174FD">
                      <w:pPr>
                        <w:jc w:val="both"/>
                        <w:rPr>
                          <w:rFonts w:asciiTheme="minorHAnsi" w:hAnsiTheme="minorHAnsi"/>
                        </w:rPr>
                      </w:pPr>
                    </w:p>
                    <w:p w14:paraId="1F45D421" w14:textId="2376D492" w:rsidR="004174FD" w:rsidRDefault="004174FD">
                      <w:pPr>
                        <w:jc w:val="both"/>
                        <w:rPr>
                          <w:rFonts w:asciiTheme="minorHAnsi" w:hAnsiTheme="minorHAnsi"/>
                        </w:rPr>
                      </w:pPr>
                    </w:p>
                    <w:p w14:paraId="20C5B657" w14:textId="77777777" w:rsidR="006E6A24" w:rsidRDefault="006E6A24">
                      <w:pPr>
                        <w:jc w:val="both"/>
                        <w:rPr>
                          <w:rFonts w:asciiTheme="minorHAnsi" w:hAnsiTheme="minorHAnsi"/>
                        </w:rPr>
                      </w:pPr>
                    </w:p>
                    <w:p w14:paraId="2D4EB584" w14:textId="2B035D7D" w:rsidR="000576A5" w:rsidRPr="00BB1B5C" w:rsidRDefault="000576A5">
                      <w:pPr>
                        <w:jc w:val="both"/>
                        <w:rPr>
                          <w:rFonts w:asciiTheme="minorHAnsi" w:hAnsiTheme="minorHAnsi"/>
                          <w:sz w:val="24"/>
                          <w:szCs w:val="24"/>
                        </w:rPr>
                      </w:pPr>
                      <w:r w:rsidRPr="00BB1B5C">
                        <w:rPr>
                          <w:rFonts w:asciiTheme="minorHAnsi" w:hAnsiTheme="minorHAnsi"/>
                          <w:sz w:val="24"/>
                          <w:szCs w:val="24"/>
                        </w:rPr>
                        <w:t>References to page and line numbers are to D3.0.</w:t>
                      </w:r>
                    </w:p>
                    <w:p w14:paraId="34198025" w14:textId="77777777" w:rsidR="00284223" w:rsidRPr="00BB1B5C" w:rsidRDefault="00284223">
                      <w:pPr>
                        <w:jc w:val="both"/>
                        <w:rPr>
                          <w:rFonts w:asciiTheme="minorHAnsi" w:hAnsiTheme="minorHAnsi"/>
                          <w:sz w:val="24"/>
                          <w:szCs w:val="24"/>
                        </w:rPr>
                      </w:pPr>
                      <w:r w:rsidRPr="00BB1B5C">
                        <w:rPr>
                          <w:rFonts w:asciiTheme="minorHAnsi" w:hAnsiTheme="minorHAnsi"/>
                          <w:sz w:val="24"/>
                          <w:szCs w:val="24"/>
                        </w:rPr>
                        <w:t>Change history:</w:t>
                      </w:r>
                    </w:p>
                    <w:p w14:paraId="36BBE6BA" w14:textId="1A350B0F" w:rsidR="00C74260" w:rsidRPr="00BB1B5C" w:rsidRDefault="008D3217" w:rsidP="00F16B73">
                      <w:pPr>
                        <w:tabs>
                          <w:tab w:val="left" w:pos="288"/>
                        </w:tabs>
                        <w:jc w:val="both"/>
                        <w:rPr>
                          <w:rFonts w:asciiTheme="minorHAnsi" w:hAnsiTheme="minorHAnsi"/>
                          <w:sz w:val="24"/>
                          <w:szCs w:val="24"/>
                        </w:rPr>
                      </w:pPr>
                      <w:r w:rsidRPr="00BB1B5C">
                        <w:rPr>
                          <w:rFonts w:asciiTheme="minorHAnsi" w:hAnsiTheme="minorHAnsi"/>
                          <w:sz w:val="24"/>
                          <w:szCs w:val="24"/>
                        </w:rPr>
                        <w:t>r</w:t>
                      </w:r>
                      <w:r w:rsidR="000A1E26" w:rsidRPr="00BB1B5C">
                        <w:rPr>
                          <w:rFonts w:asciiTheme="minorHAnsi" w:hAnsiTheme="minorHAnsi"/>
                          <w:sz w:val="24"/>
                          <w:szCs w:val="24"/>
                        </w:rPr>
                        <w:t>0</w:t>
                      </w:r>
                      <w:r w:rsidR="009152BA" w:rsidRPr="00BB1B5C">
                        <w:rPr>
                          <w:rFonts w:asciiTheme="minorHAnsi" w:hAnsiTheme="minorHAnsi"/>
                          <w:sz w:val="24"/>
                          <w:szCs w:val="24"/>
                        </w:rPr>
                        <w:t xml:space="preserve"> (2020-0</w:t>
                      </w:r>
                      <w:r w:rsidR="00C95776" w:rsidRPr="00BB1B5C">
                        <w:rPr>
                          <w:rFonts w:asciiTheme="minorHAnsi" w:hAnsiTheme="minorHAnsi"/>
                          <w:sz w:val="24"/>
                          <w:szCs w:val="24"/>
                        </w:rPr>
                        <w:t>7</w:t>
                      </w:r>
                      <w:r w:rsidR="009152BA" w:rsidRPr="00BB1B5C">
                        <w:rPr>
                          <w:rFonts w:asciiTheme="minorHAnsi" w:hAnsiTheme="minorHAnsi"/>
                          <w:sz w:val="24"/>
                          <w:szCs w:val="24"/>
                        </w:rPr>
                        <w:t>-</w:t>
                      </w:r>
                      <w:r w:rsidR="00C95776" w:rsidRPr="00BB1B5C">
                        <w:rPr>
                          <w:rFonts w:asciiTheme="minorHAnsi" w:hAnsiTheme="minorHAnsi"/>
                          <w:sz w:val="24"/>
                          <w:szCs w:val="24"/>
                        </w:rPr>
                        <w:t>1</w:t>
                      </w:r>
                      <w:r w:rsidR="00B75F51">
                        <w:rPr>
                          <w:rFonts w:asciiTheme="minorHAnsi" w:hAnsiTheme="minorHAnsi"/>
                          <w:sz w:val="24"/>
                          <w:szCs w:val="24"/>
                        </w:rPr>
                        <w:t>4</w:t>
                      </w:r>
                      <w:r w:rsidR="009152BA" w:rsidRPr="00BB1B5C">
                        <w:rPr>
                          <w:rFonts w:asciiTheme="minorHAnsi" w:hAnsiTheme="minorHAnsi"/>
                          <w:sz w:val="24"/>
                          <w:szCs w:val="24"/>
                        </w:rPr>
                        <w:t>)</w:t>
                      </w:r>
                      <w:r w:rsidR="000A1E26" w:rsidRPr="00BB1B5C">
                        <w:rPr>
                          <w:rFonts w:asciiTheme="minorHAnsi" w:hAnsiTheme="minorHAnsi"/>
                          <w:sz w:val="24"/>
                          <w:szCs w:val="24"/>
                        </w:rPr>
                        <w:t>:</w:t>
                      </w:r>
                      <w:r w:rsidR="009152BA" w:rsidRPr="00BB1B5C">
                        <w:rPr>
                          <w:rFonts w:asciiTheme="minorHAnsi" w:hAnsiTheme="minorHAnsi"/>
                          <w:sz w:val="24"/>
                          <w:szCs w:val="24"/>
                        </w:rPr>
                        <w:tab/>
                      </w:r>
                      <w:r w:rsidR="000A1E26" w:rsidRPr="00BB1B5C">
                        <w:rPr>
                          <w:rFonts w:asciiTheme="minorHAnsi" w:hAnsiTheme="minorHAnsi"/>
                          <w:sz w:val="24"/>
                          <w:szCs w:val="24"/>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v:textbox>
              </v:shape>
            </w:pict>
          </mc:Fallback>
        </mc:AlternateContent>
      </w:r>
    </w:p>
    <w:p w14:paraId="6C579DD1" w14:textId="2E3FE638" w:rsidR="00393E9C" w:rsidRPr="00CE119B" w:rsidRDefault="00393E9C">
      <w:r>
        <w:rPr>
          <w:rFonts w:asciiTheme="minorHAnsi" w:hAnsiTheme="minorHAnsi"/>
        </w:rPr>
        <w:br w:type="page"/>
      </w:r>
    </w:p>
    <w:p w14:paraId="17BCB904" w14:textId="77777777" w:rsidR="00D2587D" w:rsidRDefault="00D2587D" w:rsidP="009D5228">
      <w:pPr>
        <w:pStyle w:val="Heading2"/>
        <w:rPr>
          <w:rFonts w:asciiTheme="minorHAnsi" w:hAnsiTheme="minorHAnsi"/>
        </w:rPr>
      </w:pPr>
    </w:p>
    <w:p w14:paraId="440A34F0" w14:textId="422E3F03" w:rsidR="00D2587D" w:rsidRPr="008B5998" w:rsidRDefault="008B5998" w:rsidP="008B5998">
      <w:pPr>
        <w:pStyle w:val="ListParagraph"/>
        <w:numPr>
          <w:ilvl w:val="0"/>
          <w:numId w:val="11"/>
        </w:numPr>
        <w:rPr>
          <w:rFonts w:asciiTheme="minorHAnsi" w:hAnsiTheme="minorHAnsi"/>
          <w:b/>
          <w:bCs/>
          <w:sz w:val="26"/>
          <w:szCs w:val="26"/>
        </w:rPr>
      </w:pPr>
      <w:bookmarkStart w:id="0" w:name="_Hlk45589993"/>
      <w:r w:rsidRPr="008B5998">
        <w:rPr>
          <w:rFonts w:asciiTheme="minorHAnsi" w:hAnsiTheme="minorHAnsi"/>
          <w:b/>
          <w:bCs/>
          <w:sz w:val="26"/>
          <w:szCs w:val="26"/>
        </w:rPr>
        <w:t>Many (most?) STAs are required to include all mandatory MCSs in (the proposed definition of) their operational MCS set</w:t>
      </w:r>
      <w:bookmarkEnd w:id="0"/>
      <w:r w:rsidRPr="008B5998">
        <w:rPr>
          <w:rFonts w:asciiTheme="minorHAnsi" w:hAnsiTheme="minorHAnsi"/>
          <w:b/>
          <w:bCs/>
          <w:sz w:val="26"/>
          <w:szCs w:val="26"/>
        </w:rPr>
        <w:t>, so the addition is incorrect</w:t>
      </w:r>
    </w:p>
    <w:p w14:paraId="569DB614" w14:textId="77777777" w:rsidR="00D2587D" w:rsidRDefault="00D2587D" w:rsidP="00D2587D">
      <w:pPr>
        <w:rPr>
          <w:rFonts w:asciiTheme="minorHAnsi" w:hAnsiTheme="minorHAnsi"/>
          <w:b/>
          <w:bCs/>
          <w:sz w:val="26"/>
          <w:szCs w:val="26"/>
        </w:rPr>
      </w:pPr>
    </w:p>
    <w:p w14:paraId="7B5EF467" w14:textId="37A79787" w:rsidR="00D2587D" w:rsidRDefault="00D2587D" w:rsidP="00D2587D">
      <w:pPr>
        <w:rPr>
          <w:rFonts w:asciiTheme="minorHAnsi" w:hAnsiTheme="minorHAnsi"/>
          <w:sz w:val="26"/>
          <w:szCs w:val="26"/>
        </w:rPr>
      </w:pPr>
      <w:bookmarkStart w:id="1" w:name="_Hlk45589605"/>
      <w:r w:rsidRPr="001254F1">
        <w:rPr>
          <w:rFonts w:asciiTheme="minorHAnsi" w:hAnsiTheme="minorHAnsi"/>
          <w:sz w:val="26"/>
          <w:szCs w:val="26"/>
        </w:rPr>
        <w:t xml:space="preserve">An </w:t>
      </w:r>
      <w:bookmarkStart w:id="2" w:name="_Hlk45620827"/>
      <w:r w:rsidRPr="001254F1">
        <w:rPr>
          <w:rFonts w:asciiTheme="minorHAnsi" w:hAnsiTheme="minorHAnsi"/>
          <w:sz w:val="26"/>
          <w:szCs w:val="26"/>
        </w:rPr>
        <w:t>“operational rate set” is “the set of data rates that a station (STA) is capable of receiving”</w:t>
      </w:r>
      <w:r>
        <w:rPr>
          <w:rFonts w:asciiTheme="minorHAnsi" w:hAnsiTheme="minorHAnsi"/>
          <w:sz w:val="26"/>
          <w:szCs w:val="26"/>
        </w:rPr>
        <w:t xml:space="preserve"> </w:t>
      </w:r>
      <w:bookmarkEnd w:id="1"/>
      <w:r>
        <w:rPr>
          <w:rFonts w:asciiTheme="minorHAnsi" w:hAnsiTheme="minorHAnsi"/>
          <w:sz w:val="26"/>
          <w:szCs w:val="26"/>
        </w:rPr>
        <w:t>(Clause 3)</w:t>
      </w:r>
      <w:bookmarkEnd w:id="2"/>
      <w:r>
        <w:rPr>
          <w:rFonts w:asciiTheme="minorHAnsi" w:hAnsiTheme="minorHAnsi"/>
          <w:sz w:val="26"/>
          <w:szCs w:val="26"/>
        </w:rPr>
        <w:t xml:space="preserve">, so an operational MCS set would be </w:t>
      </w:r>
      <w:r w:rsidR="00B64695">
        <w:rPr>
          <w:rFonts w:asciiTheme="minorHAnsi" w:hAnsiTheme="minorHAnsi"/>
          <w:sz w:val="26"/>
          <w:szCs w:val="26"/>
        </w:rPr>
        <w:t>“t</w:t>
      </w:r>
      <w:r w:rsidR="00B64695" w:rsidRPr="00B64695">
        <w:rPr>
          <w:rFonts w:asciiTheme="minorHAnsi" w:hAnsiTheme="minorHAnsi"/>
          <w:sz w:val="26"/>
          <w:szCs w:val="26"/>
        </w:rPr>
        <w:t>he set of MCSs that a station (STA) is capable of receiving</w:t>
      </w:r>
      <w:r w:rsidR="00B64695">
        <w:rPr>
          <w:rFonts w:asciiTheme="minorHAnsi" w:hAnsiTheme="minorHAnsi"/>
          <w:sz w:val="26"/>
          <w:szCs w:val="26"/>
        </w:rPr>
        <w:t>”</w:t>
      </w:r>
      <w:r w:rsidR="000A0DF0">
        <w:rPr>
          <w:rFonts w:asciiTheme="minorHAnsi" w:hAnsiTheme="minorHAnsi"/>
          <w:sz w:val="26"/>
          <w:szCs w:val="26"/>
        </w:rPr>
        <w:t xml:space="preserve">, </w:t>
      </w:r>
      <w:r w:rsidR="00B64695">
        <w:rPr>
          <w:rFonts w:asciiTheme="minorHAnsi" w:hAnsiTheme="minorHAnsi"/>
          <w:sz w:val="26"/>
          <w:szCs w:val="26"/>
        </w:rPr>
        <w:t xml:space="preserve">per </w:t>
      </w:r>
      <w:r w:rsidR="000A0DF0">
        <w:rPr>
          <w:rFonts w:asciiTheme="minorHAnsi" w:hAnsiTheme="minorHAnsi"/>
          <w:sz w:val="26"/>
          <w:szCs w:val="26"/>
        </w:rPr>
        <w:t>11/20-0435r6</w:t>
      </w:r>
      <w:r>
        <w:rPr>
          <w:rFonts w:asciiTheme="minorHAnsi" w:hAnsiTheme="minorHAnsi"/>
          <w:sz w:val="26"/>
          <w:szCs w:val="26"/>
        </w:rPr>
        <w:t>.</w:t>
      </w:r>
    </w:p>
    <w:p w14:paraId="04D31D24" w14:textId="77777777" w:rsidR="00D2587D" w:rsidRDefault="00D2587D" w:rsidP="00D2587D">
      <w:pPr>
        <w:rPr>
          <w:rFonts w:asciiTheme="minorHAnsi" w:hAnsiTheme="minorHAnsi"/>
          <w:sz w:val="26"/>
          <w:szCs w:val="26"/>
        </w:rPr>
      </w:pPr>
    </w:p>
    <w:p w14:paraId="68F80325" w14:textId="0931CA3C" w:rsidR="00D2587D" w:rsidRDefault="00D2587D" w:rsidP="008B5998">
      <w:pPr>
        <w:rPr>
          <w:rFonts w:asciiTheme="minorHAnsi" w:hAnsiTheme="minorHAnsi"/>
          <w:sz w:val="26"/>
          <w:szCs w:val="26"/>
        </w:rPr>
      </w:pPr>
      <w:r>
        <w:rPr>
          <w:rFonts w:asciiTheme="minorHAnsi" w:hAnsiTheme="minorHAnsi"/>
          <w:sz w:val="26"/>
          <w:szCs w:val="26"/>
        </w:rPr>
        <w:t>Then the spec is clear in the case of VHT</w:t>
      </w:r>
      <w:r w:rsidR="008B5998">
        <w:rPr>
          <w:rFonts w:asciiTheme="minorHAnsi" w:hAnsiTheme="minorHAnsi"/>
          <w:sz w:val="26"/>
          <w:szCs w:val="26"/>
        </w:rPr>
        <w:t>:</w:t>
      </w:r>
    </w:p>
    <w:p w14:paraId="5628191E" w14:textId="5B586C03" w:rsidR="008B5998" w:rsidRDefault="008B5998" w:rsidP="008B5998">
      <w:pPr>
        <w:rPr>
          <w:rFonts w:asciiTheme="minorHAnsi" w:hAnsiTheme="minorHAnsi"/>
          <w:sz w:val="26"/>
          <w:szCs w:val="26"/>
        </w:rPr>
      </w:pPr>
    </w:p>
    <w:p w14:paraId="0C228204" w14:textId="77777777" w:rsidR="008B5998" w:rsidRPr="008B5998" w:rsidRDefault="008B5998" w:rsidP="008B5998">
      <w:pPr>
        <w:ind w:left="720"/>
        <w:rPr>
          <w:sz w:val="24"/>
          <w:szCs w:val="24"/>
        </w:rPr>
      </w:pPr>
      <w:r w:rsidRPr="008B5998">
        <w:rPr>
          <w:rFonts w:asciiTheme="minorHAnsi" w:hAnsiTheme="minorHAnsi" w:cstheme="minorHAnsi"/>
          <w:sz w:val="24"/>
          <w:szCs w:val="24"/>
        </w:rPr>
        <w:t>“</w:t>
      </w:r>
      <w:r w:rsidRPr="008B5998">
        <w:rPr>
          <w:sz w:val="24"/>
          <w:szCs w:val="24"/>
        </w:rPr>
        <w:t>A VHT STA shall support the following features:</w:t>
      </w:r>
    </w:p>
    <w:p w14:paraId="6B814624" w14:textId="67028C80" w:rsidR="008B5998" w:rsidRPr="008B5998" w:rsidRDefault="008B5998" w:rsidP="008B5998">
      <w:pPr>
        <w:ind w:left="720" w:firstLine="720"/>
        <w:rPr>
          <w:sz w:val="24"/>
          <w:szCs w:val="24"/>
        </w:rPr>
      </w:pPr>
      <w:r w:rsidRPr="008B5998">
        <w:rPr>
          <w:sz w:val="24"/>
          <w:szCs w:val="24"/>
        </w:rPr>
        <w:t>— …</w:t>
      </w:r>
    </w:p>
    <w:p w14:paraId="71E2F7B7" w14:textId="337FA97B" w:rsidR="00D2587D" w:rsidRDefault="008B5998" w:rsidP="008B5998">
      <w:pPr>
        <w:ind w:left="1440"/>
        <w:rPr>
          <w:sz w:val="24"/>
          <w:szCs w:val="24"/>
        </w:rPr>
      </w:pPr>
      <w:r w:rsidRPr="008B5998">
        <w:rPr>
          <w:sz w:val="24"/>
          <w:szCs w:val="24"/>
        </w:rPr>
        <w:t>— Single spatial stream VHT-MCSs 0 to 7 (transmit and receive) in all supported channel widths</w:t>
      </w:r>
      <w:r w:rsidRPr="00661108">
        <w:rPr>
          <w:rFonts w:asciiTheme="minorHAnsi" w:hAnsiTheme="minorHAnsi" w:cstheme="minorHAnsi"/>
          <w:sz w:val="24"/>
          <w:szCs w:val="24"/>
        </w:rPr>
        <w:t>”</w:t>
      </w:r>
      <w:r w:rsidR="000F2791">
        <w:rPr>
          <w:sz w:val="24"/>
          <w:szCs w:val="24"/>
        </w:rPr>
        <w:t xml:space="preserve"> </w:t>
      </w:r>
      <w:r w:rsidR="000F2791" w:rsidRPr="00516F37">
        <w:rPr>
          <w:rFonts w:asciiTheme="minorHAnsi" w:hAnsiTheme="minorHAnsi" w:cstheme="minorHAnsi"/>
          <w:sz w:val="24"/>
          <w:szCs w:val="24"/>
        </w:rPr>
        <w:t>(3139.38)</w:t>
      </w:r>
    </w:p>
    <w:p w14:paraId="4CF7A2F3" w14:textId="533315B9" w:rsidR="000F2791" w:rsidRDefault="000F2791" w:rsidP="008B5998">
      <w:pPr>
        <w:ind w:left="1440"/>
        <w:rPr>
          <w:sz w:val="24"/>
          <w:szCs w:val="24"/>
        </w:rPr>
      </w:pPr>
    </w:p>
    <w:p w14:paraId="69D5450D" w14:textId="45EDC476" w:rsidR="000F2791" w:rsidRDefault="000F2791" w:rsidP="000F2791">
      <w:pPr>
        <w:rPr>
          <w:rFonts w:asciiTheme="minorHAnsi" w:hAnsiTheme="minorHAnsi" w:cstheme="minorHAnsi"/>
          <w:sz w:val="26"/>
          <w:szCs w:val="26"/>
        </w:rPr>
      </w:pPr>
      <w:r w:rsidRPr="000F2791">
        <w:rPr>
          <w:rFonts w:asciiTheme="minorHAnsi" w:hAnsiTheme="minorHAnsi" w:cstheme="minorHAnsi"/>
          <w:sz w:val="26"/>
          <w:szCs w:val="26"/>
        </w:rPr>
        <w:t xml:space="preserve">and since these are the only mandatory </w:t>
      </w:r>
      <w:r w:rsidR="004A119F">
        <w:rPr>
          <w:rFonts w:asciiTheme="minorHAnsi" w:hAnsiTheme="minorHAnsi" w:cstheme="minorHAnsi"/>
          <w:sz w:val="26"/>
          <w:szCs w:val="26"/>
        </w:rPr>
        <w:t>VHT-</w:t>
      </w:r>
      <w:r w:rsidRPr="000F2791">
        <w:rPr>
          <w:rFonts w:asciiTheme="minorHAnsi" w:hAnsiTheme="minorHAnsi" w:cstheme="minorHAnsi"/>
          <w:sz w:val="26"/>
          <w:szCs w:val="26"/>
        </w:rPr>
        <w:t xml:space="preserve">MCSs (21.5), </w:t>
      </w:r>
      <w:r w:rsidR="00667843">
        <w:rPr>
          <w:rFonts w:asciiTheme="minorHAnsi" w:hAnsiTheme="minorHAnsi" w:cstheme="minorHAnsi"/>
          <w:sz w:val="26"/>
          <w:szCs w:val="26"/>
        </w:rPr>
        <w:t xml:space="preserve">the operational MCS set of a </w:t>
      </w:r>
      <w:r w:rsidRPr="000F2791">
        <w:rPr>
          <w:rFonts w:asciiTheme="minorHAnsi" w:hAnsiTheme="minorHAnsi" w:cstheme="minorHAnsi"/>
          <w:sz w:val="26"/>
          <w:szCs w:val="26"/>
        </w:rPr>
        <w:t xml:space="preserve">VHT STA </w:t>
      </w:r>
      <w:r w:rsidR="00667843">
        <w:rPr>
          <w:rFonts w:asciiTheme="minorHAnsi" w:hAnsiTheme="minorHAnsi" w:cstheme="minorHAnsi"/>
          <w:sz w:val="26"/>
          <w:szCs w:val="26"/>
        </w:rPr>
        <w:t>would be required to include all mandatory VHT</w:t>
      </w:r>
      <w:r w:rsidR="00213339">
        <w:rPr>
          <w:rFonts w:asciiTheme="minorHAnsi" w:hAnsiTheme="minorHAnsi" w:cstheme="minorHAnsi"/>
          <w:sz w:val="26"/>
          <w:szCs w:val="26"/>
        </w:rPr>
        <w:t>-</w:t>
      </w:r>
      <w:r w:rsidR="00667843">
        <w:rPr>
          <w:rFonts w:asciiTheme="minorHAnsi" w:hAnsiTheme="minorHAnsi" w:cstheme="minorHAnsi"/>
          <w:sz w:val="26"/>
          <w:szCs w:val="26"/>
        </w:rPr>
        <w:t>MCSs</w:t>
      </w:r>
      <w:r w:rsidRPr="000F2791">
        <w:rPr>
          <w:rFonts w:asciiTheme="minorHAnsi" w:hAnsiTheme="minorHAnsi" w:cstheme="minorHAnsi"/>
          <w:sz w:val="26"/>
          <w:szCs w:val="26"/>
        </w:rPr>
        <w:t>.</w:t>
      </w:r>
    </w:p>
    <w:p w14:paraId="22F8A1D5" w14:textId="37653D80" w:rsidR="00661108" w:rsidRDefault="00661108" w:rsidP="000F2791">
      <w:pPr>
        <w:rPr>
          <w:rFonts w:asciiTheme="minorHAnsi" w:hAnsiTheme="minorHAnsi" w:cstheme="minorHAnsi"/>
          <w:sz w:val="26"/>
          <w:szCs w:val="26"/>
        </w:rPr>
      </w:pPr>
    </w:p>
    <w:p w14:paraId="41F5182A" w14:textId="42F3925B" w:rsidR="00661108" w:rsidRDefault="00C165C5" w:rsidP="000F2791">
      <w:pPr>
        <w:rPr>
          <w:rFonts w:asciiTheme="minorHAnsi" w:hAnsiTheme="minorHAnsi" w:cstheme="minorHAnsi"/>
          <w:sz w:val="26"/>
          <w:szCs w:val="26"/>
        </w:rPr>
      </w:pPr>
      <w:r>
        <w:rPr>
          <w:rFonts w:asciiTheme="minorHAnsi" w:hAnsiTheme="minorHAnsi" w:cstheme="minorHAnsi"/>
          <w:sz w:val="26"/>
          <w:szCs w:val="26"/>
        </w:rPr>
        <w:t>Cf. also HT</w:t>
      </w:r>
      <w:r w:rsidR="00661108">
        <w:rPr>
          <w:rFonts w:asciiTheme="minorHAnsi" w:hAnsiTheme="minorHAnsi" w:cstheme="minorHAnsi"/>
          <w:sz w:val="26"/>
          <w:szCs w:val="26"/>
        </w:rPr>
        <w:t>:</w:t>
      </w:r>
    </w:p>
    <w:p w14:paraId="7A8707E3" w14:textId="77777777" w:rsidR="00516F37" w:rsidRDefault="00516F37" w:rsidP="000F2791"/>
    <w:p w14:paraId="3751ABF6" w14:textId="389DC285" w:rsidR="00661108" w:rsidRDefault="00516F37" w:rsidP="00516F37">
      <w:pPr>
        <w:ind w:left="720"/>
        <w:rPr>
          <w:rFonts w:asciiTheme="minorHAnsi" w:hAnsiTheme="minorHAnsi" w:cstheme="minorHAnsi"/>
          <w:sz w:val="24"/>
          <w:szCs w:val="24"/>
        </w:rPr>
      </w:pPr>
      <w:r w:rsidRPr="00516F37">
        <w:rPr>
          <w:rFonts w:asciiTheme="minorHAnsi" w:hAnsiTheme="minorHAnsi" w:cstheme="minorHAnsi"/>
          <w:sz w:val="24"/>
          <w:szCs w:val="24"/>
        </w:rPr>
        <w:t>“</w:t>
      </w:r>
      <w:r w:rsidRPr="00516F37">
        <w:rPr>
          <w:sz w:val="24"/>
          <w:szCs w:val="24"/>
        </w:rPr>
        <w:t>An HT STA shall support all equal modulation (EQM) rates for one spatial stream (MCSs 0 to 7) using a 20 MHz channel width. An HT AP that is not a VHT AP shall support all EQM rates for two spatial streams (MCSs 8 to 15) using a 20 MHz channel width.</w:t>
      </w:r>
      <w:r w:rsidRPr="00516F37">
        <w:rPr>
          <w:rFonts w:asciiTheme="minorHAnsi" w:hAnsiTheme="minorHAnsi" w:cstheme="minorHAnsi"/>
          <w:sz w:val="24"/>
          <w:szCs w:val="24"/>
        </w:rPr>
        <w:t>” (3004.23)</w:t>
      </w:r>
    </w:p>
    <w:p w14:paraId="7BE1B23D" w14:textId="1C7FD02A" w:rsidR="00516F37" w:rsidRDefault="00516F37" w:rsidP="00516F37">
      <w:pPr>
        <w:ind w:left="720"/>
        <w:rPr>
          <w:rFonts w:asciiTheme="minorHAnsi" w:hAnsiTheme="minorHAnsi" w:cstheme="minorHAnsi"/>
          <w:sz w:val="24"/>
          <w:szCs w:val="24"/>
        </w:rPr>
      </w:pPr>
    </w:p>
    <w:p w14:paraId="6E61946D" w14:textId="11D625F7" w:rsidR="00516F37" w:rsidRDefault="005B2BE0" w:rsidP="00516F37">
      <w:pPr>
        <w:rPr>
          <w:rFonts w:asciiTheme="minorHAnsi" w:hAnsiTheme="minorHAnsi" w:cstheme="minorHAnsi"/>
          <w:sz w:val="26"/>
          <w:szCs w:val="26"/>
        </w:rPr>
      </w:pPr>
      <w:r>
        <w:rPr>
          <w:rFonts w:asciiTheme="minorHAnsi" w:hAnsiTheme="minorHAnsi" w:cstheme="minorHAnsi"/>
          <w:sz w:val="26"/>
          <w:szCs w:val="26"/>
        </w:rPr>
        <w:t>and</w:t>
      </w:r>
      <w:r w:rsidR="00516F37" w:rsidRPr="005B2BE0">
        <w:rPr>
          <w:rFonts w:asciiTheme="minorHAnsi" w:hAnsiTheme="minorHAnsi" w:cstheme="minorHAnsi"/>
          <w:sz w:val="26"/>
          <w:szCs w:val="26"/>
        </w:rPr>
        <w:t xml:space="preserve"> </w:t>
      </w:r>
      <w:r w:rsidRPr="005B2BE0">
        <w:rPr>
          <w:rFonts w:asciiTheme="minorHAnsi" w:hAnsiTheme="minorHAnsi" w:cstheme="minorHAnsi"/>
          <w:sz w:val="26"/>
          <w:szCs w:val="26"/>
        </w:rPr>
        <w:t xml:space="preserve">since </w:t>
      </w:r>
      <w:r w:rsidR="00516F37" w:rsidRPr="005B2BE0">
        <w:rPr>
          <w:rFonts w:asciiTheme="minorHAnsi" w:hAnsiTheme="minorHAnsi" w:cstheme="minorHAnsi"/>
          <w:sz w:val="26"/>
          <w:szCs w:val="26"/>
        </w:rPr>
        <w:t xml:space="preserve">these are the only </w:t>
      </w:r>
      <w:r w:rsidRPr="005B2BE0">
        <w:rPr>
          <w:rFonts w:asciiTheme="minorHAnsi" w:hAnsiTheme="minorHAnsi" w:cstheme="minorHAnsi"/>
          <w:sz w:val="26"/>
          <w:szCs w:val="26"/>
        </w:rPr>
        <w:t xml:space="preserve">mandatory </w:t>
      </w:r>
      <w:r w:rsidR="00B16D43">
        <w:rPr>
          <w:rFonts w:asciiTheme="minorHAnsi" w:hAnsiTheme="minorHAnsi" w:cstheme="minorHAnsi"/>
          <w:sz w:val="26"/>
          <w:szCs w:val="26"/>
        </w:rPr>
        <w:t>HT-</w:t>
      </w:r>
      <w:r w:rsidRPr="005B2BE0">
        <w:rPr>
          <w:rFonts w:asciiTheme="minorHAnsi" w:hAnsiTheme="minorHAnsi" w:cstheme="minorHAnsi"/>
          <w:sz w:val="26"/>
          <w:szCs w:val="26"/>
        </w:rPr>
        <w:t xml:space="preserve">MCSs, an HT STA, whether AP or non-AP, shall support all mandatory </w:t>
      </w:r>
      <w:r w:rsidR="00B16D43">
        <w:rPr>
          <w:rFonts w:asciiTheme="minorHAnsi" w:hAnsiTheme="minorHAnsi" w:cstheme="minorHAnsi"/>
          <w:sz w:val="26"/>
          <w:szCs w:val="26"/>
        </w:rPr>
        <w:t>HT-</w:t>
      </w:r>
      <w:r w:rsidRPr="005B2BE0">
        <w:rPr>
          <w:rFonts w:asciiTheme="minorHAnsi" w:hAnsiTheme="minorHAnsi" w:cstheme="minorHAnsi"/>
          <w:sz w:val="26"/>
          <w:szCs w:val="26"/>
        </w:rPr>
        <w:t>MCSs.</w:t>
      </w:r>
      <w:r w:rsidR="0005088F">
        <w:rPr>
          <w:rFonts w:asciiTheme="minorHAnsi" w:hAnsiTheme="minorHAnsi" w:cstheme="minorHAnsi"/>
          <w:sz w:val="26"/>
          <w:szCs w:val="26"/>
        </w:rPr>
        <w:t xml:space="preserve"> </w:t>
      </w:r>
      <w:r w:rsidR="00396213">
        <w:rPr>
          <w:rFonts w:asciiTheme="minorHAnsi" w:hAnsiTheme="minorHAnsi" w:cstheme="minorHAnsi"/>
          <w:sz w:val="26"/>
          <w:szCs w:val="26"/>
        </w:rPr>
        <w:t>Under the proposed definition, a</w:t>
      </w:r>
      <w:r w:rsidR="0005088F">
        <w:rPr>
          <w:rFonts w:asciiTheme="minorHAnsi" w:hAnsiTheme="minorHAnsi" w:cstheme="minorHAnsi"/>
          <w:sz w:val="26"/>
          <w:szCs w:val="26"/>
        </w:rPr>
        <w:t xml:space="preserve">ssuming that “support” includes transmit and receive, the operational MCS set of an HT STA, whether AP or non-AP, would be required to include all mandatory </w:t>
      </w:r>
      <w:r w:rsidR="0026071F">
        <w:rPr>
          <w:rFonts w:asciiTheme="minorHAnsi" w:hAnsiTheme="minorHAnsi" w:cstheme="minorHAnsi"/>
          <w:sz w:val="26"/>
          <w:szCs w:val="26"/>
        </w:rPr>
        <w:t>HT-</w:t>
      </w:r>
      <w:r w:rsidR="0005088F">
        <w:rPr>
          <w:rFonts w:asciiTheme="minorHAnsi" w:hAnsiTheme="minorHAnsi" w:cstheme="minorHAnsi"/>
          <w:sz w:val="26"/>
          <w:szCs w:val="26"/>
        </w:rPr>
        <w:t>MCSs.</w:t>
      </w:r>
    </w:p>
    <w:p w14:paraId="2C06D460" w14:textId="1D0E3939" w:rsidR="00C165C5" w:rsidRDefault="00C165C5" w:rsidP="00516F37">
      <w:pPr>
        <w:rPr>
          <w:rFonts w:asciiTheme="minorHAnsi" w:hAnsiTheme="minorHAnsi" w:cstheme="minorHAnsi"/>
          <w:sz w:val="26"/>
          <w:szCs w:val="26"/>
        </w:rPr>
      </w:pPr>
    </w:p>
    <w:p w14:paraId="45B60B16" w14:textId="40E284A4" w:rsidR="00C165C5" w:rsidRPr="00396213" w:rsidRDefault="00C165C5" w:rsidP="00167829">
      <w:pPr>
        <w:pStyle w:val="ListParagraph"/>
        <w:numPr>
          <w:ilvl w:val="0"/>
          <w:numId w:val="11"/>
        </w:numPr>
        <w:rPr>
          <w:rFonts w:asciiTheme="minorHAnsi" w:hAnsiTheme="minorHAnsi"/>
          <w:b/>
          <w:bCs/>
          <w:sz w:val="26"/>
        </w:rPr>
      </w:pPr>
      <w:bookmarkStart w:id="3" w:name="_Hlk45572357"/>
      <w:r w:rsidRPr="00396213">
        <w:rPr>
          <w:rFonts w:asciiTheme="minorHAnsi" w:hAnsiTheme="minorHAnsi"/>
          <w:b/>
          <w:bCs/>
          <w:sz w:val="26"/>
        </w:rPr>
        <w:t>Many (most?) STAs are required to include all mandatory rates in their operational rate sets, so the note is incorrect</w:t>
      </w:r>
    </w:p>
    <w:bookmarkEnd w:id="3"/>
    <w:p w14:paraId="298A8502" w14:textId="77777777" w:rsidR="00661108" w:rsidRPr="000F2791" w:rsidRDefault="00661108" w:rsidP="000F2791">
      <w:pPr>
        <w:rPr>
          <w:rFonts w:asciiTheme="minorHAnsi" w:hAnsiTheme="minorHAnsi" w:cstheme="minorHAnsi"/>
          <w:sz w:val="26"/>
          <w:szCs w:val="26"/>
        </w:rPr>
      </w:pPr>
    </w:p>
    <w:p w14:paraId="26FE6C77" w14:textId="2E31F8FD" w:rsidR="00A846F1" w:rsidRDefault="001D264E" w:rsidP="0019128D">
      <w:pPr>
        <w:rPr>
          <w:rFonts w:asciiTheme="minorHAnsi" w:hAnsiTheme="minorHAnsi" w:cstheme="minorHAnsi"/>
          <w:sz w:val="26"/>
          <w:szCs w:val="26"/>
        </w:rPr>
      </w:pPr>
      <w:r w:rsidRPr="001D264E">
        <w:rPr>
          <w:rFonts w:asciiTheme="minorHAnsi" w:hAnsiTheme="minorHAnsi" w:cstheme="minorHAnsi"/>
          <w:sz w:val="26"/>
          <w:szCs w:val="26"/>
        </w:rPr>
        <w:t>The comment</w:t>
      </w:r>
      <w:r>
        <w:rPr>
          <w:rFonts w:asciiTheme="minorHAnsi" w:hAnsiTheme="minorHAnsi" w:cstheme="minorHAnsi"/>
          <w:sz w:val="26"/>
          <w:szCs w:val="26"/>
        </w:rPr>
        <w:t xml:space="preserve"> says there should be an equivalent statement (to the cited </w:t>
      </w:r>
      <w:r w:rsidR="00533584">
        <w:rPr>
          <w:rFonts w:asciiTheme="minorHAnsi" w:hAnsiTheme="minorHAnsi" w:cstheme="minorHAnsi"/>
          <w:sz w:val="26"/>
          <w:szCs w:val="26"/>
        </w:rPr>
        <w:t>n</w:t>
      </w:r>
      <w:r>
        <w:rPr>
          <w:rFonts w:asciiTheme="minorHAnsi" w:hAnsiTheme="minorHAnsi" w:cstheme="minorHAnsi"/>
          <w:sz w:val="26"/>
          <w:szCs w:val="26"/>
        </w:rPr>
        <w:t xml:space="preserve">ote, without additions) for MCSs. But the </w:t>
      </w:r>
      <w:r w:rsidR="00533584">
        <w:rPr>
          <w:rFonts w:asciiTheme="minorHAnsi" w:hAnsiTheme="minorHAnsi" w:cstheme="minorHAnsi"/>
          <w:sz w:val="26"/>
          <w:szCs w:val="26"/>
        </w:rPr>
        <w:t>n</w:t>
      </w:r>
      <w:r>
        <w:rPr>
          <w:rFonts w:asciiTheme="minorHAnsi" w:hAnsiTheme="minorHAnsi" w:cstheme="minorHAnsi"/>
          <w:sz w:val="26"/>
          <w:szCs w:val="26"/>
        </w:rPr>
        <w:t>ote itself is not correct for many (most?) STAs.</w:t>
      </w:r>
    </w:p>
    <w:p w14:paraId="7CD8A8C8" w14:textId="1ED0014F" w:rsidR="00CD7B31" w:rsidRDefault="00CD7B31" w:rsidP="0019128D">
      <w:pPr>
        <w:rPr>
          <w:rFonts w:asciiTheme="minorHAnsi" w:hAnsiTheme="minorHAnsi" w:cstheme="minorHAnsi"/>
          <w:sz w:val="26"/>
          <w:szCs w:val="26"/>
        </w:rPr>
      </w:pPr>
    </w:p>
    <w:p w14:paraId="2CCF08E5" w14:textId="7C6899C3" w:rsidR="00CD7B31" w:rsidRDefault="00CD7B31" w:rsidP="0019128D">
      <w:pPr>
        <w:rPr>
          <w:rFonts w:asciiTheme="minorHAnsi" w:hAnsiTheme="minorHAnsi" w:cstheme="minorHAnsi"/>
          <w:sz w:val="26"/>
          <w:szCs w:val="26"/>
        </w:rPr>
      </w:pPr>
      <w:r>
        <w:rPr>
          <w:rFonts w:asciiTheme="minorHAnsi" w:hAnsiTheme="minorHAnsi" w:cstheme="minorHAnsi"/>
          <w:sz w:val="26"/>
          <w:szCs w:val="26"/>
        </w:rPr>
        <w:t>For the case of HT,</w:t>
      </w:r>
    </w:p>
    <w:p w14:paraId="25880A34" w14:textId="6EFC37E4" w:rsidR="00B66026" w:rsidRDefault="00B66026" w:rsidP="00B66026">
      <w:pPr>
        <w:rPr>
          <w:rFonts w:asciiTheme="minorHAnsi" w:hAnsiTheme="minorHAnsi" w:cstheme="minorHAnsi"/>
          <w:sz w:val="24"/>
          <w:szCs w:val="24"/>
        </w:rPr>
      </w:pPr>
    </w:p>
    <w:p w14:paraId="352D49A1" w14:textId="77777777" w:rsidR="00B64695" w:rsidRDefault="00B66026" w:rsidP="00B66026">
      <w:pPr>
        <w:ind w:left="720"/>
        <w:rPr>
          <w:sz w:val="24"/>
          <w:szCs w:val="24"/>
        </w:rPr>
      </w:pPr>
      <w:r w:rsidRPr="00B64695">
        <w:rPr>
          <w:rFonts w:asciiTheme="minorHAnsi" w:hAnsiTheme="minorHAnsi" w:cstheme="minorHAnsi"/>
          <w:sz w:val="24"/>
          <w:szCs w:val="24"/>
        </w:rPr>
        <w:t>“</w:t>
      </w:r>
      <w:r w:rsidRPr="00B64695">
        <w:rPr>
          <w:sz w:val="24"/>
          <w:szCs w:val="24"/>
        </w:rPr>
        <w:t>an HT STA shall be capable of transmitting and receiving frames that are compliant with the mandatory PHY specifications defined as follows:</w:t>
      </w:r>
    </w:p>
    <w:p w14:paraId="5A329ED8" w14:textId="77777777" w:rsidR="00B64695" w:rsidRDefault="00B66026" w:rsidP="00B66026">
      <w:pPr>
        <w:ind w:left="720"/>
        <w:rPr>
          <w:sz w:val="24"/>
          <w:szCs w:val="24"/>
        </w:rPr>
      </w:pPr>
      <w:r w:rsidRPr="00B64695">
        <w:rPr>
          <w:sz w:val="24"/>
          <w:szCs w:val="24"/>
        </w:rPr>
        <w:t>— In Clause 17 (Orthogonal frequency division multiplexing (OFDM) PHY specification) when the HT STA is operating in a 20 MHz channel width in the 5 GHz band</w:t>
      </w:r>
    </w:p>
    <w:p w14:paraId="5CF91F36" w14:textId="5E2CD209" w:rsidR="00B66026" w:rsidRDefault="00B66026" w:rsidP="00B66026">
      <w:pPr>
        <w:ind w:left="720"/>
        <w:rPr>
          <w:rFonts w:asciiTheme="minorHAnsi" w:hAnsiTheme="minorHAnsi" w:cstheme="minorHAnsi"/>
          <w:sz w:val="24"/>
          <w:szCs w:val="24"/>
        </w:rPr>
      </w:pPr>
      <w:r w:rsidRPr="00B64695">
        <w:rPr>
          <w:sz w:val="24"/>
          <w:szCs w:val="24"/>
        </w:rPr>
        <w:t>— In Clause 16 (High rate direct sequence spread spectrum (HR/DSSS) PHY specification) and Clause 18 (Extended Rate PHY (ERP) specification) when the HT STA is operating in a 20 MHz channel width in the 2.4 GHz band</w:t>
      </w:r>
      <w:r w:rsidRPr="00B64695">
        <w:rPr>
          <w:rFonts w:asciiTheme="minorHAnsi" w:hAnsiTheme="minorHAnsi" w:cstheme="minorHAnsi"/>
          <w:sz w:val="24"/>
          <w:szCs w:val="24"/>
        </w:rPr>
        <w:t>” (2982.</w:t>
      </w:r>
      <w:r w:rsidR="00B64695" w:rsidRPr="00B64695">
        <w:rPr>
          <w:rFonts w:asciiTheme="minorHAnsi" w:hAnsiTheme="minorHAnsi" w:cstheme="minorHAnsi"/>
          <w:sz w:val="24"/>
          <w:szCs w:val="24"/>
        </w:rPr>
        <w:t>14)</w:t>
      </w:r>
    </w:p>
    <w:p w14:paraId="788280B4" w14:textId="419066A3" w:rsidR="00CD7B31" w:rsidRDefault="00CD7B31" w:rsidP="00B66026">
      <w:pPr>
        <w:ind w:left="720"/>
        <w:rPr>
          <w:rFonts w:asciiTheme="minorHAnsi" w:hAnsiTheme="minorHAnsi" w:cstheme="minorHAnsi"/>
          <w:sz w:val="24"/>
          <w:szCs w:val="24"/>
        </w:rPr>
      </w:pPr>
    </w:p>
    <w:p w14:paraId="5BBE4EC2" w14:textId="1F55BC0B" w:rsidR="00CD7B31" w:rsidRPr="00CD7B31" w:rsidRDefault="00CD7B31" w:rsidP="00CD7B31">
      <w:pPr>
        <w:rPr>
          <w:rFonts w:asciiTheme="minorHAnsi" w:hAnsiTheme="minorHAnsi" w:cstheme="minorHAnsi"/>
          <w:sz w:val="26"/>
          <w:szCs w:val="26"/>
        </w:rPr>
      </w:pPr>
      <w:r>
        <w:rPr>
          <w:rFonts w:asciiTheme="minorHAnsi" w:hAnsiTheme="minorHAnsi" w:cstheme="minorHAnsi"/>
          <w:sz w:val="26"/>
          <w:szCs w:val="26"/>
        </w:rPr>
        <w:t>and</w:t>
      </w:r>
      <w:r w:rsidRPr="00CD7B31">
        <w:rPr>
          <w:rFonts w:asciiTheme="minorHAnsi" w:hAnsiTheme="minorHAnsi" w:cstheme="minorHAnsi"/>
          <w:sz w:val="26"/>
          <w:szCs w:val="26"/>
        </w:rPr>
        <w:t xml:space="preserve"> the VHT case follows:</w:t>
      </w:r>
    </w:p>
    <w:p w14:paraId="2EFD06D4" w14:textId="65F9F47B" w:rsidR="00CD7B31" w:rsidRDefault="00CD7B31" w:rsidP="00B66026">
      <w:pPr>
        <w:ind w:left="720"/>
        <w:rPr>
          <w:rFonts w:asciiTheme="minorHAnsi" w:hAnsiTheme="minorHAnsi" w:cstheme="minorHAnsi"/>
          <w:sz w:val="24"/>
          <w:szCs w:val="24"/>
        </w:rPr>
      </w:pPr>
    </w:p>
    <w:p w14:paraId="4125039A" w14:textId="005D7BEC" w:rsidR="00CD7B31" w:rsidRPr="00CD7B31" w:rsidRDefault="00CD7B31" w:rsidP="00B66026">
      <w:pPr>
        <w:ind w:left="720"/>
        <w:rPr>
          <w:rFonts w:asciiTheme="minorHAnsi" w:hAnsiTheme="minorHAnsi" w:cstheme="minorHAnsi"/>
          <w:sz w:val="24"/>
          <w:szCs w:val="24"/>
        </w:rPr>
      </w:pPr>
      <w:r w:rsidRPr="00CD7B31">
        <w:rPr>
          <w:rFonts w:asciiTheme="minorHAnsi" w:hAnsiTheme="minorHAnsi" w:cstheme="minorHAnsi"/>
          <w:sz w:val="24"/>
          <w:szCs w:val="24"/>
        </w:rPr>
        <w:t>“</w:t>
      </w:r>
      <w:r w:rsidRPr="00CD7B31">
        <w:rPr>
          <w:sz w:val="24"/>
          <w:szCs w:val="24"/>
        </w:rPr>
        <w:t>A STA for which dot11VHTOptionImplemented is true shall set dot11HighThroughputOptionImplemented to true.</w:t>
      </w:r>
      <w:r w:rsidRPr="00CD7B31">
        <w:rPr>
          <w:rFonts w:asciiTheme="minorHAnsi" w:hAnsiTheme="minorHAnsi" w:cstheme="minorHAnsi"/>
          <w:sz w:val="24"/>
          <w:szCs w:val="24"/>
        </w:rPr>
        <w:t>” (2502.5)</w:t>
      </w:r>
    </w:p>
    <w:p w14:paraId="4D41036B" w14:textId="522D04A6" w:rsidR="00167829" w:rsidRDefault="00167829" w:rsidP="00B66026">
      <w:pPr>
        <w:ind w:left="720"/>
        <w:rPr>
          <w:rFonts w:asciiTheme="minorHAnsi" w:hAnsiTheme="minorHAnsi" w:cstheme="minorHAnsi"/>
          <w:sz w:val="24"/>
          <w:szCs w:val="24"/>
        </w:rPr>
      </w:pPr>
    </w:p>
    <w:p w14:paraId="241839E9" w14:textId="6C66107E" w:rsidR="00167829" w:rsidRPr="00167829" w:rsidRDefault="00167829" w:rsidP="00167829">
      <w:pPr>
        <w:pStyle w:val="ListParagraph"/>
        <w:ind w:left="360"/>
        <w:rPr>
          <w:rFonts w:asciiTheme="minorHAnsi" w:hAnsiTheme="minorHAnsi"/>
          <w:b/>
          <w:bCs/>
          <w:sz w:val="26"/>
        </w:rPr>
      </w:pPr>
      <w:r>
        <w:rPr>
          <w:rFonts w:asciiTheme="minorHAnsi" w:hAnsiTheme="minorHAnsi"/>
          <w:b/>
          <w:bCs/>
          <w:sz w:val="26"/>
        </w:rPr>
        <w:t>C</w:t>
      </w:r>
      <w:r w:rsidRPr="00167829">
        <w:rPr>
          <w:rFonts w:asciiTheme="minorHAnsi" w:hAnsiTheme="minorHAnsi"/>
          <w:b/>
          <w:bCs/>
          <w:sz w:val="26"/>
        </w:rPr>
        <w:t>.</w:t>
      </w:r>
      <w:r w:rsidRPr="00167829">
        <w:rPr>
          <w:rFonts w:asciiTheme="minorHAnsi" w:hAnsiTheme="minorHAnsi"/>
          <w:b/>
          <w:bCs/>
          <w:sz w:val="26"/>
        </w:rPr>
        <w:tab/>
      </w:r>
      <w:r>
        <w:rPr>
          <w:rFonts w:asciiTheme="minorHAnsi" w:hAnsiTheme="minorHAnsi"/>
          <w:b/>
          <w:bCs/>
          <w:sz w:val="26"/>
        </w:rPr>
        <w:t>The comment should be rejected</w:t>
      </w:r>
    </w:p>
    <w:p w14:paraId="625EC1DA" w14:textId="77777777" w:rsidR="00E92F70" w:rsidRDefault="00E92F70" w:rsidP="0019128D">
      <w:pPr>
        <w:rPr>
          <w:rFonts w:asciiTheme="minorHAnsi" w:hAnsiTheme="minorHAnsi"/>
        </w:rPr>
      </w:pPr>
    </w:p>
    <w:p w14:paraId="575FCA29" w14:textId="00299926" w:rsidR="000F708C" w:rsidRPr="000F708C" w:rsidRDefault="000F708C" w:rsidP="0019128D">
      <w:pPr>
        <w:rPr>
          <w:rFonts w:asciiTheme="minorHAnsi" w:hAnsiTheme="minorHAnsi"/>
          <w:sz w:val="26"/>
          <w:szCs w:val="26"/>
        </w:rPr>
      </w:pPr>
      <w:r>
        <w:rPr>
          <w:rFonts w:asciiTheme="minorHAnsi" w:hAnsiTheme="minorHAnsi"/>
          <w:sz w:val="26"/>
          <w:szCs w:val="26"/>
        </w:rPr>
        <w:t>11/20-0435r6 also refers to 10.3:</w:t>
      </w:r>
    </w:p>
    <w:p w14:paraId="2CC0BD32" w14:textId="416486E2" w:rsidR="000F708C" w:rsidRDefault="000F708C" w:rsidP="0019128D">
      <w:pPr>
        <w:rPr>
          <w:rFonts w:asciiTheme="minorHAnsi" w:hAnsiTheme="minorHAnsi"/>
        </w:rPr>
      </w:pPr>
    </w:p>
    <w:p w14:paraId="489768F0" w14:textId="56E4F808" w:rsidR="000F708C" w:rsidRDefault="000F708C" w:rsidP="000F708C">
      <w:pPr>
        <w:ind w:left="720"/>
        <w:rPr>
          <w:rFonts w:asciiTheme="minorHAnsi" w:hAnsiTheme="minorHAnsi" w:cstheme="minorHAnsi"/>
          <w:sz w:val="24"/>
          <w:szCs w:val="24"/>
        </w:rPr>
      </w:pPr>
      <w:r w:rsidRPr="000F708C">
        <w:rPr>
          <w:rFonts w:asciiTheme="minorHAnsi" w:hAnsiTheme="minorHAnsi" w:cstheme="minorHAnsi"/>
          <w:sz w:val="24"/>
          <w:szCs w:val="24"/>
        </w:rPr>
        <w:t>“</w:t>
      </w:r>
      <w:r w:rsidRPr="000F708C">
        <w:rPr>
          <w:sz w:val="24"/>
          <w:szCs w:val="24"/>
        </w:rPr>
        <w:t>NOTE—A STA’s operational rate set does not necessarily contain all the mandatory rates. However a STA has to be capable of receiving using a mandatory rate (as required by the rules in 10.6 (</w:t>
      </w:r>
      <w:proofErr w:type="spellStart"/>
      <w:r w:rsidRPr="000F708C">
        <w:rPr>
          <w:sz w:val="24"/>
          <w:szCs w:val="24"/>
        </w:rPr>
        <w:t>Multirate</w:t>
      </w:r>
      <w:proofErr w:type="spellEnd"/>
      <w:r w:rsidRPr="000F708C">
        <w:rPr>
          <w:sz w:val="24"/>
          <w:szCs w:val="24"/>
        </w:rPr>
        <w:t xml:space="preserve"> support)) even if it is not present in this set.</w:t>
      </w:r>
      <w:r w:rsidRPr="000F708C">
        <w:rPr>
          <w:rFonts w:asciiTheme="minorHAnsi" w:hAnsiTheme="minorHAnsi" w:cstheme="minorHAnsi"/>
          <w:sz w:val="24"/>
          <w:szCs w:val="24"/>
        </w:rPr>
        <w:t>”</w:t>
      </w:r>
      <w:r w:rsidRPr="000F708C">
        <w:rPr>
          <w:sz w:val="24"/>
          <w:szCs w:val="24"/>
        </w:rPr>
        <w:t xml:space="preserve"> </w:t>
      </w:r>
      <w:r w:rsidRPr="000F708C">
        <w:rPr>
          <w:rFonts w:asciiTheme="minorHAnsi" w:hAnsiTheme="minorHAnsi" w:cstheme="minorHAnsi"/>
          <w:sz w:val="24"/>
          <w:szCs w:val="24"/>
        </w:rPr>
        <w:t>(1725.31)</w:t>
      </w:r>
    </w:p>
    <w:p w14:paraId="290C31B6" w14:textId="53DBDD12" w:rsidR="000F708C" w:rsidRDefault="000F708C" w:rsidP="000F708C">
      <w:pPr>
        <w:ind w:left="720"/>
        <w:rPr>
          <w:rFonts w:asciiTheme="minorHAnsi" w:hAnsiTheme="minorHAnsi" w:cstheme="minorHAnsi"/>
          <w:sz w:val="24"/>
          <w:szCs w:val="24"/>
        </w:rPr>
      </w:pPr>
    </w:p>
    <w:p w14:paraId="7B60C5A5" w14:textId="52885C8F" w:rsidR="004C070C" w:rsidRDefault="00BE3C1A" w:rsidP="004C070C">
      <w:pPr>
        <w:rPr>
          <w:rFonts w:asciiTheme="minorHAnsi" w:hAnsiTheme="minorHAnsi" w:cstheme="minorHAnsi"/>
          <w:sz w:val="26"/>
          <w:szCs w:val="26"/>
        </w:rPr>
      </w:pPr>
      <w:r>
        <w:rPr>
          <w:rFonts w:asciiTheme="minorHAnsi" w:hAnsiTheme="minorHAnsi" w:cstheme="minorHAnsi"/>
          <w:sz w:val="26"/>
          <w:szCs w:val="26"/>
        </w:rPr>
        <w:t>T</w:t>
      </w:r>
      <w:r w:rsidR="000F708C" w:rsidRPr="004C070C">
        <w:rPr>
          <w:rFonts w:asciiTheme="minorHAnsi" w:hAnsiTheme="minorHAnsi" w:cstheme="minorHAnsi"/>
          <w:sz w:val="26"/>
          <w:szCs w:val="26"/>
        </w:rPr>
        <w:t xml:space="preserve">his is better than the </w:t>
      </w:r>
      <w:r w:rsidR="00533584">
        <w:rPr>
          <w:rFonts w:asciiTheme="minorHAnsi" w:hAnsiTheme="minorHAnsi" w:cstheme="minorHAnsi"/>
          <w:sz w:val="26"/>
          <w:szCs w:val="26"/>
        </w:rPr>
        <w:t>n</w:t>
      </w:r>
      <w:r w:rsidR="000F708C" w:rsidRPr="004C070C">
        <w:rPr>
          <w:rFonts w:asciiTheme="minorHAnsi" w:hAnsiTheme="minorHAnsi" w:cstheme="minorHAnsi"/>
          <w:sz w:val="26"/>
          <w:szCs w:val="26"/>
        </w:rPr>
        <w:t xml:space="preserve">ote in 11.1.4.6, since the “necessarily” might account for </w:t>
      </w:r>
      <w:r w:rsidR="004C070C" w:rsidRPr="004C070C">
        <w:rPr>
          <w:rFonts w:asciiTheme="minorHAnsi" w:hAnsiTheme="minorHAnsi" w:cstheme="minorHAnsi"/>
          <w:sz w:val="26"/>
          <w:szCs w:val="26"/>
        </w:rPr>
        <w:t xml:space="preserve">differences among STA types. </w:t>
      </w:r>
      <w:r w:rsidR="003947A0">
        <w:rPr>
          <w:rFonts w:asciiTheme="minorHAnsi" w:hAnsiTheme="minorHAnsi" w:cstheme="minorHAnsi"/>
          <w:sz w:val="26"/>
          <w:szCs w:val="26"/>
        </w:rPr>
        <w:t>I.e., it might be that a STA’s operational rate set and (proposed) operational MCS set do not contain all the mandatory rates and MCSs, if the STA is not an HT or VHT STA. Are there STA types for which this is true?</w:t>
      </w:r>
    </w:p>
    <w:p w14:paraId="5453C1B9" w14:textId="2C3BC600" w:rsidR="003947A0" w:rsidRDefault="003947A0" w:rsidP="004C070C">
      <w:pPr>
        <w:rPr>
          <w:rFonts w:asciiTheme="minorHAnsi" w:hAnsiTheme="minorHAnsi" w:cstheme="minorHAnsi"/>
          <w:sz w:val="26"/>
          <w:szCs w:val="26"/>
        </w:rPr>
      </w:pPr>
    </w:p>
    <w:p w14:paraId="077FB372" w14:textId="22ECA180" w:rsidR="006E6A24" w:rsidRPr="006E6A24" w:rsidRDefault="003947A0" w:rsidP="004C070C">
      <w:pPr>
        <w:rPr>
          <w:rFonts w:asciiTheme="minorHAnsi" w:hAnsiTheme="minorHAnsi"/>
          <w:sz w:val="26"/>
          <w:szCs w:val="26"/>
        </w:rPr>
      </w:pPr>
      <w:r>
        <w:rPr>
          <w:rFonts w:asciiTheme="minorHAnsi" w:hAnsiTheme="minorHAnsi" w:cstheme="minorHAnsi"/>
          <w:sz w:val="26"/>
          <w:szCs w:val="26"/>
        </w:rPr>
        <w:t>Even if there are such STA types, the</w:t>
      </w:r>
      <w:r w:rsidR="008910F9">
        <w:rPr>
          <w:rFonts w:asciiTheme="minorHAnsi" w:hAnsiTheme="minorHAnsi" w:cstheme="minorHAnsi"/>
          <w:sz w:val="26"/>
          <w:szCs w:val="26"/>
        </w:rPr>
        <w:t xml:space="preserve"> second sentence is confusing, since it seems to imply that all STAs have to be capable of receiving at a mandatory rate even if it is not present in the STA’s operational rate set, “as required by the rules in 10.6”. But since a STA’s “</w:t>
      </w:r>
      <w:r w:rsidR="008910F9" w:rsidRPr="001254F1">
        <w:rPr>
          <w:rFonts w:asciiTheme="minorHAnsi" w:hAnsiTheme="minorHAnsi"/>
          <w:sz w:val="26"/>
          <w:szCs w:val="26"/>
        </w:rPr>
        <w:t>operational rate set” is “the set of data rates that a station (STA) is capable of receiving”</w:t>
      </w:r>
      <w:r w:rsidR="008910F9">
        <w:rPr>
          <w:rFonts w:asciiTheme="minorHAnsi" w:hAnsiTheme="minorHAnsi"/>
          <w:sz w:val="26"/>
          <w:szCs w:val="26"/>
        </w:rPr>
        <w:t xml:space="preserve"> (Clause 3)</w:t>
      </w:r>
      <w:r w:rsidR="008910F9">
        <w:rPr>
          <w:rFonts w:asciiTheme="minorHAnsi" w:hAnsiTheme="minorHAnsi"/>
          <w:sz w:val="26"/>
          <w:szCs w:val="26"/>
        </w:rPr>
        <w:t xml:space="preserve">, this would mean that a STA has to be capable of receiving at a mandatory rate, even if </w:t>
      </w:r>
      <w:r w:rsidR="000F642C">
        <w:rPr>
          <w:rFonts w:asciiTheme="minorHAnsi" w:hAnsiTheme="minorHAnsi"/>
          <w:sz w:val="26"/>
          <w:szCs w:val="26"/>
        </w:rPr>
        <w:t xml:space="preserve">that rate </w:t>
      </w:r>
      <w:r w:rsidR="008910F9">
        <w:rPr>
          <w:rFonts w:asciiTheme="minorHAnsi" w:hAnsiTheme="minorHAnsi"/>
          <w:sz w:val="26"/>
          <w:szCs w:val="26"/>
        </w:rPr>
        <w:t>is not part of the set of data rates that the STA is capable of receiving, which makes no sense.</w:t>
      </w:r>
      <w:r w:rsidR="000F642C">
        <w:rPr>
          <w:rFonts w:asciiTheme="minorHAnsi" w:hAnsiTheme="minorHAnsi"/>
          <w:sz w:val="26"/>
          <w:szCs w:val="26"/>
        </w:rPr>
        <w:t xml:space="preserve"> Perhaps “as” should be “if” here. But that should be a topic for another comment, if anyone wants to submit one.</w:t>
      </w:r>
    </w:p>
    <w:p w14:paraId="5C2223F2" w14:textId="5D1F7D26" w:rsidR="004C070C" w:rsidRDefault="004C070C" w:rsidP="004C070C">
      <w:pPr>
        <w:rPr>
          <w:rFonts w:asciiTheme="minorHAnsi" w:hAnsiTheme="minorHAnsi" w:cstheme="minorHAnsi"/>
          <w:sz w:val="26"/>
          <w:szCs w:val="26"/>
        </w:rPr>
      </w:pPr>
    </w:p>
    <w:p w14:paraId="1C11086D" w14:textId="5DC28837" w:rsidR="00F8345C" w:rsidRDefault="00F8345C" w:rsidP="004C070C">
      <w:pPr>
        <w:rPr>
          <w:rFonts w:asciiTheme="minorHAnsi" w:hAnsiTheme="minorHAnsi" w:cstheme="minorHAnsi"/>
          <w:sz w:val="26"/>
          <w:szCs w:val="26"/>
        </w:rPr>
      </w:pPr>
      <w:r>
        <w:rPr>
          <w:rFonts w:asciiTheme="minorHAnsi" w:hAnsiTheme="minorHAnsi" w:cstheme="minorHAnsi"/>
          <w:sz w:val="26"/>
          <w:szCs w:val="26"/>
        </w:rPr>
        <w:t>In the meantime, we should resolve the comment that was submitted.</w:t>
      </w:r>
    </w:p>
    <w:p w14:paraId="0AF0A0DE" w14:textId="4C5813EE" w:rsidR="00F8345C" w:rsidRDefault="00F8345C" w:rsidP="004C070C">
      <w:pPr>
        <w:rPr>
          <w:rFonts w:asciiTheme="minorHAnsi" w:hAnsiTheme="minorHAnsi" w:cstheme="minorHAnsi"/>
          <w:sz w:val="26"/>
          <w:szCs w:val="26"/>
        </w:rPr>
      </w:pPr>
    </w:p>
    <w:p w14:paraId="6A015C89" w14:textId="47536980" w:rsidR="00F8345C" w:rsidRDefault="00F8345C" w:rsidP="004C070C">
      <w:pPr>
        <w:rPr>
          <w:rFonts w:asciiTheme="minorHAnsi" w:hAnsiTheme="minorHAnsi" w:cstheme="minorHAnsi"/>
          <w:sz w:val="26"/>
          <w:szCs w:val="26"/>
        </w:rPr>
      </w:pPr>
      <w:r>
        <w:rPr>
          <w:rFonts w:asciiTheme="minorHAnsi" w:hAnsiTheme="minorHAnsi" w:cstheme="minorHAnsi"/>
          <w:sz w:val="26"/>
          <w:szCs w:val="26"/>
        </w:rPr>
        <w:t>Proposed resolution:</w:t>
      </w:r>
    </w:p>
    <w:p w14:paraId="6F32B85D" w14:textId="77777777" w:rsidR="004C070C" w:rsidRDefault="004C070C" w:rsidP="004C070C">
      <w:pPr>
        <w:rPr>
          <w:rFonts w:asciiTheme="minorHAnsi" w:hAnsiTheme="minorHAnsi" w:cstheme="minorHAnsi"/>
          <w:sz w:val="26"/>
          <w:szCs w:val="26"/>
        </w:rPr>
      </w:pPr>
    </w:p>
    <w:p w14:paraId="34BCE018" w14:textId="12C7863C" w:rsidR="000F708C" w:rsidRPr="00B86F10" w:rsidRDefault="004C070C" w:rsidP="004C070C">
      <w:pPr>
        <w:rPr>
          <w:rFonts w:asciiTheme="minorHAnsi" w:hAnsiTheme="minorHAnsi"/>
          <w:sz w:val="26"/>
          <w:szCs w:val="26"/>
        </w:rPr>
      </w:pPr>
      <w:r w:rsidRPr="00B86F10">
        <w:rPr>
          <w:rFonts w:asciiTheme="minorHAnsi" w:hAnsiTheme="minorHAnsi" w:cstheme="minorHAnsi"/>
          <w:sz w:val="26"/>
          <w:szCs w:val="26"/>
          <w:highlight w:val="yellow"/>
        </w:rPr>
        <w:t xml:space="preserve">“Rejected. </w:t>
      </w:r>
      <w:r w:rsidR="00485D47" w:rsidRPr="00B86F10">
        <w:rPr>
          <w:rFonts w:asciiTheme="minorHAnsi" w:hAnsiTheme="minorHAnsi" w:cstheme="minorHAnsi"/>
          <w:sz w:val="26"/>
          <w:szCs w:val="26"/>
          <w:highlight w:val="yellow"/>
        </w:rPr>
        <w:t>Many (most?) STAs are required to include all mandatory MCSs in (the proposed definition of) their operational MCS set. See 11/20-</w:t>
      </w:r>
      <w:r w:rsidR="00566A92">
        <w:rPr>
          <w:rFonts w:asciiTheme="minorHAnsi" w:hAnsiTheme="minorHAnsi" w:cstheme="minorHAnsi"/>
          <w:sz w:val="26"/>
          <w:szCs w:val="26"/>
          <w:highlight w:val="yellow"/>
        </w:rPr>
        <w:t>1081</w:t>
      </w:r>
      <w:r w:rsidR="00810474">
        <w:rPr>
          <w:rFonts w:asciiTheme="minorHAnsi" w:hAnsiTheme="minorHAnsi" w:cstheme="minorHAnsi"/>
          <w:sz w:val="26"/>
          <w:szCs w:val="26"/>
          <w:highlight w:val="yellow"/>
        </w:rPr>
        <w:t>r0</w:t>
      </w:r>
      <w:r w:rsidR="00485D47" w:rsidRPr="00B86F10">
        <w:rPr>
          <w:rFonts w:asciiTheme="minorHAnsi" w:hAnsiTheme="minorHAnsi" w:cstheme="minorHAnsi"/>
          <w:sz w:val="26"/>
          <w:szCs w:val="26"/>
          <w:highlight w:val="yellow"/>
        </w:rPr>
        <w:t>.”</w:t>
      </w:r>
      <w:r w:rsidR="000F708C" w:rsidRPr="00B86F10">
        <w:rPr>
          <w:rFonts w:asciiTheme="minorHAnsi" w:hAnsiTheme="minorHAnsi" w:cstheme="minorHAnsi"/>
          <w:sz w:val="26"/>
          <w:szCs w:val="26"/>
        </w:rPr>
        <w:t xml:space="preserve"> </w:t>
      </w:r>
    </w:p>
    <w:p w14:paraId="65EBB13A" w14:textId="77777777" w:rsidR="000F708C" w:rsidRDefault="000F708C" w:rsidP="0019128D">
      <w:pPr>
        <w:rPr>
          <w:rFonts w:asciiTheme="minorHAnsi" w:hAnsiTheme="minorHAnsi"/>
        </w:rPr>
      </w:pPr>
    </w:p>
    <w:p w14:paraId="4F0610D5" w14:textId="77777777" w:rsidR="000F708C" w:rsidRDefault="000F708C" w:rsidP="0019128D">
      <w:pPr>
        <w:rPr>
          <w:rFonts w:asciiTheme="minorHAnsi" w:hAnsiTheme="minorHAnsi"/>
        </w:rPr>
      </w:pPr>
    </w:p>
    <w:p w14:paraId="1806560A" w14:textId="241BC962" w:rsidR="000F708C" w:rsidRDefault="000F708C" w:rsidP="0019128D">
      <w:pPr>
        <w:rPr>
          <w:rFonts w:asciiTheme="minorHAnsi" w:hAnsiTheme="minorHAnsi"/>
        </w:rPr>
      </w:pPr>
    </w:p>
    <w:p w14:paraId="590978DC" w14:textId="5B6E7BF8" w:rsidR="00EE13ED" w:rsidRDefault="00EE13ED" w:rsidP="0019128D">
      <w:pPr>
        <w:rPr>
          <w:rFonts w:asciiTheme="minorHAnsi" w:hAnsiTheme="minorHAnsi"/>
        </w:rPr>
      </w:pPr>
    </w:p>
    <w:p w14:paraId="3896B016" w14:textId="07EE116A" w:rsidR="00EE13ED" w:rsidRDefault="00EE13ED" w:rsidP="0019128D">
      <w:pPr>
        <w:rPr>
          <w:rFonts w:asciiTheme="minorHAnsi" w:hAnsiTheme="minorHAnsi"/>
        </w:rPr>
      </w:pPr>
    </w:p>
    <w:p w14:paraId="531EC5AE" w14:textId="5E928A90" w:rsidR="00EE13ED" w:rsidRDefault="00EE13ED" w:rsidP="0019128D">
      <w:pPr>
        <w:rPr>
          <w:rFonts w:asciiTheme="minorHAnsi" w:hAnsiTheme="minorHAnsi"/>
        </w:rPr>
      </w:pPr>
    </w:p>
    <w:p w14:paraId="36DA94CC" w14:textId="7A8B31D1" w:rsidR="00EE13ED" w:rsidRDefault="00EE13ED" w:rsidP="0019128D">
      <w:pPr>
        <w:rPr>
          <w:rFonts w:asciiTheme="minorHAnsi" w:hAnsiTheme="minorHAnsi"/>
        </w:rPr>
      </w:pPr>
    </w:p>
    <w:p w14:paraId="49032BB7" w14:textId="19B0F103" w:rsidR="00EE13ED" w:rsidRDefault="00EE13ED" w:rsidP="0019128D">
      <w:pPr>
        <w:rPr>
          <w:rFonts w:asciiTheme="minorHAnsi" w:hAnsiTheme="minorHAnsi"/>
        </w:rPr>
      </w:pPr>
    </w:p>
    <w:p w14:paraId="341AB84A" w14:textId="001CAB34" w:rsidR="00EE13ED" w:rsidRDefault="00EE13ED" w:rsidP="0019128D">
      <w:pPr>
        <w:rPr>
          <w:rFonts w:asciiTheme="minorHAnsi" w:hAnsiTheme="minorHAnsi"/>
        </w:rPr>
      </w:pPr>
    </w:p>
    <w:p w14:paraId="66E0A5D5" w14:textId="5346C235" w:rsidR="00EE13ED" w:rsidRDefault="00EE13ED" w:rsidP="0019128D">
      <w:pPr>
        <w:rPr>
          <w:rFonts w:asciiTheme="minorHAnsi" w:hAnsiTheme="minorHAnsi"/>
        </w:rPr>
      </w:pPr>
    </w:p>
    <w:p w14:paraId="5C954DB5" w14:textId="66D30C84" w:rsidR="00EE13ED" w:rsidRDefault="00EE13ED" w:rsidP="0019128D">
      <w:pPr>
        <w:rPr>
          <w:rFonts w:asciiTheme="minorHAnsi" w:hAnsiTheme="minorHAnsi"/>
        </w:rPr>
      </w:pPr>
    </w:p>
    <w:p w14:paraId="49941625" w14:textId="51225C63" w:rsidR="00EE13ED" w:rsidRDefault="00EE13ED" w:rsidP="0019128D">
      <w:pPr>
        <w:rPr>
          <w:rFonts w:asciiTheme="minorHAnsi" w:hAnsiTheme="minorHAnsi"/>
        </w:rPr>
      </w:pPr>
    </w:p>
    <w:p w14:paraId="2E3F1EBA" w14:textId="468A9A77" w:rsidR="00EE13ED" w:rsidRDefault="00EE13ED" w:rsidP="0019128D">
      <w:pPr>
        <w:rPr>
          <w:rFonts w:asciiTheme="minorHAnsi" w:hAnsiTheme="minorHAnsi"/>
        </w:rPr>
      </w:pPr>
    </w:p>
    <w:p w14:paraId="4E54995A" w14:textId="1E8BEE89" w:rsidR="00EE13ED" w:rsidRDefault="00EE13ED" w:rsidP="0019128D">
      <w:pPr>
        <w:rPr>
          <w:rFonts w:asciiTheme="minorHAnsi" w:hAnsiTheme="minorHAnsi"/>
        </w:rPr>
      </w:pPr>
    </w:p>
    <w:p w14:paraId="794AB344" w14:textId="41CC2C11" w:rsidR="00EE13ED" w:rsidRDefault="00EE13ED" w:rsidP="0019128D">
      <w:pPr>
        <w:rPr>
          <w:rFonts w:asciiTheme="minorHAnsi" w:hAnsiTheme="minorHAnsi"/>
        </w:rPr>
      </w:pPr>
    </w:p>
    <w:p w14:paraId="50C36576" w14:textId="77777777" w:rsidR="00EE13ED" w:rsidRDefault="00EE13ED" w:rsidP="0019128D">
      <w:pPr>
        <w:rPr>
          <w:rFonts w:asciiTheme="minorHAnsi" w:hAnsiTheme="minorHAnsi"/>
        </w:rPr>
      </w:pPr>
    </w:p>
    <w:p w14:paraId="3BA1326C" w14:textId="36C0A853" w:rsidR="00B33CFF" w:rsidRDefault="00B33CFF" w:rsidP="0019128D">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rsidSect="00976EEE">
      <w:headerReference w:type="default" r:id="rId8"/>
      <w:footerReference w:type="default" r:id="rId9"/>
      <w:pgSz w:w="12240" w:h="15840" w:code="1"/>
      <w:pgMar w:top="720" w:right="108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337DC" w14:textId="77777777" w:rsidR="00AF380C" w:rsidRDefault="00AF380C">
      <w:r>
        <w:separator/>
      </w:r>
    </w:p>
  </w:endnote>
  <w:endnote w:type="continuationSeparator" w:id="0">
    <w:p w14:paraId="11AF9DC7" w14:textId="77777777" w:rsidR="00AF380C" w:rsidRDefault="00AF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6353" w14:textId="72F69BD4" w:rsidR="006F0961" w:rsidRDefault="00764C15">
    <w:pPr>
      <w:pStyle w:val="Footer"/>
      <w:tabs>
        <w:tab w:val="clear" w:pos="6480"/>
        <w:tab w:val="center" w:pos="4680"/>
        <w:tab w:val="right" w:pos="9360"/>
      </w:tabs>
    </w:pPr>
    <w:fldSimple w:instr=" SUBJECT  \* MERGEFORMAT ">
      <w:r w:rsidR="006F0961">
        <w:t>Submission</w:t>
      </w:r>
    </w:fldSimple>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proofErr w:type="spellStart"/>
    <w:r w:rsidR="00597BF6" w:rsidRPr="00597BF6">
      <w:t>Se</w:t>
    </w:r>
    <w:r w:rsidR="00597BF6">
      <w:t>á</w:t>
    </w:r>
    <w:r w:rsidR="00597BF6" w:rsidRPr="00597BF6">
      <w:t>n</w:t>
    </w:r>
    <w:proofErr w:type="spellEnd"/>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8D722" w14:textId="77777777" w:rsidR="00AF380C" w:rsidRDefault="00AF380C">
      <w:r>
        <w:separator/>
      </w:r>
    </w:p>
  </w:footnote>
  <w:footnote w:type="continuationSeparator" w:id="0">
    <w:p w14:paraId="223CD82F" w14:textId="77777777" w:rsidR="00AF380C" w:rsidRDefault="00AF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391" w14:textId="6DCEF916" w:rsidR="006F0961" w:rsidRDefault="006E27AF">
    <w:pPr>
      <w:pStyle w:val="Header"/>
      <w:tabs>
        <w:tab w:val="clear" w:pos="6480"/>
        <w:tab w:val="center" w:pos="4680"/>
        <w:tab w:val="right" w:pos="9360"/>
      </w:tabs>
    </w:pPr>
    <w:r>
      <w:t xml:space="preserve">July </w:t>
    </w:r>
    <w:r w:rsidR="0071104E">
      <w:t>2020</w:t>
    </w:r>
    <w:r w:rsidR="006F0961">
      <w:tab/>
    </w:r>
    <w:r w:rsidR="006F0961">
      <w:tab/>
    </w:r>
    <w:fldSimple w:instr=" TITLE  \* MERGEFORMAT ">
      <w:r w:rsidR="006F0961">
        <w:t>doc.: IEEE 802.11-</w:t>
      </w:r>
      <w:r w:rsidR="0071104E">
        <w:t>20</w:t>
      </w:r>
      <w:r w:rsidR="006F0961">
        <w:t>/</w:t>
      </w:r>
      <w:r>
        <w:t>1081</w:t>
      </w:r>
      <w:r w:rsidR="006F0961">
        <w:t>r</w:t>
      </w:r>
      <w:r w:rsidR="0071104E">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C0FA8"/>
    <w:multiLevelType w:val="hybridMultilevel"/>
    <w:tmpl w:val="92567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D4E2B"/>
    <w:multiLevelType w:val="hybridMultilevel"/>
    <w:tmpl w:val="C060A602"/>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6"/>
  </w:num>
  <w:num w:numId="7">
    <w:abstractNumId w:val="9"/>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365D8"/>
    <w:rsid w:val="000419C7"/>
    <w:rsid w:val="00043729"/>
    <w:rsid w:val="000449D1"/>
    <w:rsid w:val="00046E18"/>
    <w:rsid w:val="0005088F"/>
    <w:rsid w:val="000533AF"/>
    <w:rsid w:val="000576A5"/>
    <w:rsid w:val="00067209"/>
    <w:rsid w:val="00070172"/>
    <w:rsid w:val="00070FE2"/>
    <w:rsid w:val="00075A31"/>
    <w:rsid w:val="0007616D"/>
    <w:rsid w:val="00084377"/>
    <w:rsid w:val="000967FE"/>
    <w:rsid w:val="000A0DF0"/>
    <w:rsid w:val="000A1E26"/>
    <w:rsid w:val="000A3563"/>
    <w:rsid w:val="000B0ABF"/>
    <w:rsid w:val="000B7EC1"/>
    <w:rsid w:val="000D0EF8"/>
    <w:rsid w:val="000D1EB3"/>
    <w:rsid w:val="000D380C"/>
    <w:rsid w:val="000D67C1"/>
    <w:rsid w:val="000E40C9"/>
    <w:rsid w:val="000E6BAE"/>
    <w:rsid w:val="000F1916"/>
    <w:rsid w:val="000F2791"/>
    <w:rsid w:val="000F50AB"/>
    <w:rsid w:val="000F5E8C"/>
    <w:rsid w:val="000F642C"/>
    <w:rsid w:val="000F708C"/>
    <w:rsid w:val="0010609A"/>
    <w:rsid w:val="00112EB9"/>
    <w:rsid w:val="00117967"/>
    <w:rsid w:val="00121667"/>
    <w:rsid w:val="00124914"/>
    <w:rsid w:val="0014246E"/>
    <w:rsid w:val="0015284F"/>
    <w:rsid w:val="001537A6"/>
    <w:rsid w:val="00154D72"/>
    <w:rsid w:val="00163CB1"/>
    <w:rsid w:val="00167829"/>
    <w:rsid w:val="00172C45"/>
    <w:rsid w:val="001731E5"/>
    <w:rsid w:val="001811D9"/>
    <w:rsid w:val="00181588"/>
    <w:rsid w:val="00187401"/>
    <w:rsid w:val="00187D1E"/>
    <w:rsid w:val="0019128D"/>
    <w:rsid w:val="00194D6B"/>
    <w:rsid w:val="001A5439"/>
    <w:rsid w:val="001A5FFE"/>
    <w:rsid w:val="001B7B1A"/>
    <w:rsid w:val="001D264E"/>
    <w:rsid w:val="001D6335"/>
    <w:rsid w:val="001D723B"/>
    <w:rsid w:val="001E3646"/>
    <w:rsid w:val="001E3E55"/>
    <w:rsid w:val="001E59A8"/>
    <w:rsid w:val="001E65F5"/>
    <w:rsid w:val="001E742F"/>
    <w:rsid w:val="001F2D63"/>
    <w:rsid w:val="001F33D5"/>
    <w:rsid w:val="001F7824"/>
    <w:rsid w:val="00201340"/>
    <w:rsid w:val="00201DC1"/>
    <w:rsid w:val="00213339"/>
    <w:rsid w:val="00221D55"/>
    <w:rsid w:val="0022490E"/>
    <w:rsid w:val="00231BFA"/>
    <w:rsid w:val="002335B2"/>
    <w:rsid w:val="00235066"/>
    <w:rsid w:val="00243E64"/>
    <w:rsid w:val="00250FE7"/>
    <w:rsid w:val="00252DAE"/>
    <w:rsid w:val="00257451"/>
    <w:rsid w:val="00257A15"/>
    <w:rsid w:val="0026071F"/>
    <w:rsid w:val="002627B7"/>
    <w:rsid w:val="0026559F"/>
    <w:rsid w:val="00275AB9"/>
    <w:rsid w:val="00284223"/>
    <w:rsid w:val="0028469D"/>
    <w:rsid w:val="0029020B"/>
    <w:rsid w:val="002902F3"/>
    <w:rsid w:val="002A08AD"/>
    <w:rsid w:val="002A359C"/>
    <w:rsid w:val="002B319D"/>
    <w:rsid w:val="002B626E"/>
    <w:rsid w:val="002B763B"/>
    <w:rsid w:val="002C3F7B"/>
    <w:rsid w:val="002C649B"/>
    <w:rsid w:val="002D25FE"/>
    <w:rsid w:val="002D44BE"/>
    <w:rsid w:val="002E1136"/>
    <w:rsid w:val="00313D41"/>
    <w:rsid w:val="00313D98"/>
    <w:rsid w:val="003178D9"/>
    <w:rsid w:val="003320EE"/>
    <w:rsid w:val="003326B7"/>
    <w:rsid w:val="003327E7"/>
    <w:rsid w:val="00332BD9"/>
    <w:rsid w:val="00341AD8"/>
    <w:rsid w:val="00342C37"/>
    <w:rsid w:val="003479CF"/>
    <w:rsid w:val="0035461C"/>
    <w:rsid w:val="00364102"/>
    <w:rsid w:val="00372712"/>
    <w:rsid w:val="003751C4"/>
    <w:rsid w:val="00380488"/>
    <w:rsid w:val="00393E9C"/>
    <w:rsid w:val="003947A0"/>
    <w:rsid w:val="00396213"/>
    <w:rsid w:val="003A2C30"/>
    <w:rsid w:val="003A3F55"/>
    <w:rsid w:val="003B40D7"/>
    <w:rsid w:val="003B4B8B"/>
    <w:rsid w:val="003B791E"/>
    <w:rsid w:val="003C26ED"/>
    <w:rsid w:val="003C345B"/>
    <w:rsid w:val="003D28FE"/>
    <w:rsid w:val="003D321E"/>
    <w:rsid w:val="003E0A96"/>
    <w:rsid w:val="003E0B65"/>
    <w:rsid w:val="003E32E2"/>
    <w:rsid w:val="003E397F"/>
    <w:rsid w:val="003E7771"/>
    <w:rsid w:val="003F5B0C"/>
    <w:rsid w:val="00400956"/>
    <w:rsid w:val="00404DE4"/>
    <w:rsid w:val="004174FD"/>
    <w:rsid w:val="0042014C"/>
    <w:rsid w:val="004212E8"/>
    <w:rsid w:val="00424BF5"/>
    <w:rsid w:val="00441341"/>
    <w:rsid w:val="00442037"/>
    <w:rsid w:val="004434BC"/>
    <w:rsid w:val="00450D2F"/>
    <w:rsid w:val="0045341C"/>
    <w:rsid w:val="00453B79"/>
    <w:rsid w:val="00456A56"/>
    <w:rsid w:val="00456E84"/>
    <w:rsid w:val="00457ADA"/>
    <w:rsid w:val="004628CE"/>
    <w:rsid w:val="00462FFC"/>
    <w:rsid w:val="0048439E"/>
    <w:rsid w:val="00485D47"/>
    <w:rsid w:val="00486EEB"/>
    <w:rsid w:val="00494A0C"/>
    <w:rsid w:val="004A0A40"/>
    <w:rsid w:val="004A119F"/>
    <w:rsid w:val="004A17D3"/>
    <w:rsid w:val="004B0037"/>
    <w:rsid w:val="004B064B"/>
    <w:rsid w:val="004B3F7B"/>
    <w:rsid w:val="004B62FA"/>
    <w:rsid w:val="004C070C"/>
    <w:rsid w:val="004C17B5"/>
    <w:rsid w:val="004D19BD"/>
    <w:rsid w:val="004D2113"/>
    <w:rsid w:val="004D3BFB"/>
    <w:rsid w:val="004D4F1E"/>
    <w:rsid w:val="00504EEC"/>
    <w:rsid w:val="005169EC"/>
    <w:rsid w:val="00516F37"/>
    <w:rsid w:val="00521ECD"/>
    <w:rsid w:val="005231EC"/>
    <w:rsid w:val="0052666F"/>
    <w:rsid w:val="00526FE5"/>
    <w:rsid w:val="00531278"/>
    <w:rsid w:val="00533584"/>
    <w:rsid w:val="00535268"/>
    <w:rsid w:val="00553E65"/>
    <w:rsid w:val="0055412A"/>
    <w:rsid w:val="00564997"/>
    <w:rsid w:val="00566A92"/>
    <w:rsid w:val="00573132"/>
    <w:rsid w:val="00577BB1"/>
    <w:rsid w:val="00580F0A"/>
    <w:rsid w:val="005827F5"/>
    <w:rsid w:val="005919B9"/>
    <w:rsid w:val="00594F28"/>
    <w:rsid w:val="00597BF6"/>
    <w:rsid w:val="005A3B77"/>
    <w:rsid w:val="005A5739"/>
    <w:rsid w:val="005B2762"/>
    <w:rsid w:val="005B2BE0"/>
    <w:rsid w:val="005B7E90"/>
    <w:rsid w:val="005C33E5"/>
    <w:rsid w:val="005C77E9"/>
    <w:rsid w:val="005E1797"/>
    <w:rsid w:val="005E28A1"/>
    <w:rsid w:val="005F1825"/>
    <w:rsid w:val="005F3B9C"/>
    <w:rsid w:val="005F3D20"/>
    <w:rsid w:val="005F6747"/>
    <w:rsid w:val="00604704"/>
    <w:rsid w:val="00606AC0"/>
    <w:rsid w:val="0061022A"/>
    <w:rsid w:val="00610B3F"/>
    <w:rsid w:val="0061367F"/>
    <w:rsid w:val="00614AB2"/>
    <w:rsid w:val="0062440B"/>
    <w:rsid w:val="006315F6"/>
    <w:rsid w:val="006331DA"/>
    <w:rsid w:val="00635CB8"/>
    <w:rsid w:val="006373F9"/>
    <w:rsid w:val="006378FF"/>
    <w:rsid w:val="00644B7E"/>
    <w:rsid w:val="00657AE6"/>
    <w:rsid w:val="00660D98"/>
    <w:rsid w:val="00661108"/>
    <w:rsid w:val="00667843"/>
    <w:rsid w:val="00667A38"/>
    <w:rsid w:val="0067107E"/>
    <w:rsid w:val="00677F6E"/>
    <w:rsid w:val="00681AA6"/>
    <w:rsid w:val="00686BB3"/>
    <w:rsid w:val="006A0AB4"/>
    <w:rsid w:val="006A165F"/>
    <w:rsid w:val="006A291E"/>
    <w:rsid w:val="006A463A"/>
    <w:rsid w:val="006B5E17"/>
    <w:rsid w:val="006C0727"/>
    <w:rsid w:val="006C2695"/>
    <w:rsid w:val="006C2C49"/>
    <w:rsid w:val="006C569F"/>
    <w:rsid w:val="006D1204"/>
    <w:rsid w:val="006D3245"/>
    <w:rsid w:val="006D64C2"/>
    <w:rsid w:val="006E044C"/>
    <w:rsid w:val="006E145F"/>
    <w:rsid w:val="006E27AF"/>
    <w:rsid w:val="006E3FA7"/>
    <w:rsid w:val="006E6A24"/>
    <w:rsid w:val="006F0961"/>
    <w:rsid w:val="006F1C55"/>
    <w:rsid w:val="00702E70"/>
    <w:rsid w:val="00705BC3"/>
    <w:rsid w:val="00707DBD"/>
    <w:rsid w:val="00707FE9"/>
    <w:rsid w:val="0071104E"/>
    <w:rsid w:val="007120E8"/>
    <w:rsid w:val="00713768"/>
    <w:rsid w:val="00714F3A"/>
    <w:rsid w:val="00720F6C"/>
    <w:rsid w:val="007227F4"/>
    <w:rsid w:val="00724808"/>
    <w:rsid w:val="00725399"/>
    <w:rsid w:val="00733D52"/>
    <w:rsid w:val="007354C7"/>
    <w:rsid w:val="00740FDA"/>
    <w:rsid w:val="00743757"/>
    <w:rsid w:val="00753CB4"/>
    <w:rsid w:val="007572A0"/>
    <w:rsid w:val="00761489"/>
    <w:rsid w:val="00764C15"/>
    <w:rsid w:val="00770572"/>
    <w:rsid w:val="0077144B"/>
    <w:rsid w:val="00797A33"/>
    <w:rsid w:val="007A1C5F"/>
    <w:rsid w:val="007A3122"/>
    <w:rsid w:val="007B283A"/>
    <w:rsid w:val="007C10DA"/>
    <w:rsid w:val="007C131D"/>
    <w:rsid w:val="007D0C99"/>
    <w:rsid w:val="007D2856"/>
    <w:rsid w:val="007D381D"/>
    <w:rsid w:val="007E4542"/>
    <w:rsid w:val="007E6AB6"/>
    <w:rsid w:val="007F04AC"/>
    <w:rsid w:val="007F5136"/>
    <w:rsid w:val="007F63ED"/>
    <w:rsid w:val="00802399"/>
    <w:rsid w:val="00810474"/>
    <w:rsid w:val="00814D61"/>
    <w:rsid w:val="008251C6"/>
    <w:rsid w:val="00827F86"/>
    <w:rsid w:val="00835CD2"/>
    <w:rsid w:val="008407BE"/>
    <w:rsid w:val="00842C7C"/>
    <w:rsid w:val="008441B9"/>
    <w:rsid w:val="00847465"/>
    <w:rsid w:val="00850B22"/>
    <w:rsid w:val="008714C4"/>
    <w:rsid w:val="00873C39"/>
    <w:rsid w:val="0088091D"/>
    <w:rsid w:val="00881BEE"/>
    <w:rsid w:val="00885EFD"/>
    <w:rsid w:val="0088693E"/>
    <w:rsid w:val="008910F9"/>
    <w:rsid w:val="00891CBA"/>
    <w:rsid w:val="008A4342"/>
    <w:rsid w:val="008A7F7E"/>
    <w:rsid w:val="008B3FA8"/>
    <w:rsid w:val="008B5998"/>
    <w:rsid w:val="008C2316"/>
    <w:rsid w:val="008C5041"/>
    <w:rsid w:val="008D0331"/>
    <w:rsid w:val="008D3217"/>
    <w:rsid w:val="008D4A6A"/>
    <w:rsid w:val="008E3870"/>
    <w:rsid w:val="008F001F"/>
    <w:rsid w:val="008F0272"/>
    <w:rsid w:val="008F1AD3"/>
    <w:rsid w:val="008F2B3D"/>
    <w:rsid w:val="008F779A"/>
    <w:rsid w:val="008F77FD"/>
    <w:rsid w:val="0090339C"/>
    <w:rsid w:val="00905197"/>
    <w:rsid w:val="009128DB"/>
    <w:rsid w:val="009152BA"/>
    <w:rsid w:val="009209A7"/>
    <w:rsid w:val="00942619"/>
    <w:rsid w:val="00944A39"/>
    <w:rsid w:val="0094741C"/>
    <w:rsid w:val="00960D9A"/>
    <w:rsid w:val="0096245D"/>
    <w:rsid w:val="009649E1"/>
    <w:rsid w:val="00971577"/>
    <w:rsid w:val="00976EEE"/>
    <w:rsid w:val="00986706"/>
    <w:rsid w:val="00991BDE"/>
    <w:rsid w:val="009A7A19"/>
    <w:rsid w:val="009B1CA1"/>
    <w:rsid w:val="009B246A"/>
    <w:rsid w:val="009B31FA"/>
    <w:rsid w:val="009B7784"/>
    <w:rsid w:val="009C400F"/>
    <w:rsid w:val="009C7E26"/>
    <w:rsid w:val="009D1424"/>
    <w:rsid w:val="009D5228"/>
    <w:rsid w:val="009D7B2C"/>
    <w:rsid w:val="009E7D92"/>
    <w:rsid w:val="009F1588"/>
    <w:rsid w:val="009F2FBC"/>
    <w:rsid w:val="009F5DB4"/>
    <w:rsid w:val="009F7438"/>
    <w:rsid w:val="00A00766"/>
    <w:rsid w:val="00A01124"/>
    <w:rsid w:val="00A030F2"/>
    <w:rsid w:val="00A05586"/>
    <w:rsid w:val="00A0703C"/>
    <w:rsid w:val="00A0735F"/>
    <w:rsid w:val="00A10124"/>
    <w:rsid w:val="00A157C5"/>
    <w:rsid w:val="00A239D7"/>
    <w:rsid w:val="00A25174"/>
    <w:rsid w:val="00A3658D"/>
    <w:rsid w:val="00A43AD8"/>
    <w:rsid w:val="00A46BBB"/>
    <w:rsid w:val="00A51C39"/>
    <w:rsid w:val="00A563F2"/>
    <w:rsid w:val="00A66AA7"/>
    <w:rsid w:val="00A700E4"/>
    <w:rsid w:val="00A75493"/>
    <w:rsid w:val="00A83DB4"/>
    <w:rsid w:val="00A846F1"/>
    <w:rsid w:val="00A95263"/>
    <w:rsid w:val="00AA420F"/>
    <w:rsid w:val="00AA427C"/>
    <w:rsid w:val="00AA47DB"/>
    <w:rsid w:val="00AA6349"/>
    <w:rsid w:val="00AB1FC6"/>
    <w:rsid w:val="00AC40F5"/>
    <w:rsid w:val="00AC53D6"/>
    <w:rsid w:val="00AD2E97"/>
    <w:rsid w:val="00AD7141"/>
    <w:rsid w:val="00AE3E21"/>
    <w:rsid w:val="00AF1A0A"/>
    <w:rsid w:val="00AF380C"/>
    <w:rsid w:val="00AF3B6D"/>
    <w:rsid w:val="00AF7A95"/>
    <w:rsid w:val="00B02248"/>
    <w:rsid w:val="00B053D9"/>
    <w:rsid w:val="00B12539"/>
    <w:rsid w:val="00B15B17"/>
    <w:rsid w:val="00B16D43"/>
    <w:rsid w:val="00B21B34"/>
    <w:rsid w:val="00B24402"/>
    <w:rsid w:val="00B30584"/>
    <w:rsid w:val="00B33CFF"/>
    <w:rsid w:val="00B45D73"/>
    <w:rsid w:val="00B46E00"/>
    <w:rsid w:val="00B5169B"/>
    <w:rsid w:val="00B5361B"/>
    <w:rsid w:val="00B541C1"/>
    <w:rsid w:val="00B562E6"/>
    <w:rsid w:val="00B62C53"/>
    <w:rsid w:val="00B64695"/>
    <w:rsid w:val="00B66026"/>
    <w:rsid w:val="00B75F51"/>
    <w:rsid w:val="00B86F10"/>
    <w:rsid w:val="00B878FC"/>
    <w:rsid w:val="00B87A48"/>
    <w:rsid w:val="00BA1088"/>
    <w:rsid w:val="00BA1D6B"/>
    <w:rsid w:val="00BA7603"/>
    <w:rsid w:val="00BB1B5C"/>
    <w:rsid w:val="00BB4D55"/>
    <w:rsid w:val="00BB67CE"/>
    <w:rsid w:val="00BC1020"/>
    <w:rsid w:val="00BD234F"/>
    <w:rsid w:val="00BD26C7"/>
    <w:rsid w:val="00BE3C1A"/>
    <w:rsid w:val="00BE68C2"/>
    <w:rsid w:val="00BF0D6F"/>
    <w:rsid w:val="00C01B22"/>
    <w:rsid w:val="00C03D0D"/>
    <w:rsid w:val="00C04DF7"/>
    <w:rsid w:val="00C138AE"/>
    <w:rsid w:val="00C165C5"/>
    <w:rsid w:val="00C27C59"/>
    <w:rsid w:val="00C351D1"/>
    <w:rsid w:val="00C365D8"/>
    <w:rsid w:val="00C43159"/>
    <w:rsid w:val="00C506C3"/>
    <w:rsid w:val="00C51267"/>
    <w:rsid w:val="00C5186E"/>
    <w:rsid w:val="00C62167"/>
    <w:rsid w:val="00C66980"/>
    <w:rsid w:val="00C67B4C"/>
    <w:rsid w:val="00C707E9"/>
    <w:rsid w:val="00C730B9"/>
    <w:rsid w:val="00C74163"/>
    <w:rsid w:val="00C74260"/>
    <w:rsid w:val="00C86550"/>
    <w:rsid w:val="00C93376"/>
    <w:rsid w:val="00C95776"/>
    <w:rsid w:val="00C966BE"/>
    <w:rsid w:val="00CA09B2"/>
    <w:rsid w:val="00CC4AB1"/>
    <w:rsid w:val="00CC6419"/>
    <w:rsid w:val="00CC7DA1"/>
    <w:rsid w:val="00CD7B31"/>
    <w:rsid w:val="00CE119B"/>
    <w:rsid w:val="00CE2518"/>
    <w:rsid w:val="00CF24BC"/>
    <w:rsid w:val="00CF46B6"/>
    <w:rsid w:val="00D01284"/>
    <w:rsid w:val="00D021B7"/>
    <w:rsid w:val="00D1192B"/>
    <w:rsid w:val="00D21465"/>
    <w:rsid w:val="00D2587D"/>
    <w:rsid w:val="00D265F0"/>
    <w:rsid w:val="00D31AD7"/>
    <w:rsid w:val="00D40FEE"/>
    <w:rsid w:val="00D4249A"/>
    <w:rsid w:val="00D51214"/>
    <w:rsid w:val="00D569C4"/>
    <w:rsid w:val="00D57202"/>
    <w:rsid w:val="00D619E2"/>
    <w:rsid w:val="00D80437"/>
    <w:rsid w:val="00D845E7"/>
    <w:rsid w:val="00D848E8"/>
    <w:rsid w:val="00D876DA"/>
    <w:rsid w:val="00D87DAE"/>
    <w:rsid w:val="00DA1863"/>
    <w:rsid w:val="00DB1132"/>
    <w:rsid w:val="00DB43D5"/>
    <w:rsid w:val="00DB4A34"/>
    <w:rsid w:val="00DC5A7B"/>
    <w:rsid w:val="00DC5B40"/>
    <w:rsid w:val="00DC5EFA"/>
    <w:rsid w:val="00DD3287"/>
    <w:rsid w:val="00DD6556"/>
    <w:rsid w:val="00DE36B2"/>
    <w:rsid w:val="00DE4DD3"/>
    <w:rsid w:val="00DE5238"/>
    <w:rsid w:val="00DF4A94"/>
    <w:rsid w:val="00E01F74"/>
    <w:rsid w:val="00E11F90"/>
    <w:rsid w:val="00E235F3"/>
    <w:rsid w:val="00E25CEB"/>
    <w:rsid w:val="00E270D9"/>
    <w:rsid w:val="00E27E53"/>
    <w:rsid w:val="00E337DF"/>
    <w:rsid w:val="00E36A9C"/>
    <w:rsid w:val="00E415B3"/>
    <w:rsid w:val="00E50B18"/>
    <w:rsid w:val="00E565B6"/>
    <w:rsid w:val="00E569EA"/>
    <w:rsid w:val="00E63AAE"/>
    <w:rsid w:val="00E65735"/>
    <w:rsid w:val="00E81F5F"/>
    <w:rsid w:val="00E834B3"/>
    <w:rsid w:val="00E863A1"/>
    <w:rsid w:val="00E8704F"/>
    <w:rsid w:val="00E91816"/>
    <w:rsid w:val="00E92F70"/>
    <w:rsid w:val="00E9332E"/>
    <w:rsid w:val="00EA23AE"/>
    <w:rsid w:val="00EB0ACB"/>
    <w:rsid w:val="00EB2809"/>
    <w:rsid w:val="00EB497C"/>
    <w:rsid w:val="00EB4ED6"/>
    <w:rsid w:val="00EB63B8"/>
    <w:rsid w:val="00EC2EA1"/>
    <w:rsid w:val="00ED20F8"/>
    <w:rsid w:val="00ED3976"/>
    <w:rsid w:val="00ED398D"/>
    <w:rsid w:val="00ED4C56"/>
    <w:rsid w:val="00EE13ED"/>
    <w:rsid w:val="00EE1C7F"/>
    <w:rsid w:val="00EE4406"/>
    <w:rsid w:val="00EE4A37"/>
    <w:rsid w:val="00EF077A"/>
    <w:rsid w:val="00EF3312"/>
    <w:rsid w:val="00F0267B"/>
    <w:rsid w:val="00F16690"/>
    <w:rsid w:val="00F1683B"/>
    <w:rsid w:val="00F16B73"/>
    <w:rsid w:val="00F215F9"/>
    <w:rsid w:val="00F30F2D"/>
    <w:rsid w:val="00F314AA"/>
    <w:rsid w:val="00F32B1A"/>
    <w:rsid w:val="00F410CB"/>
    <w:rsid w:val="00F44184"/>
    <w:rsid w:val="00F445AA"/>
    <w:rsid w:val="00F45000"/>
    <w:rsid w:val="00F5362A"/>
    <w:rsid w:val="00F67F39"/>
    <w:rsid w:val="00F71212"/>
    <w:rsid w:val="00F71407"/>
    <w:rsid w:val="00F8345C"/>
    <w:rsid w:val="00F85109"/>
    <w:rsid w:val="00F87E05"/>
    <w:rsid w:val="00F93084"/>
    <w:rsid w:val="00F94447"/>
    <w:rsid w:val="00F9765B"/>
    <w:rsid w:val="00FC4C04"/>
    <w:rsid w:val="00FD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0E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922-574D-46B4-A7D3-D6251CF1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351</TotalTime>
  <Pages>4</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802.11-20/1081r0</vt:lpstr>
    </vt:vector>
  </TitlesOfParts>
  <Company>Realtek</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802.11-20/1081r0</dc:title>
  <dc:subject>Submission</dc:subject>
  <dc:creator>coffey@realtek.com</dc:creator>
  <cp:keywords>July 2020</cp:keywords>
  <dc:description>Sean Coffey, Realtek</dc:description>
  <cp:lastModifiedBy>Sean Coffey</cp:lastModifiedBy>
  <cp:revision>17</cp:revision>
  <cp:lastPrinted>2017-07-05T16:47:00Z</cp:lastPrinted>
  <dcterms:created xsi:type="dcterms:W3CDTF">2020-07-14T10:46:00Z</dcterms:created>
  <dcterms:modified xsi:type="dcterms:W3CDTF">2020-07-14T19:45:00Z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