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519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44E099F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A7486C2" w14:textId="77777777" w:rsidTr="00810624">
              <w:trPr>
                <w:trHeight w:val="485"/>
                <w:jc w:val="center"/>
              </w:trPr>
              <w:tc>
                <w:tcPr>
                  <w:tcW w:w="7943" w:type="dxa"/>
                  <w:gridSpan w:val="5"/>
                  <w:vAlign w:val="center"/>
                </w:tcPr>
                <w:p w14:paraId="76E06AF7" w14:textId="182E5A68" w:rsidR="008B3792" w:rsidRPr="00CD4C78" w:rsidRDefault="007B12EA" w:rsidP="00AB097C">
                  <w:pPr>
                    <w:pStyle w:val="T2"/>
                  </w:pPr>
                  <w:r>
                    <w:rPr>
                      <w:b w:val="0"/>
                    </w:rPr>
                    <w:t xml:space="preserve">Proposed resolution for </w:t>
                  </w:r>
                  <w:r>
                    <w:rPr>
                      <w:rFonts w:eastAsia="SimSun" w:hint="eastAsia"/>
                      <w:b w:val="0"/>
                      <w:lang w:eastAsia="zh-CN"/>
                    </w:rPr>
                    <w:t>CID</w:t>
                  </w:r>
                  <w:r w:rsidR="00AB097C">
                    <w:rPr>
                      <w:rFonts w:eastAsia="SimSun"/>
                      <w:b w:val="0"/>
                      <w:lang w:eastAsia="zh-CN"/>
                    </w:rPr>
                    <w:t xml:space="preserve"> 24</w:t>
                  </w:r>
                  <w:r w:rsidR="000D2C12">
                    <w:rPr>
                      <w:rFonts w:eastAsia="SimSun"/>
                      <w:b w:val="0"/>
                      <w:lang w:eastAsia="zh-CN"/>
                    </w:rPr>
                    <w:t>001</w:t>
                  </w:r>
                </w:p>
              </w:tc>
            </w:tr>
            <w:tr w:rsidR="008B3792" w:rsidRPr="00CD4C78" w14:paraId="77907510" w14:textId="77777777" w:rsidTr="00810624">
              <w:trPr>
                <w:trHeight w:val="359"/>
                <w:jc w:val="center"/>
              </w:trPr>
              <w:tc>
                <w:tcPr>
                  <w:tcW w:w="7943" w:type="dxa"/>
                  <w:gridSpan w:val="5"/>
                  <w:vAlign w:val="center"/>
                </w:tcPr>
                <w:p w14:paraId="0362923A" w14:textId="2A6D7078" w:rsidR="008B3792" w:rsidRPr="00CD4C78" w:rsidRDefault="008B3792" w:rsidP="00AB097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0D2C12">
                    <w:rPr>
                      <w:b w:val="0"/>
                      <w:sz w:val="20"/>
                    </w:rPr>
                    <w:t>7-1</w:t>
                  </w:r>
                  <w:r w:rsidR="00446B03">
                    <w:rPr>
                      <w:b w:val="0"/>
                      <w:sz w:val="20"/>
                    </w:rPr>
                    <w:t>6</w:t>
                  </w:r>
                </w:p>
              </w:tc>
            </w:tr>
            <w:tr w:rsidR="008B3792" w:rsidRPr="00CD4C78" w14:paraId="083AB15D" w14:textId="77777777" w:rsidTr="00810624">
              <w:trPr>
                <w:cantSplit/>
                <w:jc w:val="center"/>
              </w:trPr>
              <w:tc>
                <w:tcPr>
                  <w:tcW w:w="7943" w:type="dxa"/>
                  <w:gridSpan w:val="5"/>
                  <w:vAlign w:val="center"/>
                </w:tcPr>
                <w:p w14:paraId="7BE7D747"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ADF85F1" w14:textId="77777777" w:rsidTr="00810624">
              <w:trPr>
                <w:jc w:val="center"/>
              </w:trPr>
              <w:tc>
                <w:tcPr>
                  <w:tcW w:w="1218" w:type="dxa"/>
                  <w:vAlign w:val="center"/>
                </w:tcPr>
                <w:p w14:paraId="4EB2E5EC"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02B5DDC"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BC9391"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F7608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E41517A" w14:textId="77777777" w:rsidR="008B3792" w:rsidRPr="00CD4C78" w:rsidRDefault="008B3792" w:rsidP="008B3792">
                  <w:pPr>
                    <w:pStyle w:val="T2"/>
                    <w:spacing w:after="0"/>
                    <w:ind w:left="0" w:right="0"/>
                    <w:jc w:val="left"/>
                    <w:rPr>
                      <w:sz w:val="20"/>
                    </w:rPr>
                  </w:pPr>
                  <w:r w:rsidRPr="00CD4C78">
                    <w:rPr>
                      <w:sz w:val="20"/>
                    </w:rPr>
                    <w:t>email</w:t>
                  </w:r>
                </w:p>
              </w:tc>
            </w:tr>
            <w:tr w:rsidR="007B12EA" w:rsidRPr="00CD4C78" w14:paraId="7F6B609C" w14:textId="77777777" w:rsidTr="00995EB8">
              <w:trPr>
                <w:trHeight w:val="359"/>
                <w:jc w:val="center"/>
              </w:trPr>
              <w:tc>
                <w:tcPr>
                  <w:tcW w:w="1218" w:type="dxa"/>
                  <w:vAlign w:val="center"/>
                </w:tcPr>
                <w:p w14:paraId="1C22597A" w14:textId="55F0862F"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Andrew Myles</w:t>
                  </w:r>
                </w:p>
              </w:tc>
              <w:tc>
                <w:tcPr>
                  <w:tcW w:w="1297" w:type="dxa"/>
                  <w:vAlign w:val="center"/>
                </w:tcPr>
                <w:p w14:paraId="6CCF5896" w14:textId="09D72B61" w:rsidR="007B12EA" w:rsidRDefault="000D2C12" w:rsidP="007B12EA">
                  <w:pPr>
                    <w:pStyle w:val="T2"/>
                    <w:suppressAutoHyphens/>
                    <w:spacing w:after="0"/>
                    <w:ind w:left="0" w:right="0"/>
                    <w:rPr>
                      <w:rFonts w:eastAsiaTheme="minorEastAsia"/>
                      <w:b w:val="0"/>
                      <w:sz w:val="20"/>
                      <w:lang w:eastAsia="zh-CN"/>
                    </w:rPr>
                  </w:pPr>
                  <w:r>
                    <w:rPr>
                      <w:rFonts w:eastAsiaTheme="minorEastAsia"/>
                      <w:b w:val="0"/>
                      <w:sz w:val="20"/>
                      <w:lang w:eastAsia="zh-CN"/>
                    </w:rPr>
                    <w:t>Cisco</w:t>
                  </w:r>
                </w:p>
              </w:tc>
              <w:tc>
                <w:tcPr>
                  <w:tcW w:w="1850" w:type="dxa"/>
                </w:tcPr>
                <w:p w14:paraId="69866654" w14:textId="157D0A70" w:rsidR="007B12EA" w:rsidRDefault="007B12EA" w:rsidP="007B12EA">
                  <w:pPr>
                    <w:pStyle w:val="T2"/>
                    <w:suppressAutoHyphens/>
                    <w:spacing w:after="0"/>
                    <w:ind w:left="0" w:right="0"/>
                    <w:rPr>
                      <w:b w:val="0"/>
                      <w:sz w:val="20"/>
                    </w:rPr>
                  </w:pPr>
                </w:p>
              </w:tc>
              <w:tc>
                <w:tcPr>
                  <w:tcW w:w="1232" w:type="dxa"/>
                  <w:vAlign w:val="center"/>
                </w:tcPr>
                <w:p w14:paraId="64109DD3" w14:textId="021A657C" w:rsidR="007B12EA" w:rsidRDefault="007B12EA" w:rsidP="007B12EA">
                  <w:pPr>
                    <w:pStyle w:val="T2"/>
                    <w:suppressAutoHyphens/>
                    <w:spacing w:after="0"/>
                    <w:ind w:left="0" w:right="0"/>
                    <w:rPr>
                      <w:rFonts w:eastAsiaTheme="minorEastAsia"/>
                      <w:b w:val="0"/>
                      <w:sz w:val="20"/>
                      <w:lang w:eastAsia="zh-CN"/>
                    </w:rPr>
                  </w:pPr>
                </w:p>
              </w:tc>
              <w:tc>
                <w:tcPr>
                  <w:tcW w:w="2346" w:type="dxa"/>
                  <w:vAlign w:val="center"/>
                </w:tcPr>
                <w:p w14:paraId="0C7BAB68" w14:textId="5A8D8454" w:rsidR="007B12EA" w:rsidRDefault="000D2C12" w:rsidP="007B12EA">
                  <w:pPr>
                    <w:pStyle w:val="T2"/>
                    <w:suppressAutoHyphens/>
                    <w:spacing w:after="0"/>
                    <w:ind w:left="0" w:right="0"/>
                    <w:rPr>
                      <w:rFonts w:eastAsiaTheme="minorEastAsia"/>
                      <w:b w:val="0"/>
                      <w:sz w:val="16"/>
                      <w:lang w:eastAsia="zh-CN"/>
                    </w:rPr>
                  </w:pPr>
                  <w:r>
                    <w:rPr>
                      <w:rFonts w:eastAsiaTheme="minorEastAsia"/>
                      <w:b w:val="0"/>
                      <w:sz w:val="16"/>
                      <w:lang w:eastAsia="zh-CN"/>
                    </w:rPr>
                    <w:t>amyles@cisco.com</w:t>
                  </w:r>
                </w:p>
              </w:tc>
            </w:tr>
          </w:tbl>
          <w:p w14:paraId="0B93EC65" w14:textId="77777777" w:rsidR="00EA6977" w:rsidRDefault="00EA6977" w:rsidP="000609BC">
            <w:pPr>
              <w:pStyle w:val="T2"/>
            </w:pPr>
          </w:p>
        </w:tc>
      </w:tr>
    </w:tbl>
    <w:p w14:paraId="777F3FD7" w14:textId="77777777" w:rsidR="003E4403" w:rsidRPr="00CD4C78" w:rsidRDefault="003E4403">
      <w:pPr>
        <w:pStyle w:val="T1"/>
        <w:spacing w:after="120"/>
        <w:rPr>
          <w:sz w:val="22"/>
        </w:rPr>
      </w:pPr>
    </w:p>
    <w:p w14:paraId="67C11443" w14:textId="77777777" w:rsidR="003E4403" w:rsidRPr="00CD4C78" w:rsidRDefault="003E4403">
      <w:pPr>
        <w:pStyle w:val="T1"/>
        <w:spacing w:after="120"/>
        <w:rPr>
          <w:sz w:val="22"/>
        </w:rPr>
      </w:pPr>
    </w:p>
    <w:p w14:paraId="7533439A" w14:textId="77777777" w:rsidR="003E4403" w:rsidRPr="000D2C12" w:rsidRDefault="003E4403" w:rsidP="003E4403">
      <w:pPr>
        <w:pStyle w:val="T1"/>
        <w:spacing w:after="120"/>
        <w:rPr>
          <w:sz w:val="20"/>
        </w:rPr>
      </w:pPr>
      <w:r w:rsidRPr="000D2C12">
        <w:rPr>
          <w:sz w:val="20"/>
        </w:rPr>
        <w:t>Abstract</w:t>
      </w:r>
    </w:p>
    <w:p w14:paraId="28A672FA" w14:textId="7903258A" w:rsidR="007B12EA" w:rsidRPr="000D2C12" w:rsidRDefault="007B12EA" w:rsidP="00AB097C">
      <w:pPr>
        <w:suppressAutoHyphens/>
        <w:jc w:val="both"/>
        <w:rPr>
          <w:sz w:val="20"/>
        </w:rPr>
      </w:pPr>
      <w:r w:rsidRPr="000D2C12">
        <w:rPr>
          <w:rFonts w:hint="eastAsia"/>
          <w:sz w:val="20"/>
          <w:lang w:eastAsia="ko-KR"/>
        </w:rPr>
        <w:t>This submission propos</w:t>
      </w:r>
      <w:r w:rsidRPr="000D2C12">
        <w:rPr>
          <w:sz w:val="20"/>
          <w:lang w:eastAsia="ko-KR"/>
        </w:rPr>
        <w:t>es</w:t>
      </w:r>
      <w:r w:rsidRPr="000D2C12">
        <w:rPr>
          <w:rFonts w:hint="eastAsia"/>
          <w:sz w:val="20"/>
          <w:lang w:eastAsia="ko-KR"/>
        </w:rPr>
        <w:t xml:space="preserve"> </w:t>
      </w:r>
      <w:r w:rsidRPr="000D2C12">
        <w:rPr>
          <w:sz w:val="20"/>
          <w:lang w:eastAsia="ko-KR"/>
        </w:rPr>
        <w:t>resolution</w:t>
      </w:r>
      <w:r w:rsidRPr="000D2C12">
        <w:rPr>
          <w:rFonts w:hint="eastAsia"/>
          <w:sz w:val="20"/>
          <w:lang w:eastAsia="ko-KR"/>
        </w:rPr>
        <w:t>s</w:t>
      </w:r>
      <w:r w:rsidRPr="000D2C12">
        <w:rPr>
          <w:sz w:val="20"/>
          <w:lang w:eastAsia="ko-KR"/>
        </w:rPr>
        <w:t xml:space="preserve"> for comments related to </w:t>
      </w:r>
      <w:proofErr w:type="spellStart"/>
      <w:r w:rsidRPr="000D2C12">
        <w:rPr>
          <w:sz w:val="20"/>
          <w:lang w:eastAsia="ko-KR"/>
        </w:rPr>
        <w:t>TGax</w:t>
      </w:r>
      <w:proofErr w:type="spellEnd"/>
      <w:r w:rsidRPr="000D2C12">
        <w:rPr>
          <w:sz w:val="20"/>
          <w:lang w:eastAsia="ko-KR"/>
        </w:rPr>
        <w:t xml:space="preserve"> D6.0 with th</w:t>
      </w:r>
      <w:r w:rsidR="00AB097C" w:rsidRPr="000D2C12">
        <w:rPr>
          <w:sz w:val="20"/>
          <w:lang w:eastAsia="ko-KR"/>
        </w:rPr>
        <w:t xml:space="preserve">e </w:t>
      </w:r>
      <w:r w:rsidRPr="000D2C12">
        <w:rPr>
          <w:sz w:val="20"/>
          <w:lang w:eastAsia="ko-KR"/>
        </w:rPr>
        <w:t>CID</w:t>
      </w:r>
      <w:r w:rsidR="00AB097C" w:rsidRPr="000D2C12">
        <w:rPr>
          <w:sz w:val="20"/>
          <w:lang w:eastAsia="ko-KR"/>
        </w:rPr>
        <w:t xml:space="preserve"> </w:t>
      </w:r>
      <w:r w:rsidRPr="000D2C12">
        <w:rPr>
          <w:sz w:val="20"/>
          <w:lang w:eastAsia="ko-KR"/>
        </w:rPr>
        <w:t>24</w:t>
      </w:r>
      <w:r w:rsidR="000D2C12" w:rsidRPr="000D2C12">
        <w:rPr>
          <w:sz w:val="20"/>
          <w:lang w:eastAsia="ko-KR"/>
        </w:rPr>
        <w:t>001</w:t>
      </w:r>
    </w:p>
    <w:p w14:paraId="14959EB7" w14:textId="77777777" w:rsidR="007B12EA" w:rsidRPr="000D2C12" w:rsidRDefault="007B12EA" w:rsidP="007B12EA">
      <w:pPr>
        <w:suppressAutoHyphens/>
        <w:rPr>
          <w:sz w:val="20"/>
        </w:rPr>
      </w:pPr>
    </w:p>
    <w:p w14:paraId="4AF6874E" w14:textId="77777777" w:rsidR="007B12EA" w:rsidRPr="000D2C12" w:rsidRDefault="007B12EA" w:rsidP="007B12EA">
      <w:pPr>
        <w:suppressAutoHyphens/>
        <w:rPr>
          <w:sz w:val="20"/>
        </w:rPr>
      </w:pPr>
      <w:r w:rsidRPr="000D2C12">
        <w:rPr>
          <w:sz w:val="20"/>
        </w:rPr>
        <w:t>Revisions:</w:t>
      </w:r>
    </w:p>
    <w:p w14:paraId="14F30308" w14:textId="04E58626" w:rsidR="005E768D" w:rsidRPr="000D2C12" w:rsidRDefault="007B12EA">
      <w:pPr>
        <w:rPr>
          <w:rFonts w:eastAsia="Times New Roman"/>
          <w:sz w:val="20"/>
          <w:lang w:val="en-US"/>
        </w:rPr>
      </w:pPr>
      <w:r w:rsidRPr="000D2C12">
        <w:rPr>
          <w:sz w:val="20"/>
        </w:rPr>
        <w:t>Rev 0: Initial version of the document</w:t>
      </w:r>
      <w:r w:rsidR="00577BAE" w:rsidRPr="000D2C12">
        <w:rPr>
          <w:rFonts w:eastAsia="Times New Roman"/>
          <w:sz w:val="20"/>
          <w:lang w:val="en-US"/>
        </w:rPr>
        <w:t>.</w:t>
      </w:r>
    </w:p>
    <w:p w14:paraId="49C80027" w14:textId="77777777" w:rsidR="00DC0CA2" w:rsidRPr="00CD4C78" w:rsidRDefault="005E768D" w:rsidP="00F2637D">
      <w:r w:rsidRPr="00CD4C78">
        <w:br w:type="page"/>
      </w:r>
    </w:p>
    <w:p w14:paraId="18BAC57E" w14:textId="77777777" w:rsidR="007B12EA" w:rsidRPr="000D2C12" w:rsidRDefault="007B12EA" w:rsidP="007B12EA">
      <w:pPr>
        <w:suppressAutoHyphens/>
        <w:rPr>
          <w:b/>
          <w:bCs/>
        </w:rPr>
      </w:pPr>
      <w:r w:rsidRPr="000D2C12">
        <w:rPr>
          <w:b/>
          <w:bCs/>
        </w:rPr>
        <w:lastRenderedPageBreak/>
        <w:t>Interpretation of a Motion to Adopt</w:t>
      </w:r>
    </w:p>
    <w:p w14:paraId="503726C6" w14:textId="77777777" w:rsidR="007B12EA" w:rsidRDefault="007B12EA" w:rsidP="007B12EA">
      <w:pPr>
        <w:suppressAutoHyphens/>
        <w:rPr>
          <w:lang w:eastAsia="ko-KR"/>
        </w:rPr>
      </w:pPr>
    </w:p>
    <w:p w14:paraId="6ED75604" w14:textId="77777777" w:rsidR="007B12EA" w:rsidRDefault="007B12EA" w:rsidP="007B12EA">
      <w:pPr>
        <w:suppressAutoHyphens/>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560BBA5C" w14:textId="77777777" w:rsidR="007B12EA" w:rsidRDefault="007B12EA" w:rsidP="007B12EA">
      <w:pPr>
        <w:suppressAutoHyphens/>
        <w:rPr>
          <w:lang w:eastAsia="ko-KR"/>
        </w:rPr>
      </w:pPr>
    </w:p>
    <w:p w14:paraId="1AF92C46" w14:textId="77777777" w:rsidR="007B12EA" w:rsidRDefault="007B12EA" w:rsidP="007B12EA">
      <w:pPr>
        <w:suppressAutoHyphens/>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4242C87" w14:textId="77777777" w:rsidR="007B12EA" w:rsidRDefault="007B12EA" w:rsidP="007B12EA">
      <w:pPr>
        <w:suppressAutoHyphens/>
        <w:rPr>
          <w:lang w:eastAsia="ko-KR"/>
        </w:rPr>
      </w:pPr>
    </w:p>
    <w:p w14:paraId="5ACD3299" w14:textId="77777777" w:rsidR="007B12EA" w:rsidRDefault="007B12EA" w:rsidP="007B12EA">
      <w:pPr>
        <w:suppressAutoHyphens/>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w:t>
      </w:r>
      <w:r>
        <w:rPr>
          <w:rFonts w:hint="eastAsia"/>
          <w:b/>
          <w:bCs/>
          <w:i/>
          <w:iCs/>
          <w:lang w:eastAsia="ko-KR"/>
        </w:rPr>
        <w:t>x</w:t>
      </w:r>
      <w:proofErr w:type="spellEnd"/>
      <w:r>
        <w:rPr>
          <w:b/>
          <w:bCs/>
          <w:i/>
          <w:iCs/>
          <w:lang w:eastAsia="ko-KR"/>
        </w:rPr>
        <w:t xml:space="preserve"> Draft.</w:t>
      </w:r>
    </w:p>
    <w:p w14:paraId="0D1B0595" w14:textId="77777777" w:rsidR="007B12EA" w:rsidRDefault="007B12EA" w:rsidP="007B12EA">
      <w:pPr>
        <w:pStyle w:val="T1"/>
        <w:suppressAutoHyphens/>
        <w:spacing w:after="120"/>
        <w:jc w:val="left"/>
        <w:rPr>
          <w:b w:val="0"/>
          <w:bCs/>
          <w:iCs/>
          <w:color w:val="000000"/>
          <w:sz w:val="20"/>
        </w:rPr>
      </w:pPr>
    </w:p>
    <w:p w14:paraId="60B1CB1E" w14:textId="1C3B13F6" w:rsidR="007B12EA" w:rsidRPr="000D2C12" w:rsidRDefault="000D2C12" w:rsidP="007B12EA">
      <w:pPr>
        <w:pStyle w:val="T1"/>
        <w:suppressAutoHyphens/>
        <w:spacing w:after="120"/>
        <w:jc w:val="left"/>
        <w:rPr>
          <w:iCs/>
          <w:color w:val="000000"/>
          <w:sz w:val="20"/>
        </w:rPr>
      </w:pPr>
      <w:r w:rsidRPr="000D2C12">
        <w:rPr>
          <w:iCs/>
          <w:color w:val="000000"/>
          <w:sz w:val="20"/>
        </w:rPr>
        <w:t>Discussion</w:t>
      </w:r>
    </w:p>
    <w:p w14:paraId="45F78D42" w14:textId="2D0F31A9"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There has been much discussion for at least the last six years in various forums about “best” listening mechanisms to enable good coexistence within and between technologies. Options discussed have covered the full range of possibilities, including </w:t>
      </w:r>
      <w:r w:rsidRPr="008D6109">
        <w:rPr>
          <w:b w:val="0"/>
          <w:bCs/>
          <w:i/>
          <w:color w:val="000000"/>
          <w:sz w:val="20"/>
        </w:rPr>
        <w:t>PD/ED</w:t>
      </w:r>
      <w:r w:rsidRPr="000D2C12">
        <w:rPr>
          <w:b w:val="0"/>
          <w:bCs/>
          <w:iCs/>
          <w:color w:val="000000"/>
          <w:sz w:val="20"/>
        </w:rPr>
        <w:t xml:space="preserve"> at -82/-62 dBm or -82/-72 dBm, </w:t>
      </w:r>
      <w:r w:rsidRPr="008D6109">
        <w:rPr>
          <w:b w:val="0"/>
          <w:bCs/>
          <w:i/>
          <w:color w:val="000000"/>
          <w:sz w:val="20"/>
        </w:rPr>
        <w:t>ED-only</w:t>
      </w:r>
      <w:r w:rsidRPr="000D2C12">
        <w:rPr>
          <w:b w:val="0"/>
          <w:bCs/>
          <w:iCs/>
          <w:color w:val="000000"/>
          <w:sz w:val="20"/>
        </w:rPr>
        <w:t xml:space="preserve"> at -77 dBm, </w:t>
      </w:r>
      <w:r w:rsidR="008D6109">
        <w:rPr>
          <w:b w:val="0"/>
          <w:bCs/>
          <w:iCs/>
          <w:color w:val="000000"/>
          <w:sz w:val="20"/>
        </w:rPr>
        <w:t>-</w:t>
      </w:r>
      <w:r w:rsidRPr="000D2C12">
        <w:rPr>
          <w:b w:val="0"/>
          <w:bCs/>
          <w:iCs/>
          <w:color w:val="000000"/>
          <w:sz w:val="20"/>
        </w:rPr>
        <w:t>72 dBm or -62 dBm, or various combinations.</w:t>
      </w:r>
    </w:p>
    <w:p w14:paraId="355B7F79" w14:textId="21139AD7"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It has proven difficult to definitively determine the “best” listening mechanism to enable good coexistence </w:t>
      </w:r>
      <w:r w:rsidR="008D6109">
        <w:rPr>
          <w:b w:val="0"/>
          <w:bCs/>
          <w:iCs/>
          <w:color w:val="000000"/>
          <w:sz w:val="20"/>
        </w:rPr>
        <w:t>i</w:t>
      </w:r>
      <w:r w:rsidRPr="000D2C12">
        <w:rPr>
          <w:b w:val="0"/>
          <w:bCs/>
          <w:iCs/>
          <w:color w:val="000000"/>
          <w:sz w:val="20"/>
        </w:rPr>
        <w:t>n all circumstances:</w:t>
      </w:r>
    </w:p>
    <w:p w14:paraId="1236173B" w14:textId="47F6E968"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There is significant evidence that </w:t>
      </w:r>
      <w:r w:rsidRPr="008D6109">
        <w:rPr>
          <w:b w:val="0"/>
          <w:bCs/>
          <w:i/>
          <w:color w:val="000000"/>
          <w:sz w:val="20"/>
        </w:rPr>
        <w:t>PD/ED</w:t>
      </w:r>
      <w:r w:rsidRPr="000D2C12">
        <w:rPr>
          <w:b w:val="0"/>
          <w:bCs/>
          <w:iCs/>
          <w:color w:val="000000"/>
          <w:sz w:val="20"/>
        </w:rPr>
        <w:t xml:space="preserve"> at -82/-62 dBm provides the best, balanced coexistence solution in many scenarios. This is not surprising given the success of  the </w:t>
      </w:r>
      <w:r w:rsidRPr="008D6109">
        <w:rPr>
          <w:b w:val="0"/>
          <w:bCs/>
          <w:i/>
          <w:color w:val="000000"/>
          <w:sz w:val="20"/>
        </w:rPr>
        <w:t>PD/ED</w:t>
      </w:r>
      <w:r w:rsidRPr="000D2C12">
        <w:rPr>
          <w:b w:val="0"/>
          <w:bCs/>
          <w:iCs/>
          <w:color w:val="000000"/>
          <w:sz w:val="20"/>
        </w:rPr>
        <w:t xml:space="preserve"> mechanism as the basis of </w:t>
      </w:r>
      <w:r w:rsidR="008D6109">
        <w:rPr>
          <w:b w:val="0"/>
          <w:bCs/>
          <w:iCs/>
          <w:color w:val="000000"/>
          <w:sz w:val="20"/>
        </w:rPr>
        <w:t>802.11sytems</w:t>
      </w:r>
      <w:r w:rsidRPr="000D2C12">
        <w:rPr>
          <w:b w:val="0"/>
          <w:bCs/>
          <w:iCs/>
          <w:color w:val="000000"/>
          <w:sz w:val="20"/>
        </w:rPr>
        <w:t xml:space="preserve"> sharing for more than 20 years. Unfortunately, the </w:t>
      </w:r>
      <w:r w:rsidRPr="008D6109">
        <w:rPr>
          <w:b w:val="0"/>
          <w:bCs/>
          <w:i/>
          <w:color w:val="000000"/>
          <w:sz w:val="20"/>
        </w:rPr>
        <w:t>PD/ED</w:t>
      </w:r>
      <w:r w:rsidRPr="000D2C12">
        <w:rPr>
          <w:b w:val="0"/>
          <w:bCs/>
          <w:iCs/>
          <w:color w:val="000000"/>
          <w:sz w:val="20"/>
        </w:rPr>
        <w:t xml:space="preserve"> mechanism </w:t>
      </w:r>
      <w:r w:rsidR="008D6109">
        <w:rPr>
          <w:b w:val="0"/>
          <w:bCs/>
          <w:iCs/>
          <w:color w:val="000000"/>
          <w:sz w:val="20"/>
        </w:rPr>
        <w:t>i</w:t>
      </w:r>
      <w:r w:rsidRPr="000D2C12">
        <w:rPr>
          <w:b w:val="0"/>
          <w:bCs/>
          <w:iCs/>
          <w:color w:val="000000"/>
          <w:sz w:val="20"/>
        </w:rPr>
        <w:t xml:space="preserve">s likely to be limited to 802.11 systems in the near future because 3GPP decided not to adopt </w:t>
      </w:r>
      <w:r w:rsidRPr="008D6109">
        <w:rPr>
          <w:b w:val="0"/>
          <w:bCs/>
          <w:i/>
          <w:color w:val="000000"/>
          <w:sz w:val="20"/>
        </w:rPr>
        <w:t>PD/ED</w:t>
      </w:r>
      <w:r w:rsidRPr="000D2C12">
        <w:rPr>
          <w:b w:val="0"/>
          <w:bCs/>
          <w:iCs/>
          <w:color w:val="000000"/>
          <w:sz w:val="20"/>
        </w:rPr>
        <w:t xml:space="preserve"> for LAA or NR-U.</w:t>
      </w:r>
    </w:p>
    <w:p w14:paraId="4025F6D8" w14:textId="0D796924"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There is also good evidence that reasonable coexistence is possible between systems using </w:t>
      </w:r>
      <w:r w:rsidRPr="008D6109">
        <w:rPr>
          <w:b w:val="0"/>
          <w:bCs/>
          <w:i/>
          <w:color w:val="000000"/>
          <w:sz w:val="20"/>
        </w:rPr>
        <w:t>PD/ED</w:t>
      </w:r>
      <w:r w:rsidRPr="000D2C12">
        <w:rPr>
          <w:b w:val="0"/>
          <w:bCs/>
          <w:iCs/>
          <w:color w:val="000000"/>
          <w:sz w:val="20"/>
        </w:rPr>
        <w:t xml:space="preserve">  at -82/-62 dBm, such as 802.11 systems, and other systems using </w:t>
      </w:r>
      <w:r w:rsidRPr="008D6109">
        <w:rPr>
          <w:b w:val="0"/>
          <w:bCs/>
          <w:i/>
          <w:color w:val="000000"/>
          <w:sz w:val="20"/>
        </w:rPr>
        <w:t>ED-only</w:t>
      </w:r>
      <w:r w:rsidRPr="000D2C12">
        <w:rPr>
          <w:b w:val="0"/>
          <w:bCs/>
          <w:iCs/>
          <w:color w:val="000000"/>
          <w:sz w:val="20"/>
        </w:rPr>
        <w:t xml:space="preserve"> at -72 dBm, such as LAA and NR-U systems. That said, the evidence also suggests that the coexistence is generally not as good as if all systems used the </w:t>
      </w:r>
      <w:r w:rsidRPr="008D6109">
        <w:rPr>
          <w:b w:val="0"/>
          <w:bCs/>
          <w:i/>
          <w:color w:val="000000"/>
          <w:sz w:val="20"/>
        </w:rPr>
        <w:t>PD/ED</w:t>
      </w:r>
      <w:r w:rsidRPr="000D2C12">
        <w:rPr>
          <w:b w:val="0"/>
          <w:bCs/>
          <w:iCs/>
          <w:color w:val="000000"/>
          <w:sz w:val="20"/>
        </w:rPr>
        <w:t xml:space="preserve"> mechanism.</w:t>
      </w:r>
    </w:p>
    <w:p w14:paraId="0B7B9018" w14:textId="140A2C3E" w:rsidR="000D2C12" w:rsidRPr="000D2C12" w:rsidRDefault="000D2C12" w:rsidP="000D2C12">
      <w:pPr>
        <w:pStyle w:val="T1"/>
        <w:numPr>
          <w:ilvl w:val="0"/>
          <w:numId w:val="27"/>
        </w:numPr>
        <w:suppressAutoHyphens/>
        <w:spacing w:after="120"/>
        <w:ind w:left="284" w:hanging="284"/>
        <w:jc w:val="left"/>
        <w:rPr>
          <w:b w:val="0"/>
          <w:bCs/>
          <w:iCs/>
          <w:color w:val="000000"/>
          <w:sz w:val="20"/>
        </w:rPr>
      </w:pPr>
      <w:r w:rsidRPr="000D2C12">
        <w:rPr>
          <w:b w:val="0"/>
          <w:bCs/>
          <w:iCs/>
          <w:color w:val="000000"/>
          <w:sz w:val="20"/>
        </w:rPr>
        <w:t xml:space="preserve">The various discussions about the “best” coexistence solution have also highlighted that the answer often depends on the details of the </w:t>
      </w:r>
      <w:r w:rsidR="008D6109" w:rsidRPr="000D2C12">
        <w:rPr>
          <w:b w:val="0"/>
          <w:bCs/>
          <w:iCs/>
          <w:color w:val="000000"/>
          <w:sz w:val="20"/>
        </w:rPr>
        <w:t>scenario</w:t>
      </w:r>
      <w:r w:rsidRPr="000D2C12">
        <w:rPr>
          <w:b w:val="0"/>
          <w:bCs/>
          <w:iCs/>
          <w:color w:val="000000"/>
          <w:sz w:val="20"/>
        </w:rPr>
        <w:t xml:space="preserve">. For example, the 802.11 WG has recognised that </w:t>
      </w:r>
      <w:r w:rsidRPr="008D6109">
        <w:rPr>
          <w:b w:val="0"/>
          <w:bCs/>
          <w:i/>
          <w:color w:val="000000"/>
          <w:sz w:val="20"/>
        </w:rPr>
        <w:t>PD/ED</w:t>
      </w:r>
      <w:r w:rsidRPr="000D2C12">
        <w:rPr>
          <w:b w:val="0"/>
          <w:bCs/>
          <w:iCs/>
          <w:color w:val="000000"/>
          <w:sz w:val="20"/>
        </w:rPr>
        <w:t xml:space="preserve"> at -82/-62 dBm </w:t>
      </w:r>
      <w:r w:rsidR="008D6109">
        <w:rPr>
          <w:b w:val="0"/>
          <w:bCs/>
          <w:iCs/>
          <w:color w:val="000000"/>
          <w:sz w:val="20"/>
        </w:rPr>
        <w:t>i</w:t>
      </w:r>
      <w:r w:rsidRPr="000D2C12">
        <w:rPr>
          <w:b w:val="0"/>
          <w:bCs/>
          <w:iCs/>
          <w:color w:val="000000"/>
          <w:sz w:val="20"/>
        </w:rPr>
        <w:t xml:space="preserve">s not always optimum by </w:t>
      </w:r>
      <w:r w:rsidR="008D6109">
        <w:rPr>
          <w:b w:val="0"/>
          <w:bCs/>
          <w:iCs/>
          <w:color w:val="000000"/>
          <w:sz w:val="20"/>
        </w:rPr>
        <w:t xml:space="preserve">its </w:t>
      </w:r>
      <w:r w:rsidRPr="000D2C12">
        <w:rPr>
          <w:b w:val="0"/>
          <w:bCs/>
          <w:iCs/>
          <w:color w:val="000000"/>
          <w:sz w:val="20"/>
        </w:rPr>
        <w:t>specif</w:t>
      </w:r>
      <w:r w:rsidR="008D6109">
        <w:rPr>
          <w:b w:val="0"/>
          <w:bCs/>
          <w:iCs/>
          <w:color w:val="000000"/>
          <w:sz w:val="20"/>
        </w:rPr>
        <w:t>ication of</w:t>
      </w:r>
      <w:r w:rsidRPr="000D2C12">
        <w:rPr>
          <w:b w:val="0"/>
          <w:bCs/>
          <w:iCs/>
          <w:color w:val="000000"/>
          <w:sz w:val="20"/>
        </w:rPr>
        <w:t xml:space="preserve"> a spatial reuse mechanism that effectively raises the </w:t>
      </w:r>
      <w:r w:rsidRPr="008D6109">
        <w:rPr>
          <w:b w:val="0"/>
          <w:bCs/>
          <w:i/>
          <w:color w:val="000000"/>
          <w:sz w:val="20"/>
        </w:rPr>
        <w:t>PD</w:t>
      </w:r>
      <w:r w:rsidRPr="000D2C12">
        <w:rPr>
          <w:b w:val="0"/>
          <w:bCs/>
          <w:iCs/>
          <w:color w:val="000000"/>
          <w:sz w:val="20"/>
        </w:rPr>
        <w:t xml:space="preserve"> threshold in certain </w:t>
      </w:r>
      <w:r w:rsidR="008D6109">
        <w:rPr>
          <w:b w:val="0"/>
          <w:bCs/>
          <w:iCs/>
          <w:color w:val="000000"/>
          <w:sz w:val="20"/>
        </w:rPr>
        <w:t>cases</w:t>
      </w:r>
      <w:r w:rsidRPr="000D2C12">
        <w:rPr>
          <w:b w:val="0"/>
          <w:bCs/>
          <w:iCs/>
          <w:color w:val="000000"/>
          <w:sz w:val="20"/>
        </w:rPr>
        <w:t xml:space="preserve">. It is also likely that the coexistence balance between </w:t>
      </w:r>
      <w:r w:rsidRPr="008D6109">
        <w:rPr>
          <w:b w:val="0"/>
          <w:bCs/>
          <w:i/>
          <w:color w:val="000000"/>
          <w:sz w:val="20"/>
        </w:rPr>
        <w:t>PD/ED</w:t>
      </w:r>
      <w:r w:rsidRPr="000D2C12">
        <w:rPr>
          <w:b w:val="0"/>
          <w:bCs/>
          <w:iCs/>
          <w:color w:val="000000"/>
          <w:sz w:val="20"/>
        </w:rPr>
        <w:t xml:space="preserve"> and </w:t>
      </w:r>
      <w:r w:rsidRPr="008D6109">
        <w:rPr>
          <w:b w:val="0"/>
          <w:bCs/>
          <w:i/>
          <w:color w:val="000000"/>
          <w:sz w:val="20"/>
        </w:rPr>
        <w:t>ED-only</w:t>
      </w:r>
      <w:r w:rsidRPr="000D2C12">
        <w:rPr>
          <w:b w:val="0"/>
          <w:bCs/>
          <w:iCs/>
          <w:color w:val="000000"/>
          <w:sz w:val="20"/>
        </w:rPr>
        <w:t xml:space="preserve"> systems will depend on the prevalence of the use of OFDMA.</w:t>
      </w:r>
    </w:p>
    <w:p w14:paraId="06F28EFB" w14:textId="45CCE5FC"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A very recent development is that ETSI BRAN has reported (see 11-20-1034-00) that it has been decided that EN 303 687 will only enable the use of </w:t>
      </w:r>
      <w:r w:rsidRPr="008D6109">
        <w:rPr>
          <w:b w:val="0"/>
          <w:bCs/>
          <w:i/>
          <w:color w:val="000000"/>
          <w:sz w:val="20"/>
        </w:rPr>
        <w:t>ED-only</w:t>
      </w:r>
      <w:r w:rsidRPr="000D2C12">
        <w:rPr>
          <w:b w:val="0"/>
          <w:bCs/>
          <w:iCs/>
          <w:color w:val="000000"/>
          <w:sz w:val="20"/>
        </w:rPr>
        <w:t xml:space="preserve"> at -72 dBm for 6 GHz operation in Europe. Unlike EN 301 893, </w:t>
      </w:r>
      <w:r w:rsidR="008D6109" w:rsidRPr="000D2C12">
        <w:rPr>
          <w:b w:val="0"/>
          <w:bCs/>
          <w:iCs/>
          <w:color w:val="000000"/>
          <w:sz w:val="20"/>
        </w:rPr>
        <w:t xml:space="preserve">EN 303 687 </w:t>
      </w:r>
      <w:r w:rsidRPr="000D2C12">
        <w:rPr>
          <w:b w:val="0"/>
          <w:bCs/>
          <w:iCs/>
          <w:color w:val="000000"/>
          <w:sz w:val="20"/>
        </w:rPr>
        <w:t xml:space="preserve">will not allow the use of </w:t>
      </w:r>
      <w:r w:rsidRPr="008D6109">
        <w:rPr>
          <w:b w:val="0"/>
          <w:bCs/>
          <w:i/>
          <w:color w:val="000000"/>
          <w:sz w:val="20"/>
        </w:rPr>
        <w:t>PD/ED</w:t>
      </w:r>
      <w:r w:rsidRPr="000D2C12">
        <w:rPr>
          <w:b w:val="0"/>
          <w:bCs/>
          <w:iCs/>
          <w:color w:val="000000"/>
          <w:sz w:val="20"/>
        </w:rPr>
        <w:t xml:space="preserve"> at -82/-62 dBm. This will effectively restrict 802.11 operation to </w:t>
      </w:r>
      <w:r w:rsidRPr="008D6109">
        <w:rPr>
          <w:b w:val="0"/>
          <w:bCs/>
          <w:i/>
          <w:color w:val="000000"/>
          <w:sz w:val="20"/>
        </w:rPr>
        <w:t>PD/ED</w:t>
      </w:r>
      <w:r w:rsidRPr="000D2C12">
        <w:rPr>
          <w:b w:val="0"/>
          <w:bCs/>
          <w:iCs/>
          <w:color w:val="000000"/>
          <w:sz w:val="20"/>
        </w:rPr>
        <w:t xml:space="preserve"> at -82/-72 dBm, when combining the specification  in the 802.11ax draft and the requirements in the EN 303 687 draft.</w:t>
      </w:r>
    </w:p>
    <w:p w14:paraId="6CEDFA91" w14:textId="609FDAC0" w:rsidR="000D2C12" w:rsidRPr="000D2C12" w:rsidRDefault="000D2C12" w:rsidP="000D2C12">
      <w:pPr>
        <w:pStyle w:val="T1"/>
        <w:suppressAutoHyphens/>
        <w:spacing w:after="120"/>
        <w:jc w:val="left"/>
        <w:rPr>
          <w:b w:val="0"/>
          <w:bCs/>
          <w:iCs/>
          <w:color w:val="000000"/>
          <w:sz w:val="20"/>
        </w:rPr>
      </w:pPr>
      <w:r w:rsidRPr="000D2C12">
        <w:rPr>
          <w:b w:val="0"/>
          <w:bCs/>
          <w:iCs/>
          <w:color w:val="000000"/>
          <w:sz w:val="20"/>
        </w:rPr>
        <w:t xml:space="preserve">This restriction will probably still result in reasonable coexistence between 802.11 systems. However, it may provide an advantage to LAA/NR-U systems using </w:t>
      </w:r>
      <w:r w:rsidRPr="008D6109">
        <w:rPr>
          <w:b w:val="0"/>
          <w:bCs/>
          <w:i/>
          <w:color w:val="000000"/>
          <w:sz w:val="20"/>
        </w:rPr>
        <w:t>ED-only</w:t>
      </w:r>
      <w:r w:rsidRPr="000D2C12">
        <w:rPr>
          <w:b w:val="0"/>
          <w:bCs/>
          <w:iCs/>
          <w:color w:val="000000"/>
          <w:sz w:val="20"/>
        </w:rPr>
        <w:t xml:space="preserve"> at -72 dBm, compared to 802.11 systems using </w:t>
      </w:r>
      <w:r w:rsidRPr="008D6109">
        <w:rPr>
          <w:b w:val="0"/>
          <w:bCs/>
          <w:i/>
          <w:color w:val="000000"/>
          <w:sz w:val="20"/>
        </w:rPr>
        <w:t>PD/ED</w:t>
      </w:r>
      <w:r w:rsidRPr="000D2C12">
        <w:rPr>
          <w:b w:val="0"/>
          <w:bCs/>
          <w:iCs/>
          <w:color w:val="000000"/>
          <w:sz w:val="20"/>
        </w:rPr>
        <w:t xml:space="preserve"> at -82/-72 dBm. In this context, changing the 802.11ax draft to allow the use of </w:t>
      </w:r>
      <w:r w:rsidRPr="008D6109">
        <w:rPr>
          <w:b w:val="0"/>
          <w:bCs/>
          <w:i/>
          <w:color w:val="000000"/>
          <w:sz w:val="20"/>
        </w:rPr>
        <w:t>ED-only</w:t>
      </w:r>
      <w:r w:rsidRPr="000D2C12">
        <w:rPr>
          <w:b w:val="0"/>
          <w:bCs/>
          <w:iCs/>
          <w:color w:val="000000"/>
          <w:sz w:val="20"/>
        </w:rPr>
        <w:t xml:space="preserve"> at -72 dBm </w:t>
      </w:r>
      <w:r>
        <w:rPr>
          <w:b w:val="0"/>
          <w:bCs/>
          <w:iCs/>
          <w:color w:val="000000"/>
          <w:sz w:val="20"/>
        </w:rPr>
        <w:t>could</w:t>
      </w:r>
      <w:r w:rsidRPr="000D2C12">
        <w:rPr>
          <w:b w:val="0"/>
          <w:bCs/>
          <w:iCs/>
          <w:color w:val="000000"/>
          <w:sz w:val="20"/>
        </w:rPr>
        <w:t xml:space="preserve"> be considered in the future for scenarios (including 6 GHz</w:t>
      </w:r>
      <w:r>
        <w:rPr>
          <w:b w:val="0"/>
          <w:bCs/>
          <w:iCs/>
          <w:color w:val="000000"/>
          <w:sz w:val="20"/>
        </w:rPr>
        <w:t xml:space="preserve"> operation</w:t>
      </w:r>
      <w:r w:rsidRPr="000D2C12">
        <w:rPr>
          <w:b w:val="0"/>
          <w:bCs/>
          <w:iCs/>
          <w:color w:val="000000"/>
          <w:sz w:val="20"/>
        </w:rPr>
        <w:t xml:space="preserve"> in Europe) where other systems are likely to be using this listening mechanism.</w:t>
      </w:r>
      <w:r>
        <w:rPr>
          <w:b w:val="0"/>
          <w:bCs/>
          <w:iCs/>
          <w:color w:val="000000"/>
          <w:sz w:val="20"/>
        </w:rPr>
        <w:t xml:space="preserve"> Of </w:t>
      </w:r>
      <w:proofErr w:type="spellStart"/>
      <w:r>
        <w:rPr>
          <w:b w:val="0"/>
          <w:bCs/>
          <w:iCs/>
          <w:color w:val="000000"/>
          <w:sz w:val="20"/>
        </w:rPr>
        <w:t>couse</w:t>
      </w:r>
      <w:proofErr w:type="spellEnd"/>
      <w:r>
        <w:rPr>
          <w:b w:val="0"/>
          <w:bCs/>
          <w:iCs/>
          <w:color w:val="000000"/>
          <w:sz w:val="20"/>
        </w:rPr>
        <w:t>, no promise can be made at this time about future changes to the standard.</w:t>
      </w:r>
      <w:r w:rsidRPr="000D2C12">
        <w:rPr>
          <w:b w:val="0"/>
          <w:bCs/>
          <w:iCs/>
          <w:color w:val="000000"/>
          <w:sz w:val="20"/>
        </w:rPr>
        <w:t xml:space="preserve"> </w:t>
      </w:r>
    </w:p>
    <w:p w14:paraId="21797E5D" w14:textId="4378E722" w:rsidR="000D2C12" w:rsidRDefault="000D2C12" w:rsidP="000D2C12">
      <w:pPr>
        <w:pStyle w:val="T1"/>
        <w:suppressAutoHyphens/>
        <w:spacing w:after="120"/>
        <w:jc w:val="left"/>
        <w:rPr>
          <w:b w:val="0"/>
          <w:bCs/>
          <w:iCs/>
          <w:color w:val="000000"/>
          <w:sz w:val="20"/>
        </w:rPr>
      </w:pPr>
      <w:r>
        <w:rPr>
          <w:b w:val="0"/>
          <w:bCs/>
          <w:iCs/>
          <w:color w:val="000000"/>
          <w:sz w:val="20"/>
        </w:rPr>
        <w:t>In the meantime, t</w:t>
      </w:r>
      <w:r w:rsidRPr="000D2C12">
        <w:rPr>
          <w:b w:val="0"/>
          <w:bCs/>
          <w:iCs/>
          <w:color w:val="000000"/>
          <w:sz w:val="20"/>
        </w:rPr>
        <w:t>h</w:t>
      </w:r>
      <w:r>
        <w:rPr>
          <w:b w:val="0"/>
          <w:bCs/>
          <w:iCs/>
          <w:color w:val="000000"/>
          <w:sz w:val="20"/>
        </w:rPr>
        <w:t>e</w:t>
      </w:r>
      <w:r w:rsidRPr="000D2C12">
        <w:rPr>
          <w:b w:val="0"/>
          <w:bCs/>
          <w:iCs/>
          <w:color w:val="000000"/>
          <w:sz w:val="20"/>
        </w:rPr>
        <w:t xml:space="preserve"> comment </w:t>
      </w:r>
      <w:r w:rsidR="00D0563F">
        <w:rPr>
          <w:b w:val="0"/>
          <w:bCs/>
          <w:iCs/>
          <w:color w:val="000000"/>
          <w:sz w:val="20"/>
        </w:rPr>
        <w:t xml:space="preserve">and proposed resolution </w:t>
      </w:r>
      <w:r>
        <w:rPr>
          <w:b w:val="0"/>
          <w:bCs/>
          <w:iCs/>
          <w:color w:val="000000"/>
          <w:sz w:val="20"/>
        </w:rPr>
        <w:t>can be</w:t>
      </w:r>
      <w:r w:rsidRPr="000D2C12">
        <w:rPr>
          <w:b w:val="0"/>
          <w:bCs/>
          <w:iCs/>
          <w:color w:val="000000"/>
          <w:sz w:val="20"/>
        </w:rPr>
        <w:t xml:space="preserve"> rejected because it contains insufficient detail to allow the </w:t>
      </w:r>
      <w:r w:rsidRPr="008D6109">
        <w:rPr>
          <w:b w:val="0"/>
          <w:bCs/>
          <w:i/>
          <w:color w:val="000000"/>
          <w:sz w:val="20"/>
        </w:rPr>
        <w:t>ED</w:t>
      </w:r>
      <w:r w:rsidR="008D6109">
        <w:rPr>
          <w:b w:val="0"/>
          <w:bCs/>
          <w:iCs/>
          <w:color w:val="000000"/>
          <w:sz w:val="20"/>
        </w:rPr>
        <w:t xml:space="preserve"> threshold</w:t>
      </w:r>
      <w:r w:rsidRPr="000D2C12">
        <w:rPr>
          <w:b w:val="0"/>
          <w:bCs/>
          <w:iCs/>
          <w:color w:val="000000"/>
          <w:sz w:val="20"/>
        </w:rPr>
        <w:t xml:space="preserve"> for 802.11ax operation in the 6 GHz band be changed from -62 dBm to -72 dBm (or for the PD</w:t>
      </w:r>
      <w:r w:rsidR="008D6109">
        <w:rPr>
          <w:b w:val="0"/>
          <w:bCs/>
          <w:iCs/>
          <w:color w:val="000000"/>
          <w:sz w:val="20"/>
        </w:rPr>
        <w:t xml:space="preserve"> threshold</w:t>
      </w:r>
      <w:r w:rsidRPr="000D2C12">
        <w:rPr>
          <w:b w:val="0"/>
          <w:bCs/>
          <w:iCs/>
          <w:color w:val="000000"/>
          <w:sz w:val="20"/>
        </w:rPr>
        <w:t xml:space="preserve"> to be changed from -82 dBm to -72 dBm).</w:t>
      </w:r>
    </w:p>
    <w:p w14:paraId="37BF5B4F" w14:textId="77777777" w:rsidR="000D2C12" w:rsidRDefault="000D2C12" w:rsidP="007B12EA">
      <w:pPr>
        <w:pStyle w:val="T1"/>
        <w:suppressAutoHyphens/>
        <w:spacing w:after="120"/>
        <w:jc w:val="left"/>
        <w:rPr>
          <w:b w:val="0"/>
          <w:bCs/>
          <w:iCs/>
          <w:color w:val="000000"/>
          <w:sz w:val="20"/>
        </w:rPr>
      </w:pPr>
    </w:p>
    <w:p w14:paraId="1FCA1B43" w14:textId="77777777" w:rsidR="007B12EA" w:rsidRDefault="007B12EA" w:rsidP="007B12EA">
      <w:pPr>
        <w:pStyle w:val="T1"/>
        <w:suppressAutoHyphens/>
        <w:spacing w:after="120"/>
        <w:jc w:val="left"/>
        <w:rPr>
          <w:b w:val="0"/>
          <w:bCs/>
          <w:iCs/>
          <w:color w:val="000000"/>
          <w:sz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810"/>
        <w:gridCol w:w="2154"/>
        <w:gridCol w:w="2166"/>
        <w:gridCol w:w="2430"/>
      </w:tblGrid>
      <w:tr w:rsidR="00AB097C" w14:paraId="0CEE5ACA" w14:textId="77777777" w:rsidTr="0072575C">
        <w:trPr>
          <w:trHeight w:val="220"/>
          <w:jc w:val="center"/>
        </w:trPr>
        <w:tc>
          <w:tcPr>
            <w:tcW w:w="805" w:type="dxa"/>
            <w:shd w:val="clear" w:color="auto" w:fill="auto"/>
            <w:vAlign w:val="center"/>
          </w:tcPr>
          <w:p w14:paraId="27849941"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CID</w:t>
            </w:r>
          </w:p>
        </w:tc>
        <w:tc>
          <w:tcPr>
            <w:tcW w:w="810" w:type="dxa"/>
            <w:shd w:val="clear" w:color="auto" w:fill="auto"/>
            <w:vAlign w:val="center"/>
          </w:tcPr>
          <w:p w14:paraId="5F7513D2"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Section</w:t>
            </w:r>
          </w:p>
        </w:tc>
        <w:tc>
          <w:tcPr>
            <w:tcW w:w="810" w:type="dxa"/>
            <w:shd w:val="clear" w:color="auto" w:fill="auto"/>
            <w:vAlign w:val="center"/>
          </w:tcPr>
          <w:p w14:paraId="29864558" w14:textId="77777777" w:rsidR="00AB097C" w:rsidRDefault="00AB097C" w:rsidP="002414F1">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154" w:type="dxa"/>
            <w:shd w:val="clear" w:color="auto" w:fill="auto"/>
            <w:vAlign w:val="bottom"/>
          </w:tcPr>
          <w:p w14:paraId="1F1F0395"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Comment</w:t>
            </w:r>
          </w:p>
        </w:tc>
        <w:tc>
          <w:tcPr>
            <w:tcW w:w="2166" w:type="dxa"/>
            <w:shd w:val="clear" w:color="auto" w:fill="auto"/>
            <w:vAlign w:val="bottom"/>
          </w:tcPr>
          <w:p w14:paraId="03D930F7"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Proposed Change</w:t>
            </w:r>
          </w:p>
        </w:tc>
        <w:tc>
          <w:tcPr>
            <w:tcW w:w="2430" w:type="dxa"/>
            <w:shd w:val="clear" w:color="auto" w:fill="auto"/>
            <w:vAlign w:val="center"/>
          </w:tcPr>
          <w:p w14:paraId="3E38324C" w14:textId="77777777" w:rsidR="00AB097C" w:rsidRDefault="00AB097C" w:rsidP="002414F1">
            <w:pPr>
              <w:suppressAutoHyphens/>
              <w:jc w:val="center"/>
              <w:rPr>
                <w:rFonts w:eastAsia="Times New Roman"/>
                <w:b/>
                <w:bCs/>
                <w:color w:val="000000"/>
                <w:sz w:val="16"/>
              </w:rPr>
            </w:pPr>
            <w:r>
              <w:rPr>
                <w:rFonts w:eastAsia="Times New Roman"/>
                <w:b/>
                <w:bCs/>
                <w:color w:val="000000"/>
                <w:sz w:val="16"/>
              </w:rPr>
              <w:t>Resolution</w:t>
            </w:r>
          </w:p>
        </w:tc>
      </w:tr>
      <w:tr w:rsidR="00AB097C" w:rsidRPr="00155AFE" w14:paraId="4C8D4CBF" w14:textId="77777777" w:rsidTr="000D2C12">
        <w:trPr>
          <w:trHeight w:val="220"/>
          <w:jc w:val="center"/>
        </w:trPr>
        <w:tc>
          <w:tcPr>
            <w:tcW w:w="805" w:type="dxa"/>
            <w:shd w:val="clear" w:color="auto" w:fill="auto"/>
          </w:tcPr>
          <w:p w14:paraId="2F1DAE4E" w14:textId="5ABAF983" w:rsidR="00AB097C" w:rsidRPr="00155AFE" w:rsidRDefault="00AB097C" w:rsidP="00AB097C">
            <w:pPr>
              <w:suppressAutoHyphens/>
              <w:rPr>
                <w:szCs w:val="18"/>
                <w:lang w:val="en-US"/>
              </w:rPr>
            </w:pPr>
            <w:r w:rsidRPr="00155AFE">
              <w:rPr>
                <w:szCs w:val="18"/>
                <w:lang w:val="en-US"/>
              </w:rPr>
              <w:t>24525</w:t>
            </w:r>
          </w:p>
        </w:tc>
        <w:tc>
          <w:tcPr>
            <w:tcW w:w="810" w:type="dxa"/>
            <w:shd w:val="clear" w:color="auto" w:fill="auto"/>
          </w:tcPr>
          <w:p w14:paraId="520F2694" w14:textId="745825EF" w:rsidR="00AB097C" w:rsidRPr="00155AFE" w:rsidRDefault="00AB097C" w:rsidP="00155AFE">
            <w:pPr>
              <w:suppressAutoHyphens/>
              <w:rPr>
                <w:szCs w:val="18"/>
                <w:lang w:val="en-US"/>
              </w:rPr>
            </w:pPr>
          </w:p>
        </w:tc>
        <w:tc>
          <w:tcPr>
            <w:tcW w:w="810" w:type="dxa"/>
            <w:shd w:val="clear" w:color="auto" w:fill="auto"/>
          </w:tcPr>
          <w:p w14:paraId="2A47DB3A" w14:textId="74B442A0" w:rsidR="00AB097C" w:rsidRPr="00155AFE" w:rsidRDefault="00AB097C" w:rsidP="00155AFE">
            <w:pPr>
              <w:suppressAutoHyphens/>
              <w:rPr>
                <w:szCs w:val="18"/>
                <w:lang w:val="en-US"/>
              </w:rPr>
            </w:pPr>
          </w:p>
        </w:tc>
        <w:tc>
          <w:tcPr>
            <w:tcW w:w="2154" w:type="dxa"/>
            <w:shd w:val="clear" w:color="auto" w:fill="auto"/>
          </w:tcPr>
          <w:p w14:paraId="1CE41FC8" w14:textId="6AE8C5AD" w:rsidR="000D2C12" w:rsidRPr="000D2C12" w:rsidRDefault="000D2C12" w:rsidP="000D2C12">
            <w:pPr>
              <w:suppressAutoHyphens/>
              <w:rPr>
                <w:szCs w:val="18"/>
                <w:lang w:val="en-US"/>
              </w:rPr>
            </w:pPr>
            <w:r w:rsidRPr="000D2C12">
              <w:rPr>
                <w:szCs w:val="18"/>
                <w:lang w:val="en-US"/>
              </w:rPr>
              <w:t xml:space="preserve">A number of companies (led by Ericsson) are aggressively advocating in ETSI BRAN and 3GPP RAN1 that 802.11ax should use an ED threshold of -72 dBm when operating in the 6 GHz band. They are basing their campaign on simulations that purport to show both 802.11ax and NR-U are better off when using a maximum ED threshold of -72 dBm (NR-U already uses this threshold, whereas 802.11 uses an ED threshold of -62 dBm in combination with a PD threshold of -82 dBm). Interestingly, other </w:t>
            </w:r>
            <w:proofErr w:type="spellStart"/>
            <w:r w:rsidRPr="000D2C12">
              <w:rPr>
                <w:szCs w:val="18"/>
                <w:lang w:val="en-US"/>
              </w:rPr>
              <w:t>simuations</w:t>
            </w:r>
            <w:proofErr w:type="spellEnd"/>
            <w:r w:rsidRPr="000D2C12">
              <w:rPr>
                <w:szCs w:val="18"/>
                <w:lang w:val="en-US"/>
              </w:rPr>
              <w:t xml:space="preserve"> show that NR-U would be better off using 802.11's PD/ED mechanism. Some IEEE 802.11 WG individual members have advocated in the Coex SC for a similar change.</w:t>
            </w:r>
          </w:p>
          <w:p w14:paraId="76A40C33" w14:textId="77777777" w:rsidR="000D2C12" w:rsidRPr="000D2C12" w:rsidRDefault="000D2C12" w:rsidP="000D2C12">
            <w:pPr>
              <w:suppressAutoHyphens/>
              <w:rPr>
                <w:szCs w:val="18"/>
                <w:lang w:val="en-US"/>
              </w:rPr>
            </w:pPr>
          </w:p>
          <w:p w14:paraId="21B20348" w14:textId="0E750AD9" w:rsidR="00AB097C" w:rsidRPr="00155AFE" w:rsidRDefault="000D2C12" w:rsidP="000D2C12">
            <w:pPr>
              <w:suppressAutoHyphens/>
              <w:rPr>
                <w:szCs w:val="18"/>
                <w:lang w:val="en-US"/>
              </w:rPr>
            </w:pPr>
            <w:r w:rsidRPr="000D2C12">
              <w:rPr>
                <w:szCs w:val="18"/>
                <w:lang w:val="en-US"/>
              </w:rPr>
              <w:t xml:space="preserve">The proposed change is significant because it changes a basic parameter of 802.11 operation after 20+ years of successful operation. However, the proposal does deserve proper consideration. The Coex SC has discussed this proposal at length without consensus, but does not have the authority to agree such a significant change to 802.11ax anyway. It needs to be agreed in </w:t>
            </w:r>
            <w:proofErr w:type="spellStart"/>
            <w:r w:rsidRPr="000D2C12">
              <w:rPr>
                <w:szCs w:val="18"/>
                <w:lang w:val="en-US"/>
              </w:rPr>
              <w:t>TGax</w:t>
            </w:r>
            <w:proofErr w:type="spellEnd"/>
            <w:r w:rsidRPr="000D2C12">
              <w:rPr>
                <w:szCs w:val="18"/>
                <w:lang w:val="en-US"/>
              </w:rPr>
              <w:t>."</w:t>
            </w:r>
          </w:p>
        </w:tc>
        <w:tc>
          <w:tcPr>
            <w:tcW w:w="2166" w:type="dxa"/>
            <w:shd w:val="clear" w:color="auto" w:fill="auto"/>
          </w:tcPr>
          <w:p w14:paraId="15FE81B0" w14:textId="3E610FC9" w:rsidR="000D2C12" w:rsidRPr="000D2C12" w:rsidRDefault="000D2C12" w:rsidP="000D2C12">
            <w:pPr>
              <w:suppressAutoHyphens/>
              <w:rPr>
                <w:szCs w:val="18"/>
                <w:lang w:val="en-US"/>
              </w:rPr>
            </w:pPr>
            <w:r w:rsidRPr="000D2C12">
              <w:rPr>
                <w:szCs w:val="18"/>
                <w:lang w:val="en-US"/>
              </w:rPr>
              <w:t xml:space="preserve">For the purposes of starting discussion on this issue, I would like to propose that the ED threshold for 802.11ax operation in the 6 GHz band be changed from -62 dBm to -72 dBm (note the specification of -72 dBm applies only when the maximum transmit power is &gt;= 23 dBm. A more complete specification of the proposed threshold is in EN 301 893 v2.1.1 clause 4.2.7.3.2.5, option 2). I will leave it to the experts in </w:t>
            </w:r>
            <w:proofErr w:type="spellStart"/>
            <w:r w:rsidRPr="000D2C12">
              <w:rPr>
                <w:szCs w:val="18"/>
                <w:lang w:val="en-US"/>
              </w:rPr>
              <w:t>TGax</w:t>
            </w:r>
            <w:proofErr w:type="spellEnd"/>
            <w:r w:rsidRPr="000D2C12">
              <w:rPr>
                <w:szCs w:val="18"/>
                <w:lang w:val="en-US"/>
              </w:rPr>
              <w:t xml:space="preserve"> to determine where this change should occur in the 802.11ax draft.</w:t>
            </w:r>
          </w:p>
          <w:p w14:paraId="5FC1EC84" w14:textId="77777777" w:rsidR="000D2C12" w:rsidRPr="000D2C12" w:rsidRDefault="000D2C12" w:rsidP="000D2C12">
            <w:pPr>
              <w:suppressAutoHyphens/>
              <w:rPr>
                <w:szCs w:val="18"/>
                <w:lang w:val="en-US"/>
              </w:rPr>
            </w:pPr>
          </w:p>
          <w:p w14:paraId="1291FED7" w14:textId="2D9B6AE8" w:rsidR="00155AFE" w:rsidRPr="00155AFE" w:rsidRDefault="000D2C12" w:rsidP="000D2C12">
            <w:pPr>
              <w:suppressAutoHyphens/>
              <w:rPr>
                <w:szCs w:val="18"/>
                <w:lang w:val="en-US"/>
              </w:rPr>
            </w:pPr>
            <w:r w:rsidRPr="000D2C12">
              <w:rPr>
                <w:szCs w:val="18"/>
                <w:lang w:val="en-US"/>
              </w:rPr>
              <w:t xml:space="preserve">Personally, I am against this change (there are some good technical reasons to reject the proposal, which I am happy to provide to </w:t>
            </w:r>
            <w:proofErr w:type="spellStart"/>
            <w:r w:rsidRPr="000D2C12">
              <w:rPr>
                <w:szCs w:val="18"/>
                <w:lang w:val="en-US"/>
              </w:rPr>
              <w:t>TGax</w:t>
            </w:r>
            <w:proofErr w:type="spellEnd"/>
            <w:r w:rsidRPr="000D2C12">
              <w:rPr>
                <w:szCs w:val="18"/>
                <w:lang w:val="en-US"/>
              </w:rPr>
              <w:t xml:space="preserve">). The benefit  of </w:t>
            </w:r>
            <w:proofErr w:type="spellStart"/>
            <w:r w:rsidRPr="000D2C12">
              <w:rPr>
                <w:szCs w:val="18"/>
                <w:lang w:val="en-US"/>
              </w:rPr>
              <w:t>TGax</w:t>
            </w:r>
            <w:proofErr w:type="spellEnd"/>
            <w:r w:rsidRPr="000D2C12">
              <w:rPr>
                <w:szCs w:val="18"/>
                <w:lang w:val="en-US"/>
              </w:rPr>
              <w:t xml:space="preserve"> rejecting (or accepting) the proposed change is that it will give the IEEE 802.11 Coex SC direction on possible LSs on this topic to ETSI BRAN and 3GPP RAN1."</w:t>
            </w:r>
          </w:p>
        </w:tc>
        <w:tc>
          <w:tcPr>
            <w:tcW w:w="2430" w:type="dxa"/>
            <w:shd w:val="clear" w:color="auto" w:fill="auto"/>
          </w:tcPr>
          <w:p w14:paraId="05EA27EB" w14:textId="4D4279F4" w:rsidR="00AB097C" w:rsidRPr="00155AFE" w:rsidRDefault="00155AFE" w:rsidP="002414F1">
            <w:pPr>
              <w:suppressAutoHyphens/>
              <w:rPr>
                <w:szCs w:val="18"/>
                <w:lang w:val="en-US"/>
              </w:rPr>
            </w:pPr>
            <w:r w:rsidRPr="00155AFE">
              <w:rPr>
                <w:szCs w:val="18"/>
                <w:lang w:val="en-US"/>
              </w:rPr>
              <w:t>Rejected</w:t>
            </w:r>
          </w:p>
          <w:p w14:paraId="030A237D" w14:textId="77777777" w:rsidR="00AB097C" w:rsidRPr="00155AFE" w:rsidRDefault="00AB097C" w:rsidP="002414F1">
            <w:pPr>
              <w:suppressAutoHyphens/>
              <w:rPr>
                <w:szCs w:val="18"/>
                <w:lang w:val="en-US"/>
              </w:rPr>
            </w:pPr>
          </w:p>
          <w:p w14:paraId="17A67143" w14:textId="1D4FE4A9" w:rsidR="00D0563F" w:rsidRDefault="00D0563F" w:rsidP="00D0563F">
            <w:pPr>
              <w:pStyle w:val="T1"/>
              <w:suppressAutoHyphens/>
              <w:spacing w:after="120"/>
              <w:jc w:val="left"/>
              <w:rPr>
                <w:b w:val="0"/>
                <w:bCs/>
                <w:iCs/>
                <w:color w:val="000000"/>
                <w:sz w:val="20"/>
              </w:rPr>
            </w:pPr>
            <w:r>
              <w:rPr>
                <w:b w:val="0"/>
                <w:bCs/>
                <w:iCs/>
                <w:color w:val="000000"/>
                <w:sz w:val="20"/>
              </w:rPr>
              <w:t xml:space="preserve">The proposed resolution </w:t>
            </w:r>
            <w:r w:rsidRPr="000D2C12">
              <w:rPr>
                <w:b w:val="0"/>
                <w:bCs/>
                <w:iCs/>
                <w:color w:val="000000"/>
                <w:sz w:val="20"/>
              </w:rPr>
              <w:t>contains insufficient detail to allow the ED</w:t>
            </w:r>
            <w:r w:rsidR="008D6109">
              <w:rPr>
                <w:b w:val="0"/>
                <w:bCs/>
                <w:iCs/>
                <w:color w:val="000000"/>
                <w:sz w:val="20"/>
              </w:rPr>
              <w:t xml:space="preserve"> threshold</w:t>
            </w:r>
            <w:r w:rsidRPr="000D2C12">
              <w:rPr>
                <w:b w:val="0"/>
                <w:bCs/>
                <w:iCs/>
                <w:color w:val="000000"/>
                <w:sz w:val="20"/>
              </w:rPr>
              <w:t xml:space="preserve"> for 802.11ax operation in the 6 GHz band be changed from -62 dBm to -72 dBm (or for the PD</w:t>
            </w:r>
            <w:r w:rsidR="008D6109">
              <w:rPr>
                <w:b w:val="0"/>
                <w:bCs/>
                <w:iCs/>
                <w:color w:val="000000"/>
                <w:sz w:val="20"/>
              </w:rPr>
              <w:t xml:space="preserve"> threshold</w:t>
            </w:r>
            <w:r w:rsidRPr="000D2C12">
              <w:rPr>
                <w:b w:val="0"/>
                <w:bCs/>
                <w:iCs/>
                <w:color w:val="000000"/>
                <w:sz w:val="20"/>
              </w:rPr>
              <w:t xml:space="preserve"> to be changed from -82 dBm to -72 dBm).</w:t>
            </w:r>
          </w:p>
          <w:p w14:paraId="1AD7315C" w14:textId="72250930" w:rsidR="00155AFE" w:rsidRPr="00155AFE" w:rsidRDefault="00155AFE" w:rsidP="000D2C12">
            <w:pPr>
              <w:tabs>
                <w:tab w:val="num" w:pos="2160"/>
              </w:tabs>
              <w:suppressAutoHyphens/>
              <w:rPr>
                <w:szCs w:val="18"/>
                <w:lang w:val="en-US"/>
              </w:rPr>
            </w:pPr>
          </w:p>
        </w:tc>
      </w:tr>
    </w:tbl>
    <w:p w14:paraId="5F18CA15" w14:textId="7D4901AF" w:rsidR="007B12EA" w:rsidRPr="00155AFE" w:rsidRDefault="007B12EA" w:rsidP="00155AFE">
      <w:pPr>
        <w:suppressAutoHyphens/>
        <w:rPr>
          <w:szCs w:val="18"/>
          <w:lang w:val="en-US"/>
        </w:rPr>
      </w:pPr>
    </w:p>
    <w:p w14:paraId="00804A21" w14:textId="77777777" w:rsidR="007B12EA" w:rsidRDefault="007B12EA" w:rsidP="007B12EA">
      <w:pPr>
        <w:jc w:val="center"/>
        <w:rPr>
          <w:rFonts w:eastAsia="MS Mincho"/>
          <w:bCs/>
          <w:iCs/>
          <w:color w:val="000000"/>
          <w:sz w:val="20"/>
        </w:rPr>
      </w:pPr>
    </w:p>
    <w:sectPr w:rsidR="007B12EA"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43FB" w14:textId="77777777" w:rsidR="009D2183" w:rsidRDefault="009D2183">
      <w:r>
        <w:separator/>
      </w:r>
    </w:p>
  </w:endnote>
  <w:endnote w:type="continuationSeparator" w:id="0">
    <w:p w14:paraId="450BA8B2" w14:textId="77777777" w:rsidR="009D2183" w:rsidRDefault="009D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AFDD" w14:textId="3B054F7F" w:rsidR="000864D4" w:rsidRDefault="00E51DB4">
    <w:pPr>
      <w:pStyle w:val="Footer"/>
      <w:tabs>
        <w:tab w:val="clear" w:pos="6480"/>
        <w:tab w:val="center" w:pos="4680"/>
        <w:tab w:val="right" w:pos="9360"/>
      </w:tabs>
    </w:pPr>
    <w:fldSimple w:instr=" SUBJECT  \* MERGEFORMAT ">
      <w:r w:rsidR="007B12EA">
        <w:t>Submission</w:t>
      </w:r>
    </w:fldSimple>
    <w:r w:rsidR="000864D4">
      <w:tab/>
      <w:t xml:space="preserve">page </w:t>
    </w:r>
    <w:r w:rsidR="000864D4">
      <w:fldChar w:fldCharType="begin"/>
    </w:r>
    <w:r w:rsidR="000864D4">
      <w:instrText xml:space="preserve">page </w:instrText>
    </w:r>
    <w:r w:rsidR="000864D4">
      <w:fldChar w:fldCharType="separate"/>
    </w:r>
    <w:r w:rsidR="009E01F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D2C12">
      <w:rPr>
        <w:rFonts w:eastAsia="SimSun"/>
        <w:noProof/>
        <w:sz w:val="21"/>
        <w:szCs w:val="21"/>
        <w:lang w:eastAsia="zh-CN"/>
      </w:rPr>
      <w:t>Andrew Myles</w:t>
    </w:r>
    <w:r w:rsidR="000864D4">
      <w:rPr>
        <w:rFonts w:eastAsia="SimSun"/>
        <w:sz w:val="21"/>
        <w:szCs w:val="21"/>
        <w:lang w:eastAsia="zh-CN"/>
      </w:rPr>
      <w:fldChar w:fldCharType="end"/>
    </w:r>
  </w:p>
  <w:p w14:paraId="1F078881" w14:textId="77777777"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CF052" w14:textId="77777777" w:rsidR="009D2183" w:rsidRDefault="009D2183">
      <w:r>
        <w:separator/>
      </w:r>
    </w:p>
  </w:footnote>
  <w:footnote w:type="continuationSeparator" w:id="0">
    <w:p w14:paraId="0267046A" w14:textId="77777777" w:rsidR="009D2183" w:rsidRDefault="009D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1501" w14:textId="3A7FD133" w:rsidR="000864D4" w:rsidRDefault="00E51DB4">
    <w:pPr>
      <w:pStyle w:val="Header"/>
      <w:tabs>
        <w:tab w:val="clear" w:pos="6480"/>
        <w:tab w:val="center" w:pos="4680"/>
        <w:tab w:val="right" w:pos="9360"/>
      </w:tabs>
    </w:pPr>
    <w:fldSimple w:instr=" KEYWORDS   \* MERGEFORMAT ">
      <w:r w:rsidR="000D2C12">
        <w:t>July</w:t>
      </w:r>
      <w:r w:rsidR="007B12EA">
        <w:t xml:space="preserve"> 2020</w:t>
      </w:r>
    </w:fldSimple>
    <w:r w:rsidR="000864D4">
      <w:tab/>
    </w:r>
    <w:r w:rsidR="000864D4">
      <w:tab/>
    </w:r>
    <w:fldSimple w:instr=" TITLE  \* MERGEFORMAT ">
      <w:r w:rsidR="007E019F">
        <w:t>doc.: IEEE 802.11-20/</w:t>
      </w:r>
      <w:r w:rsidR="00580863">
        <w:t>1070</w:t>
      </w:r>
      <w:r w:rsidR="000D2C12">
        <w:t>r</w:t>
      </w:r>
      <w:r w:rsidR="008D610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BAB"/>
    <w:multiLevelType w:val="hybridMultilevel"/>
    <w:tmpl w:val="32E4A448"/>
    <w:lvl w:ilvl="0" w:tplc="7E46B822">
      <w:numFmt w:val="bullet"/>
      <w:lvlText w:val="•"/>
      <w:lvlJc w:val="left"/>
      <w:pPr>
        <w:ind w:left="420" w:hanging="420"/>
      </w:pPr>
      <w:rPr>
        <w:rFonts w:ascii="Times New Roman" w:eastAsia="Malgun Gothic"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F7EFE"/>
    <w:multiLevelType w:val="hybridMultilevel"/>
    <w:tmpl w:val="73948BD8"/>
    <w:lvl w:ilvl="0" w:tplc="56184CFE">
      <w:start w:val="1"/>
      <w:numFmt w:val="bullet"/>
      <w:lvlText w:val="–"/>
      <w:lvlJc w:val="left"/>
      <w:pPr>
        <w:tabs>
          <w:tab w:val="num" w:pos="720"/>
        </w:tabs>
        <w:ind w:left="720" w:hanging="360"/>
      </w:pPr>
      <w:rPr>
        <w:rFonts w:ascii="Times New Roman" w:hAnsi="Times New Roman" w:hint="default"/>
      </w:rPr>
    </w:lvl>
    <w:lvl w:ilvl="1" w:tplc="0472FAA6">
      <w:start w:val="1"/>
      <w:numFmt w:val="bullet"/>
      <w:lvlText w:val="–"/>
      <w:lvlJc w:val="left"/>
      <w:pPr>
        <w:tabs>
          <w:tab w:val="num" w:pos="1440"/>
        </w:tabs>
        <w:ind w:left="1440" w:hanging="360"/>
      </w:pPr>
      <w:rPr>
        <w:rFonts w:ascii="Times New Roman" w:hAnsi="Times New Roman" w:hint="default"/>
      </w:rPr>
    </w:lvl>
    <w:lvl w:ilvl="2" w:tplc="3C2E1A32" w:tentative="1">
      <w:start w:val="1"/>
      <w:numFmt w:val="bullet"/>
      <w:lvlText w:val="–"/>
      <w:lvlJc w:val="left"/>
      <w:pPr>
        <w:tabs>
          <w:tab w:val="num" w:pos="2160"/>
        </w:tabs>
        <w:ind w:left="2160" w:hanging="360"/>
      </w:pPr>
      <w:rPr>
        <w:rFonts w:ascii="Times New Roman" w:hAnsi="Times New Roman" w:hint="default"/>
      </w:rPr>
    </w:lvl>
    <w:lvl w:ilvl="3" w:tplc="3F26EC08" w:tentative="1">
      <w:start w:val="1"/>
      <w:numFmt w:val="bullet"/>
      <w:lvlText w:val="–"/>
      <w:lvlJc w:val="left"/>
      <w:pPr>
        <w:tabs>
          <w:tab w:val="num" w:pos="2880"/>
        </w:tabs>
        <w:ind w:left="2880" w:hanging="360"/>
      </w:pPr>
      <w:rPr>
        <w:rFonts w:ascii="Times New Roman" w:hAnsi="Times New Roman" w:hint="default"/>
      </w:rPr>
    </w:lvl>
    <w:lvl w:ilvl="4" w:tplc="940E57D2" w:tentative="1">
      <w:start w:val="1"/>
      <w:numFmt w:val="bullet"/>
      <w:lvlText w:val="–"/>
      <w:lvlJc w:val="left"/>
      <w:pPr>
        <w:tabs>
          <w:tab w:val="num" w:pos="3600"/>
        </w:tabs>
        <w:ind w:left="3600" w:hanging="360"/>
      </w:pPr>
      <w:rPr>
        <w:rFonts w:ascii="Times New Roman" w:hAnsi="Times New Roman" w:hint="default"/>
      </w:rPr>
    </w:lvl>
    <w:lvl w:ilvl="5" w:tplc="67DA7728" w:tentative="1">
      <w:start w:val="1"/>
      <w:numFmt w:val="bullet"/>
      <w:lvlText w:val="–"/>
      <w:lvlJc w:val="left"/>
      <w:pPr>
        <w:tabs>
          <w:tab w:val="num" w:pos="4320"/>
        </w:tabs>
        <w:ind w:left="4320" w:hanging="360"/>
      </w:pPr>
      <w:rPr>
        <w:rFonts w:ascii="Times New Roman" w:hAnsi="Times New Roman" w:hint="default"/>
      </w:rPr>
    </w:lvl>
    <w:lvl w:ilvl="6" w:tplc="C564199C" w:tentative="1">
      <w:start w:val="1"/>
      <w:numFmt w:val="bullet"/>
      <w:lvlText w:val="–"/>
      <w:lvlJc w:val="left"/>
      <w:pPr>
        <w:tabs>
          <w:tab w:val="num" w:pos="5040"/>
        </w:tabs>
        <w:ind w:left="5040" w:hanging="360"/>
      </w:pPr>
      <w:rPr>
        <w:rFonts w:ascii="Times New Roman" w:hAnsi="Times New Roman" w:hint="default"/>
      </w:rPr>
    </w:lvl>
    <w:lvl w:ilvl="7" w:tplc="C2ACF4A6" w:tentative="1">
      <w:start w:val="1"/>
      <w:numFmt w:val="bullet"/>
      <w:lvlText w:val="–"/>
      <w:lvlJc w:val="left"/>
      <w:pPr>
        <w:tabs>
          <w:tab w:val="num" w:pos="5760"/>
        </w:tabs>
        <w:ind w:left="5760" w:hanging="360"/>
      </w:pPr>
      <w:rPr>
        <w:rFonts w:ascii="Times New Roman" w:hAnsi="Times New Roman" w:hint="default"/>
      </w:rPr>
    </w:lvl>
    <w:lvl w:ilvl="8" w:tplc="2E38A4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8333AB"/>
    <w:multiLevelType w:val="hybridMultilevel"/>
    <w:tmpl w:val="C0EE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5B2F26"/>
    <w:multiLevelType w:val="hybridMultilevel"/>
    <w:tmpl w:val="A28C3E6C"/>
    <w:lvl w:ilvl="0" w:tplc="7E46B822">
      <w:numFmt w:val="bullet"/>
      <w:lvlText w:val="•"/>
      <w:lvlJc w:val="left"/>
      <w:pPr>
        <w:ind w:left="780" w:hanging="42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204D4"/>
    <w:multiLevelType w:val="hybridMultilevel"/>
    <w:tmpl w:val="D58AA47A"/>
    <w:lvl w:ilvl="0" w:tplc="5E068988">
      <w:start w:val="1"/>
      <w:numFmt w:val="bullet"/>
      <w:lvlText w:val="•"/>
      <w:lvlJc w:val="left"/>
      <w:pPr>
        <w:tabs>
          <w:tab w:val="num" w:pos="720"/>
        </w:tabs>
        <w:ind w:left="720" w:hanging="360"/>
      </w:pPr>
      <w:rPr>
        <w:rFonts w:ascii="Times New Roman" w:hAnsi="Times New Roman" w:hint="default"/>
      </w:rPr>
    </w:lvl>
    <w:lvl w:ilvl="1" w:tplc="AD504CD2" w:tentative="1">
      <w:start w:val="1"/>
      <w:numFmt w:val="bullet"/>
      <w:lvlText w:val="•"/>
      <w:lvlJc w:val="left"/>
      <w:pPr>
        <w:tabs>
          <w:tab w:val="num" w:pos="1440"/>
        </w:tabs>
        <w:ind w:left="1440" w:hanging="360"/>
      </w:pPr>
      <w:rPr>
        <w:rFonts w:ascii="Times New Roman" w:hAnsi="Times New Roman" w:hint="default"/>
      </w:rPr>
    </w:lvl>
    <w:lvl w:ilvl="2" w:tplc="6C0CA95A">
      <w:start w:val="1"/>
      <w:numFmt w:val="bullet"/>
      <w:lvlText w:val="•"/>
      <w:lvlJc w:val="left"/>
      <w:pPr>
        <w:tabs>
          <w:tab w:val="num" w:pos="2160"/>
        </w:tabs>
        <w:ind w:left="2160" w:hanging="360"/>
      </w:pPr>
      <w:rPr>
        <w:rFonts w:ascii="Times New Roman" w:hAnsi="Times New Roman" w:hint="default"/>
      </w:rPr>
    </w:lvl>
    <w:lvl w:ilvl="3" w:tplc="941A48EC" w:tentative="1">
      <w:start w:val="1"/>
      <w:numFmt w:val="bullet"/>
      <w:lvlText w:val="•"/>
      <w:lvlJc w:val="left"/>
      <w:pPr>
        <w:tabs>
          <w:tab w:val="num" w:pos="2880"/>
        </w:tabs>
        <w:ind w:left="2880" w:hanging="360"/>
      </w:pPr>
      <w:rPr>
        <w:rFonts w:ascii="Times New Roman" w:hAnsi="Times New Roman" w:hint="default"/>
      </w:rPr>
    </w:lvl>
    <w:lvl w:ilvl="4" w:tplc="F01045BE" w:tentative="1">
      <w:start w:val="1"/>
      <w:numFmt w:val="bullet"/>
      <w:lvlText w:val="•"/>
      <w:lvlJc w:val="left"/>
      <w:pPr>
        <w:tabs>
          <w:tab w:val="num" w:pos="3600"/>
        </w:tabs>
        <w:ind w:left="3600" w:hanging="360"/>
      </w:pPr>
      <w:rPr>
        <w:rFonts w:ascii="Times New Roman" w:hAnsi="Times New Roman" w:hint="default"/>
      </w:rPr>
    </w:lvl>
    <w:lvl w:ilvl="5" w:tplc="140447BE" w:tentative="1">
      <w:start w:val="1"/>
      <w:numFmt w:val="bullet"/>
      <w:lvlText w:val="•"/>
      <w:lvlJc w:val="left"/>
      <w:pPr>
        <w:tabs>
          <w:tab w:val="num" w:pos="4320"/>
        </w:tabs>
        <w:ind w:left="4320" w:hanging="360"/>
      </w:pPr>
      <w:rPr>
        <w:rFonts w:ascii="Times New Roman" w:hAnsi="Times New Roman" w:hint="default"/>
      </w:rPr>
    </w:lvl>
    <w:lvl w:ilvl="6" w:tplc="AFE8F730" w:tentative="1">
      <w:start w:val="1"/>
      <w:numFmt w:val="bullet"/>
      <w:lvlText w:val="•"/>
      <w:lvlJc w:val="left"/>
      <w:pPr>
        <w:tabs>
          <w:tab w:val="num" w:pos="5040"/>
        </w:tabs>
        <w:ind w:left="5040" w:hanging="360"/>
      </w:pPr>
      <w:rPr>
        <w:rFonts w:ascii="Times New Roman" w:hAnsi="Times New Roman" w:hint="default"/>
      </w:rPr>
    </w:lvl>
    <w:lvl w:ilvl="7" w:tplc="80F81696" w:tentative="1">
      <w:start w:val="1"/>
      <w:numFmt w:val="bullet"/>
      <w:lvlText w:val="•"/>
      <w:lvlJc w:val="left"/>
      <w:pPr>
        <w:tabs>
          <w:tab w:val="num" w:pos="5760"/>
        </w:tabs>
        <w:ind w:left="5760" w:hanging="360"/>
      </w:pPr>
      <w:rPr>
        <w:rFonts w:ascii="Times New Roman" w:hAnsi="Times New Roman" w:hint="default"/>
      </w:rPr>
    </w:lvl>
    <w:lvl w:ilvl="8" w:tplc="EABE416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6"/>
  </w:num>
  <w:num w:numId="3">
    <w:abstractNumId w:val="12"/>
  </w:num>
  <w:num w:numId="4">
    <w:abstractNumId w:val="4"/>
  </w:num>
  <w:num w:numId="5">
    <w:abstractNumId w:val="8"/>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5"/>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1"/>
  </w:num>
  <w:num w:numId="19">
    <w:abstractNumId w:val="3"/>
  </w:num>
  <w:num w:numId="20">
    <w:abstractNumId w:val="7"/>
  </w:num>
  <w:num w:numId="21">
    <w:abstractNumId w:val="11"/>
  </w:num>
  <w:num w:numId="22">
    <w:abstractNumId w:val="10"/>
  </w:num>
  <w:num w:numId="23">
    <w:abstractNumId w:val="14"/>
  </w:num>
  <w:num w:numId="24">
    <w:abstractNumId w:val="17"/>
  </w:num>
  <w:num w:numId="25">
    <w:abstractNumId w:val="15"/>
  </w:num>
  <w:num w:numId="26">
    <w:abstractNumId w:val="16"/>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5EC7"/>
    <w:rsid w:val="000864D4"/>
    <w:rsid w:val="000865AA"/>
    <w:rsid w:val="00086780"/>
    <w:rsid w:val="00086C10"/>
    <w:rsid w:val="00087113"/>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C12"/>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5AFE"/>
    <w:rsid w:val="00156135"/>
    <w:rsid w:val="00157586"/>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079F"/>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4E03"/>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3D0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F9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562A"/>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03"/>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272"/>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424"/>
    <w:rsid w:val="005579B9"/>
    <w:rsid w:val="00557C98"/>
    <w:rsid w:val="00561113"/>
    <w:rsid w:val="0056123A"/>
    <w:rsid w:val="00562627"/>
    <w:rsid w:val="0056327A"/>
    <w:rsid w:val="00563B85"/>
    <w:rsid w:val="00564672"/>
    <w:rsid w:val="00566240"/>
    <w:rsid w:val="00567934"/>
    <w:rsid w:val="00570136"/>
    <w:rsid w:val="00570158"/>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63"/>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81"/>
    <w:rsid w:val="006117D4"/>
    <w:rsid w:val="00612605"/>
    <w:rsid w:val="00612729"/>
    <w:rsid w:val="00612A92"/>
    <w:rsid w:val="00613365"/>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75C"/>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46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19F"/>
    <w:rsid w:val="007E0339"/>
    <w:rsid w:val="007E11B3"/>
    <w:rsid w:val="007E1482"/>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13BF"/>
    <w:rsid w:val="00842C27"/>
    <w:rsid w:val="00842C5E"/>
    <w:rsid w:val="00842E36"/>
    <w:rsid w:val="0084413F"/>
    <w:rsid w:val="00844DEA"/>
    <w:rsid w:val="00847535"/>
    <w:rsid w:val="00847CF2"/>
    <w:rsid w:val="00850365"/>
    <w:rsid w:val="00850566"/>
    <w:rsid w:val="00851915"/>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109"/>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2183"/>
    <w:rsid w:val="009D3276"/>
    <w:rsid w:val="009D3715"/>
    <w:rsid w:val="009D444C"/>
    <w:rsid w:val="009D4525"/>
    <w:rsid w:val="009D473A"/>
    <w:rsid w:val="009D4B14"/>
    <w:rsid w:val="009D5952"/>
    <w:rsid w:val="009D6386"/>
    <w:rsid w:val="009E01F9"/>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59"/>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97C"/>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505B"/>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436"/>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2F9F"/>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1A21"/>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63F"/>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28B5"/>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1DB4"/>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29F5"/>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934"/>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F11A7"/>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17317275">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662562">
      <w:bodyDiv w:val="1"/>
      <w:marLeft w:val="0"/>
      <w:marRight w:val="0"/>
      <w:marTop w:val="0"/>
      <w:marBottom w:val="0"/>
      <w:divBdr>
        <w:top w:val="none" w:sz="0" w:space="0" w:color="auto"/>
        <w:left w:val="none" w:sz="0" w:space="0" w:color="auto"/>
        <w:bottom w:val="none" w:sz="0" w:space="0" w:color="auto"/>
        <w:right w:val="none" w:sz="0" w:space="0" w:color="auto"/>
      </w:divBdr>
      <w:divsChild>
        <w:div w:id="1923642093">
          <w:marLeft w:val="1714"/>
          <w:marRight w:val="0"/>
          <w:marTop w:val="77"/>
          <w:marBottom w:val="0"/>
          <w:divBdr>
            <w:top w:val="none" w:sz="0" w:space="0" w:color="auto"/>
            <w:left w:val="none" w:sz="0" w:space="0" w:color="auto"/>
            <w:bottom w:val="none" w:sz="0" w:space="0" w:color="auto"/>
            <w:right w:val="none" w:sz="0" w:space="0" w:color="auto"/>
          </w:divBdr>
        </w:div>
      </w:divsChild>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47013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366">
          <w:marLeft w:val="1166"/>
          <w:marRight w:val="0"/>
          <w:marTop w:val="86"/>
          <w:marBottom w:val="0"/>
          <w:divBdr>
            <w:top w:val="none" w:sz="0" w:space="0" w:color="auto"/>
            <w:left w:val="none" w:sz="0" w:space="0" w:color="auto"/>
            <w:bottom w:val="none" w:sz="0" w:space="0" w:color="auto"/>
            <w:right w:val="none" w:sz="0" w:space="0" w:color="auto"/>
          </w:divBdr>
        </w:div>
      </w:divsChild>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2120903">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1D34-871C-4149-9DB8-50B217397E8B}">
  <ds:schemaRefs>
    <ds:schemaRef ds:uri="http://schemas.openxmlformats.org/officeDocument/2006/bibliography"/>
  </ds:schemaRefs>
</ds:datastoreItem>
</file>

<file path=customXml/itemProps2.xml><?xml version="1.0" encoding="utf-8"?>
<ds:datastoreItem xmlns:ds="http://schemas.openxmlformats.org/officeDocument/2006/customXml" ds:itemID="{648A07AF-7115-4C67-A439-C39EA6C238F7}">
  <ds:schemaRefs>
    <ds:schemaRef ds:uri="http://schemas.openxmlformats.org/officeDocument/2006/bibliography"/>
  </ds:schemaRefs>
</ds:datastoreItem>
</file>

<file path=customXml/itemProps3.xml><?xml version="1.0" encoding="utf-8"?>
<ds:datastoreItem xmlns:ds="http://schemas.openxmlformats.org/officeDocument/2006/customXml" ds:itemID="{11887B7D-E33B-46E4-9761-1B11CBA5D4FD}">
  <ds:schemaRefs>
    <ds:schemaRef ds:uri="http://schemas.openxmlformats.org/officeDocument/2006/bibliography"/>
  </ds:schemaRefs>
</ds:datastoreItem>
</file>

<file path=customXml/itemProps4.xml><?xml version="1.0" encoding="utf-8"?>
<ds:datastoreItem xmlns:ds="http://schemas.openxmlformats.org/officeDocument/2006/customXml" ds:itemID="{9058C53F-82BE-4E2B-A36E-067DD2F7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917</Words>
  <Characters>5230</Characters>
  <Application>Microsoft Office Word</Application>
  <DocSecurity>0</DocSecurity>
  <Lines>43</Lines>
  <Paragraphs>12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6135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Andrew Myles (amyles)</cp:lastModifiedBy>
  <cp:revision>4</cp:revision>
  <cp:lastPrinted>2010-05-04T01:47:00Z</cp:lastPrinted>
  <dcterms:created xsi:type="dcterms:W3CDTF">2020-07-16T05:43:00Z</dcterms:created>
  <dcterms:modified xsi:type="dcterms:W3CDTF">2020-07-16T05:51:00Z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C:\Users\mrison\AppData\Local\Temp\11-20-0851-02-00ax-comment-resolution-related-to-qtp.docx</vt:lpwstr>
  </property>
</Properties>
</file>