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r>
              <w:t>TG</w:t>
            </w:r>
            <w:r w:rsidR="00F657FF">
              <w:t>be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042CB6A9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910838">
              <w:rPr>
                <w:b w:val="0"/>
                <w:sz w:val="20"/>
              </w:rPr>
              <w:t>0</w:t>
            </w:r>
            <w:r w:rsidR="00593F28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593F28">
              <w:rPr>
                <w:b w:val="0"/>
                <w:sz w:val="20"/>
              </w:rPr>
              <w:t>02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36C7A" w:rsidRDefault="00E36C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E36C7A" w:rsidRDefault="00E36C7A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FE5A46">
                              <w:t>a table with the spec text volunteers and status updates for TGbe D0.1</w:t>
                            </w:r>
                            <w:r>
                              <w:t>.</w:t>
                            </w:r>
                          </w:p>
                          <w:p w14:paraId="370DF1EB" w14:textId="77777777" w:rsidR="00E36C7A" w:rsidRDefault="00E36C7A">
                            <w:pPr>
                              <w:jc w:val="both"/>
                            </w:pPr>
                          </w:p>
                          <w:p w14:paraId="1D099F7C" w14:textId="77777777" w:rsidR="00E36C7A" w:rsidRPr="00353E2D" w:rsidRDefault="00E36C7A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D86441" w:rsidRDefault="00E36C7A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9278396" w:rsidR="00530BD3" w:rsidRDefault="00530BD3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</w:t>
                            </w:r>
                            <w:r w:rsidR="00B30B33">
                              <w:rPr>
                                <w:sz w:val="22"/>
                              </w:rPr>
                              <w:t xml:space="preserve"> (</w:t>
                            </w:r>
                            <w:r w:rsidR="00B30B33"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 w:rsidR="00B30B33"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32809740" w14:textId="412AA213" w:rsidR="00935D59" w:rsidRDefault="00935D59" w:rsidP="00935D59">
                            <w:pPr>
                              <w:jc w:val="both"/>
                            </w:pPr>
                          </w:p>
                          <w:p w14:paraId="1B988926" w14:textId="45D243E8" w:rsidR="00935D59" w:rsidRDefault="00935D59" w:rsidP="00935D59">
                            <w:pPr>
                              <w:jc w:val="both"/>
                            </w:pPr>
                          </w:p>
                          <w:p w14:paraId="2E83F19A" w14:textId="16D85E04" w:rsidR="00935D59" w:rsidRDefault="00935D59" w:rsidP="00935D59">
                            <w:pPr>
                              <w:jc w:val="both"/>
                            </w:pPr>
                          </w:p>
                          <w:p w14:paraId="059B745B" w14:textId="37CB83AD" w:rsidR="00935D59" w:rsidRDefault="00935D59" w:rsidP="00935D59">
                            <w:pPr>
                              <w:jc w:val="both"/>
                            </w:pPr>
                          </w:p>
                          <w:p w14:paraId="15875BAB" w14:textId="04D45E1B" w:rsidR="00935D59" w:rsidRDefault="00935D59" w:rsidP="00935D59">
                            <w:pPr>
                              <w:jc w:val="both"/>
                            </w:pPr>
                          </w:p>
                          <w:p w14:paraId="622AE103" w14:textId="22071A91" w:rsidR="00935D59" w:rsidRDefault="00935D59" w:rsidP="00935D59">
                            <w:pPr>
                              <w:jc w:val="both"/>
                            </w:pPr>
                          </w:p>
                          <w:p w14:paraId="0592E46D" w14:textId="6F51E277" w:rsidR="00935D59" w:rsidRDefault="00935D59" w:rsidP="00935D59">
                            <w:pPr>
                              <w:jc w:val="both"/>
                            </w:pPr>
                          </w:p>
                          <w:p w14:paraId="3369EA44" w14:textId="014CF013" w:rsidR="00935D59" w:rsidRDefault="00935D59" w:rsidP="00935D59">
                            <w:pPr>
                              <w:jc w:val="both"/>
                            </w:pPr>
                          </w:p>
                          <w:p w14:paraId="7FA2B34F" w14:textId="1FC5D690" w:rsidR="00935D59" w:rsidRDefault="00935D59" w:rsidP="00935D59">
                            <w:pPr>
                              <w:jc w:val="both"/>
                            </w:pPr>
                          </w:p>
                          <w:p w14:paraId="03C510E2" w14:textId="3A2554EA" w:rsidR="00935D59" w:rsidRDefault="00935D59" w:rsidP="00935D59">
                            <w:pPr>
                              <w:jc w:val="both"/>
                            </w:pPr>
                          </w:p>
                          <w:p w14:paraId="4537724B" w14:textId="7B28868D" w:rsidR="00935D59" w:rsidRDefault="00935D59" w:rsidP="00935D59">
                            <w:pPr>
                              <w:jc w:val="both"/>
                            </w:pPr>
                          </w:p>
                          <w:p w14:paraId="5CBED139" w14:textId="1F6D573E" w:rsidR="00935D59" w:rsidRDefault="00935D59" w:rsidP="00935D59">
                            <w:pPr>
                              <w:jc w:val="both"/>
                            </w:pPr>
                          </w:p>
                          <w:p w14:paraId="40B8AFB4" w14:textId="08395F7D" w:rsidR="00935D59" w:rsidRDefault="00935D59" w:rsidP="00935D59">
                            <w:pPr>
                              <w:jc w:val="both"/>
                            </w:pPr>
                          </w:p>
                          <w:p w14:paraId="1C1102BF" w14:textId="53A3260A" w:rsidR="00935D59" w:rsidRDefault="00935D59" w:rsidP="00935D59">
                            <w:pPr>
                              <w:jc w:val="both"/>
                            </w:pPr>
                          </w:p>
                          <w:p w14:paraId="34F72081" w14:textId="07A6CAA9" w:rsidR="00935D59" w:rsidRDefault="00935D59" w:rsidP="00935D59">
                            <w:pPr>
                              <w:jc w:val="both"/>
                            </w:pPr>
                          </w:p>
                          <w:p w14:paraId="24B9680C" w14:textId="77D9661A" w:rsidR="00935D59" w:rsidRDefault="00935D59" w:rsidP="00935D59">
                            <w:pPr>
                              <w:jc w:val="both"/>
                            </w:pPr>
                          </w:p>
                          <w:p w14:paraId="6A2EFA2A" w14:textId="27400DE0" w:rsidR="00935D59" w:rsidRDefault="00935D59" w:rsidP="00935D59">
                            <w:pPr>
                              <w:jc w:val="both"/>
                            </w:pPr>
                          </w:p>
                          <w:p w14:paraId="5F612470" w14:textId="2CBFC344" w:rsidR="00935D59" w:rsidRDefault="00935D59" w:rsidP="00935D59">
                            <w:pPr>
                              <w:jc w:val="both"/>
                            </w:pPr>
                          </w:p>
                          <w:p w14:paraId="53B2D4BB" w14:textId="0E97D949" w:rsidR="00935D59" w:rsidRDefault="00935D59" w:rsidP="00935D59">
                            <w:pPr>
                              <w:jc w:val="both"/>
                            </w:pPr>
                          </w:p>
                          <w:p w14:paraId="727786B4" w14:textId="6E77A8A4" w:rsidR="00935D59" w:rsidRDefault="00935D59" w:rsidP="00935D59">
                            <w:pPr>
                              <w:jc w:val="both"/>
                            </w:pPr>
                          </w:p>
                          <w:p w14:paraId="7F8D8227" w14:textId="72C705A1" w:rsidR="00935D59" w:rsidRDefault="00935D59" w:rsidP="00935D59">
                            <w:pPr>
                              <w:jc w:val="both"/>
                            </w:pPr>
                          </w:p>
                          <w:p w14:paraId="582FEE3E" w14:textId="41D3AAFF" w:rsidR="00935D59" w:rsidRDefault="00935D59" w:rsidP="00935D59">
                            <w:pPr>
                              <w:jc w:val="both"/>
                            </w:pPr>
                          </w:p>
                          <w:p w14:paraId="7053D6BE" w14:textId="5B623C9F" w:rsidR="00935D59" w:rsidRDefault="00935D59" w:rsidP="00935D59">
                            <w:pPr>
                              <w:jc w:val="both"/>
                            </w:pPr>
                          </w:p>
                          <w:p w14:paraId="62BC7481" w14:textId="72CE6369" w:rsidR="00935D59" w:rsidRDefault="00935D59" w:rsidP="00935D59">
                            <w:pPr>
                              <w:jc w:val="both"/>
                            </w:pPr>
                          </w:p>
                          <w:p w14:paraId="72C89838" w14:textId="14849DE6" w:rsidR="00935D59" w:rsidRDefault="00935D59" w:rsidP="00935D59">
                            <w:pPr>
                              <w:jc w:val="both"/>
                            </w:pPr>
                          </w:p>
                          <w:p w14:paraId="3EAA3647" w14:textId="22F124B3" w:rsidR="00935D59" w:rsidRDefault="00935D59" w:rsidP="00935D59">
                            <w:pPr>
                              <w:jc w:val="both"/>
                            </w:pPr>
                          </w:p>
                          <w:p w14:paraId="1819B7E1" w14:textId="2DAFE5D7" w:rsidR="00935D59" w:rsidRDefault="00935D59" w:rsidP="00935D59">
                            <w:pPr>
                              <w:jc w:val="both"/>
                            </w:pPr>
                          </w:p>
                          <w:p w14:paraId="50113E4C" w14:textId="408FD79B" w:rsidR="00935D59" w:rsidRDefault="00935D59" w:rsidP="00935D59">
                            <w:pPr>
                              <w:jc w:val="both"/>
                            </w:pPr>
                          </w:p>
                          <w:p w14:paraId="694F21A9" w14:textId="1BCB2DC2" w:rsidR="00935D59" w:rsidRDefault="00935D59" w:rsidP="00935D59">
                            <w:pPr>
                              <w:jc w:val="both"/>
                            </w:pPr>
                          </w:p>
                          <w:p w14:paraId="5CA72B64" w14:textId="143872D9" w:rsidR="00935D59" w:rsidRDefault="00935D59" w:rsidP="00935D59">
                            <w:pPr>
                              <w:jc w:val="both"/>
                            </w:pPr>
                          </w:p>
                          <w:p w14:paraId="549AA84D" w14:textId="77777777" w:rsidR="00935D59" w:rsidRPr="00935D59" w:rsidRDefault="00935D59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E36C7A" w:rsidRDefault="00E36C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E36C7A" w:rsidRDefault="00E36C7A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FE5A46">
                        <w:t>a table with the spec text volunteers and status updates for TGbe D0.1</w:t>
                      </w:r>
                      <w:r>
                        <w:t>.</w:t>
                      </w:r>
                    </w:p>
                    <w:p w14:paraId="370DF1EB" w14:textId="77777777" w:rsidR="00E36C7A" w:rsidRDefault="00E36C7A">
                      <w:pPr>
                        <w:jc w:val="both"/>
                      </w:pPr>
                    </w:p>
                    <w:p w14:paraId="1D099F7C" w14:textId="77777777" w:rsidR="00E36C7A" w:rsidRPr="00353E2D" w:rsidRDefault="00E36C7A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D86441" w:rsidRDefault="00E36C7A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9278396" w:rsidR="00530BD3" w:rsidRDefault="00530BD3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</w:t>
                      </w:r>
                      <w:r w:rsidR="00B30B33">
                        <w:rPr>
                          <w:sz w:val="22"/>
                        </w:rPr>
                        <w:t xml:space="preserve"> (</w:t>
                      </w:r>
                      <w:r w:rsidR="00B30B33"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 w:rsidR="00B30B33">
                        <w:rPr>
                          <w:sz w:val="22"/>
                        </w:rPr>
                        <w:t>)</w:t>
                      </w:r>
                    </w:p>
                    <w:p w14:paraId="32809740" w14:textId="412AA213" w:rsidR="00935D59" w:rsidRDefault="00935D59" w:rsidP="00935D59">
                      <w:pPr>
                        <w:jc w:val="both"/>
                      </w:pPr>
                    </w:p>
                    <w:p w14:paraId="1B988926" w14:textId="45D243E8" w:rsidR="00935D59" w:rsidRDefault="00935D59" w:rsidP="00935D59">
                      <w:pPr>
                        <w:jc w:val="both"/>
                      </w:pPr>
                    </w:p>
                    <w:p w14:paraId="2E83F19A" w14:textId="16D85E04" w:rsidR="00935D59" w:rsidRDefault="00935D59" w:rsidP="00935D59">
                      <w:pPr>
                        <w:jc w:val="both"/>
                      </w:pPr>
                    </w:p>
                    <w:p w14:paraId="059B745B" w14:textId="37CB83AD" w:rsidR="00935D59" w:rsidRDefault="00935D59" w:rsidP="00935D59">
                      <w:pPr>
                        <w:jc w:val="both"/>
                      </w:pPr>
                    </w:p>
                    <w:p w14:paraId="15875BAB" w14:textId="04D45E1B" w:rsidR="00935D59" w:rsidRDefault="00935D59" w:rsidP="00935D59">
                      <w:pPr>
                        <w:jc w:val="both"/>
                      </w:pPr>
                    </w:p>
                    <w:p w14:paraId="622AE103" w14:textId="22071A91" w:rsidR="00935D59" w:rsidRDefault="00935D59" w:rsidP="00935D59">
                      <w:pPr>
                        <w:jc w:val="both"/>
                      </w:pPr>
                    </w:p>
                    <w:p w14:paraId="0592E46D" w14:textId="6F51E277" w:rsidR="00935D59" w:rsidRDefault="00935D59" w:rsidP="00935D59">
                      <w:pPr>
                        <w:jc w:val="both"/>
                      </w:pPr>
                    </w:p>
                    <w:p w14:paraId="3369EA44" w14:textId="014CF013" w:rsidR="00935D59" w:rsidRDefault="00935D59" w:rsidP="00935D59">
                      <w:pPr>
                        <w:jc w:val="both"/>
                      </w:pPr>
                    </w:p>
                    <w:p w14:paraId="7FA2B34F" w14:textId="1FC5D690" w:rsidR="00935D59" w:rsidRDefault="00935D59" w:rsidP="00935D59">
                      <w:pPr>
                        <w:jc w:val="both"/>
                      </w:pPr>
                    </w:p>
                    <w:p w14:paraId="03C510E2" w14:textId="3A2554EA" w:rsidR="00935D59" w:rsidRDefault="00935D59" w:rsidP="00935D59">
                      <w:pPr>
                        <w:jc w:val="both"/>
                      </w:pPr>
                    </w:p>
                    <w:p w14:paraId="4537724B" w14:textId="7B28868D" w:rsidR="00935D59" w:rsidRDefault="00935D59" w:rsidP="00935D59">
                      <w:pPr>
                        <w:jc w:val="both"/>
                      </w:pPr>
                    </w:p>
                    <w:p w14:paraId="5CBED139" w14:textId="1F6D573E" w:rsidR="00935D59" w:rsidRDefault="00935D59" w:rsidP="00935D59">
                      <w:pPr>
                        <w:jc w:val="both"/>
                      </w:pPr>
                    </w:p>
                    <w:p w14:paraId="40B8AFB4" w14:textId="08395F7D" w:rsidR="00935D59" w:rsidRDefault="00935D59" w:rsidP="00935D59">
                      <w:pPr>
                        <w:jc w:val="both"/>
                      </w:pPr>
                    </w:p>
                    <w:p w14:paraId="1C1102BF" w14:textId="53A3260A" w:rsidR="00935D59" w:rsidRDefault="00935D59" w:rsidP="00935D59">
                      <w:pPr>
                        <w:jc w:val="both"/>
                      </w:pPr>
                    </w:p>
                    <w:p w14:paraId="34F72081" w14:textId="07A6CAA9" w:rsidR="00935D59" w:rsidRDefault="00935D59" w:rsidP="00935D59">
                      <w:pPr>
                        <w:jc w:val="both"/>
                      </w:pPr>
                    </w:p>
                    <w:p w14:paraId="24B9680C" w14:textId="77D9661A" w:rsidR="00935D59" w:rsidRDefault="00935D59" w:rsidP="00935D59">
                      <w:pPr>
                        <w:jc w:val="both"/>
                      </w:pPr>
                    </w:p>
                    <w:p w14:paraId="6A2EFA2A" w14:textId="27400DE0" w:rsidR="00935D59" w:rsidRDefault="00935D59" w:rsidP="00935D59">
                      <w:pPr>
                        <w:jc w:val="both"/>
                      </w:pPr>
                    </w:p>
                    <w:p w14:paraId="5F612470" w14:textId="2CBFC344" w:rsidR="00935D59" w:rsidRDefault="00935D59" w:rsidP="00935D59">
                      <w:pPr>
                        <w:jc w:val="both"/>
                      </w:pPr>
                    </w:p>
                    <w:p w14:paraId="53B2D4BB" w14:textId="0E97D949" w:rsidR="00935D59" w:rsidRDefault="00935D59" w:rsidP="00935D59">
                      <w:pPr>
                        <w:jc w:val="both"/>
                      </w:pPr>
                    </w:p>
                    <w:p w14:paraId="727786B4" w14:textId="6E77A8A4" w:rsidR="00935D59" w:rsidRDefault="00935D59" w:rsidP="00935D59">
                      <w:pPr>
                        <w:jc w:val="both"/>
                      </w:pPr>
                    </w:p>
                    <w:p w14:paraId="7F8D8227" w14:textId="72C705A1" w:rsidR="00935D59" w:rsidRDefault="00935D59" w:rsidP="00935D59">
                      <w:pPr>
                        <w:jc w:val="both"/>
                      </w:pPr>
                    </w:p>
                    <w:p w14:paraId="582FEE3E" w14:textId="41D3AAFF" w:rsidR="00935D59" w:rsidRDefault="00935D59" w:rsidP="00935D59">
                      <w:pPr>
                        <w:jc w:val="both"/>
                      </w:pPr>
                    </w:p>
                    <w:p w14:paraId="7053D6BE" w14:textId="5B623C9F" w:rsidR="00935D59" w:rsidRDefault="00935D59" w:rsidP="00935D59">
                      <w:pPr>
                        <w:jc w:val="both"/>
                      </w:pPr>
                    </w:p>
                    <w:p w14:paraId="62BC7481" w14:textId="72CE6369" w:rsidR="00935D59" w:rsidRDefault="00935D59" w:rsidP="00935D59">
                      <w:pPr>
                        <w:jc w:val="both"/>
                      </w:pPr>
                    </w:p>
                    <w:p w14:paraId="72C89838" w14:textId="14849DE6" w:rsidR="00935D59" w:rsidRDefault="00935D59" w:rsidP="00935D59">
                      <w:pPr>
                        <w:jc w:val="both"/>
                      </w:pPr>
                    </w:p>
                    <w:p w14:paraId="3EAA3647" w14:textId="22F124B3" w:rsidR="00935D59" w:rsidRDefault="00935D59" w:rsidP="00935D59">
                      <w:pPr>
                        <w:jc w:val="both"/>
                      </w:pPr>
                    </w:p>
                    <w:p w14:paraId="1819B7E1" w14:textId="2DAFE5D7" w:rsidR="00935D59" w:rsidRDefault="00935D59" w:rsidP="00935D59">
                      <w:pPr>
                        <w:jc w:val="both"/>
                      </w:pPr>
                    </w:p>
                    <w:p w14:paraId="50113E4C" w14:textId="408FD79B" w:rsidR="00935D59" w:rsidRDefault="00935D59" w:rsidP="00935D59">
                      <w:pPr>
                        <w:jc w:val="both"/>
                      </w:pPr>
                    </w:p>
                    <w:p w14:paraId="694F21A9" w14:textId="1BCB2DC2" w:rsidR="00935D59" w:rsidRDefault="00935D59" w:rsidP="00935D59">
                      <w:pPr>
                        <w:jc w:val="both"/>
                      </w:pPr>
                    </w:p>
                    <w:p w14:paraId="5CA72B64" w14:textId="143872D9" w:rsidR="00935D59" w:rsidRDefault="00935D59" w:rsidP="00935D59">
                      <w:pPr>
                        <w:jc w:val="both"/>
                      </w:pPr>
                    </w:p>
                    <w:p w14:paraId="549AA84D" w14:textId="77777777" w:rsidR="00935D59" w:rsidRPr="00935D59" w:rsidRDefault="00935D59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017" w:type="dxa"/>
        <w:tblInd w:w="-705" w:type="dxa"/>
        <w:tblLook w:val="04A0" w:firstRow="1" w:lastRow="0" w:firstColumn="1" w:lastColumn="0" w:noHBand="0" w:noVBand="1"/>
      </w:tblPr>
      <w:tblGrid>
        <w:gridCol w:w="799"/>
        <w:gridCol w:w="3661"/>
        <w:gridCol w:w="1302"/>
        <w:gridCol w:w="1489"/>
        <w:gridCol w:w="1138"/>
        <w:gridCol w:w="2628"/>
      </w:tblGrid>
      <w:tr w:rsidR="00B87E0D" w14:paraId="2520A289" w14:textId="77777777" w:rsidTr="0090040A">
        <w:trPr>
          <w:trHeight w:val="271"/>
        </w:trPr>
        <w:tc>
          <w:tcPr>
            <w:tcW w:w="799" w:type="dxa"/>
          </w:tcPr>
          <w:p w14:paraId="60744CFD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Layer</w:t>
            </w:r>
          </w:p>
        </w:tc>
        <w:tc>
          <w:tcPr>
            <w:tcW w:w="3661" w:type="dxa"/>
          </w:tcPr>
          <w:p w14:paraId="68BA5E53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302" w:type="dxa"/>
          </w:tcPr>
          <w:p w14:paraId="50C17CE1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1489" w:type="dxa"/>
          </w:tcPr>
          <w:p w14:paraId="29E09EB4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1138" w:type="dxa"/>
          </w:tcPr>
          <w:p w14:paraId="29352680" w14:textId="77777777" w:rsidR="00B87E0D" w:rsidRDefault="00B87E0D" w:rsidP="006D4C8C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2628" w:type="dxa"/>
          </w:tcPr>
          <w:p w14:paraId="7712BE6F" w14:textId="77777777" w:rsidR="00B87E0D" w:rsidRPr="00F856C8" w:rsidRDefault="00B87E0D" w:rsidP="006D4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87E0D" w14:paraId="2E01166C" w14:textId="77777777" w:rsidTr="0090040A">
        <w:trPr>
          <w:trHeight w:val="257"/>
        </w:trPr>
        <w:tc>
          <w:tcPr>
            <w:tcW w:w="799" w:type="dxa"/>
          </w:tcPr>
          <w:p w14:paraId="70081F22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029F527E" w14:textId="77777777" w:rsidR="00B87E0D" w:rsidRDefault="00B87E0D" w:rsidP="006D4C8C">
            <w:r w:rsidRPr="005C58C4">
              <w:t>Channelization and tone plan</w:t>
            </w:r>
            <w:r>
              <w:t>-</w:t>
            </w:r>
            <w:r w:rsidRPr="00FA76DF">
              <w:t xml:space="preserve">Wideband and </w:t>
            </w:r>
            <w:proofErr w:type="spellStart"/>
            <w:r w:rsidRPr="00FA76DF">
              <w:t>noncontiguous</w:t>
            </w:r>
            <w:proofErr w:type="spellEnd"/>
            <w:r w:rsidRPr="00FA76DF">
              <w:t xml:space="preserve"> spectrum utilization</w:t>
            </w:r>
          </w:p>
        </w:tc>
        <w:tc>
          <w:tcPr>
            <w:tcW w:w="1302" w:type="dxa"/>
          </w:tcPr>
          <w:p w14:paraId="352C580F" w14:textId="77777777" w:rsidR="00B87E0D" w:rsidRDefault="00B87E0D" w:rsidP="006D4C8C"/>
        </w:tc>
        <w:tc>
          <w:tcPr>
            <w:tcW w:w="1489" w:type="dxa"/>
          </w:tcPr>
          <w:p w14:paraId="013AF858" w14:textId="77777777" w:rsidR="00B87E0D" w:rsidRDefault="00B87E0D" w:rsidP="006D4C8C"/>
        </w:tc>
        <w:tc>
          <w:tcPr>
            <w:tcW w:w="1138" w:type="dxa"/>
          </w:tcPr>
          <w:p w14:paraId="4E55F79F" w14:textId="77777777" w:rsidR="00B87E0D" w:rsidRDefault="00B87E0D" w:rsidP="006D4C8C"/>
        </w:tc>
        <w:tc>
          <w:tcPr>
            <w:tcW w:w="2628" w:type="dxa"/>
          </w:tcPr>
          <w:p w14:paraId="53097CAF" w14:textId="77777777" w:rsidR="00B87E0D" w:rsidRDefault="00B87E0D" w:rsidP="006D4C8C"/>
        </w:tc>
      </w:tr>
      <w:tr w:rsidR="00B87E0D" w14:paraId="7F013FB2" w14:textId="77777777" w:rsidTr="0090040A">
        <w:trPr>
          <w:trHeight w:val="271"/>
        </w:trPr>
        <w:tc>
          <w:tcPr>
            <w:tcW w:w="799" w:type="dxa"/>
          </w:tcPr>
          <w:p w14:paraId="7AC606B2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19FBD639" w14:textId="77777777" w:rsidR="00B87E0D" w:rsidRDefault="00B87E0D" w:rsidP="006D4C8C">
            <w:r w:rsidRPr="0050055B">
              <w:t>Channelization and tone plan</w:t>
            </w:r>
            <w:r>
              <w:t>-</w:t>
            </w:r>
            <w:r w:rsidRPr="007910F3">
              <w:t>Support for large bandwidth</w:t>
            </w:r>
          </w:p>
        </w:tc>
        <w:tc>
          <w:tcPr>
            <w:tcW w:w="1302" w:type="dxa"/>
          </w:tcPr>
          <w:p w14:paraId="6D561069" w14:textId="77777777" w:rsidR="00B87E0D" w:rsidRDefault="00B87E0D" w:rsidP="006D4C8C"/>
        </w:tc>
        <w:tc>
          <w:tcPr>
            <w:tcW w:w="1489" w:type="dxa"/>
          </w:tcPr>
          <w:p w14:paraId="19C085D5" w14:textId="77777777" w:rsidR="00B87E0D" w:rsidRDefault="00B87E0D" w:rsidP="006D4C8C"/>
        </w:tc>
        <w:tc>
          <w:tcPr>
            <w:tcW w:w="1138" w:type="dxa"/>
          </w:tcPr>
          <w:p w14:paraId="09DAEF42" w14:textId="77777777" w:rsidR="00B87E0D" w:rsidRDefault="00B87E0D" w:rsidP="006D4C8C"/>
        </w:tc>
        <w:tc>
          <w:tcPr>
            <w:tcW w:w="2628" w:type="dxa"/>
          </w:tcPr>
          <w:p w14:paraId="2F197744" w14:textId="77777777" w:rsidR="00B87E0D" w:rsidRDefault="00B87E0D" w:rsidP="006D4C8C"/>
        </w:tc>
      </w:tr>
      <w:tr w:rsidR="00B87E0D" w14:paraId="5D273E60" w14:textId="77777777" w:rsidTr="0090040A">
        <w:trPr>
          <w:trHeight w:val="257"/>
        </w:trPr>
        <w:tc>
          <w:tcPr>
            <w:tcW w:w="799" w:type="dxa"/>
          </w:tcPr>
          <w:p w14:paraId="6DF58141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7E6C8289" w14:textId="77777777" w:rsidR="00B87E0D" w:rsidRDefault="00B87E0D" w:rsidP="006D4C8C">
            <w:r w:rsidRPr="00647C99">
              <w:t>Resource unit</w:t>
            </w:r>
            <w:r>
              <w:t>-</w:t>
            </w:r>
            <w:r w:rsidRPr="008977A4">
              <w:t>Single RU</w:t>
            </w:r>
          </w:p>
        </w:tc>
        <w:tc>
          <w:tcPr>
            <w:tcW w:w="1302" w:type="dxa"/>
          </w:tcPr>
          <w:p w14:paraId="23D8BF94" w14:textId="77777777" w:rsidR="00B87E0D" w:rsidRDefault="00B87E0D" w:rsidP="006D4C8C"/>
        </w:tc>
        <w:tc>
          <w:tcPr>
            <w:tcW w:w="1489" w:type="dxa"/>
          </w:tcPr>
          <w:p w14:paraId="4D3A4357" w14:textId="77777777" w:rsidR="00B87E0D" w:rsidRDefault="00B87E0D" w:rsidP="006D4C8C"/>
        </w:tc>
        <w:tc>
          <w:tcPr>
            <w:tcW w:w="1138" w:type="dxa"/>
          </w:tcPr>
          <w:p w14:paraId="4F3651BF" w14:textId="77777777" w:rsidR="00B87E0D" w:rsidRDefault="00B87E0D" w:rsidP="006D4C8C"/>
        </w:tc>
        <w:tc>
          <w:tcPr>
            <w:tcW w:w="2628" w:type="dxa"/>
          </w:tcPr>
          <w:p w14:paraId="71EAF0DD" w14:textId="77777777" w:rsidR="00B87E0D" w:rsidRDefault="00B87E0D" w:rsidP="006D4C8C"/>
        </w:tc>
      </w:tr>
      <w:tr w:rsidR="00B87E0D" w14:paraId="58B7F631" w14:textId="77777777" w:rsidTr="0090040A">
        <w:trPr>
          <w:trHeight w:val="271"/>
        </w:trPr>
        <w:tc>
          <w:tcPr>
            <w:tcW w:w="799" w:type="dxa"/>
          </w:tcPr>
          <w:p w14:paraId="4590DEE3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61C38786" w14:textId="77777777" w:rsidR="00B87E0D" w:rsidRDefault="00B87E0D" w:rsidP="006D4C8C">
            <w:r w:rsidRPr="00A2754F">
              <w:t>Resource unit</w:t>
            </w:r>
            <w:r>
              <w:t>-</w:t>
            </w:r>
            <w:r w:rsidRPr="002A6240">
              <w:t>Multiple RU</w:t>
            </w:r>
          </w:p>
        </w:tc>
        <w:tc>
          <w:tcPr>
            <w:tcW w:w="1302" w:type="dxa"/>
          </w:tcPr>
          <w:p w14:paraId="25331073" w14:textId="77777777" w:rsidR="00B87E0D" w:rsidRDefault="00B87E0D" w:rsidP="006D4C8C"/>
        </w:tc>
        <w:tc>
          <w:tcPr>
            <w:tcW w:w="1489" w:type="dxa"/>
          </w:tcPr>
          <w:p w14:paraId="330ACD6A" w14:textId="77777777" w:rsidR="00B87E0D" w:rsidRDefault="00B87E0D" w:rsidP="006D4C8C"/>
        </w:tc>
        <w:tc>
          <w:tcPr>
            <w:tcW w:w="1138" w:type="dxa"/>
          </w:tcPr>
          <w:p w14:paraId="407739D8" w14:textId="77777777" w:rsidR="00B87E0D" w:rsidRDefault="00B87E0D" w:rsidP="006D4C8C"/>
        </w:tc>
        <w:tc>
          <w:tcPr>
            <w:tcW w:w="2628" w:type="dxa"/>
          </w:tcPr>
          <w:p w14:paraId="38F2E13F" w14:textId="77777777" w:rsidR="00B87E0D" w:rsidRDefault="00B87E0D" w:rsidP="006D4C8C"/>
        </w:tc>
      </w:tr>
      <w:tr w:rsidR="00B87E0D" w14:paraId="7CAFC622" w14:textId="77777777" w:rsidTr="0090040A">
        <w:trPr>
          <w:trHeight w:val="257"/>
        </w:trPr>
        <w:tc>
          <w:tcPr>
            <w:tcW w:w="799" w:type="dxa"/>
          </w:tcPr>
          <w:p w14:paraId="246C9A82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7570257F" w14:textId="77777777" w:rsidR="00B87E0D" w:rsidRDefault="00B87E0D" w:rsidP="006D4C8C">
            <w:r w:rsidRPr="00A2754F">
              <w:t>Resource unit</w:t>
            </w:r>
            <w:r>
              <w:t>-</w:t>
            </w:r>
            <w:r w:rsidRPr="00D70ADD">
              <w:t>Interleaving for RUs and aggregated RUs</w:t>
            </w:r>
          </w:p>
        </w:tc>
        <w:tc>
          <w:tcPr>
            <w:tcW w:w="1302" w:type="dxa"/>
          </w:tcPr>
          <w:p w14:paraId="6A5B62C9" w14:textId="77777777" w:rsidR="00B87E0D" w:rsidRDefault="00B87E0D" w:rsidP="006D4C8C"/>
        </w:tc>
        <w:tc>
          <w:tcPr>
            <w:tcW w:w="1489" w:type="dxa"/>
          </w:tcPr>
          <w:p w14:paraId="4EE9975B" w14:textId="77777777" w:rsidR="00B87E0D" w:rsidRDefault="00B87E0D" w:rsidP="006D4C8C"/>
        </w:tc>
        <w:tc>
          <w:tcPr>
            <w:tcW w:w="1138" w:type="dxa"/>
          </w:tcPr>
          <w:p w14:paraId="72604BD5" w14:textId="77777777" w:rsidR="00B87E0D" w:rsidRDefault="00B87E0D" w:rsidP="006D4C8C"/>
        </w:tc>
        <w:tc>
          <w:tcPr>
            <w:tcW w:w="2628" w:type="dxa"/>
          </w:tcPr>
          <w:p w14:paraId="734A190C" w14:textId="77777777" w:rsidR="00B87E0D" w:rsidRDefault="00B87E0D" w:rsidP="006D4C8C"/>
        </w:tc>
      </w:tr>
      <w:tr w:rsidR="00B87E0D" w14:paraId="2CABBECB" w14:textId="77777777" w:rsidTr="0090040A">
        <w:trPr>
          <w:trHeight w:val="271"/>
        </w:trPr>
        <w:tc>
          <w:tcPr>
            <w:tcW w:w="799" w:type="dxa"/>
          </w:tcPr>
          <w:p w14:paraId="7E511264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073B72E7" w14:textId="77777777" w:rsidR="00B87E0D" w:rsidRDefault="00B87E0D" w:rsidP="006D4C8C">
            <w:r w:rsidRPr="00C6075C">
              <w:t>EHT preamble</w:t>
            </w:r>
            <w:r>
              <w:t>-</w:t>
            </w:r>
            <w:r w:rsidRPr="00E4006D">
              <w:t>L-STF, L-LTF, L-SIG, and RL-SIG</w:t>
            </w:r>
          </w:p>
        </w:tc>
        <w:tc>
          <w:tcPr>
            <w:tcW w:w="1302" w:type="dxa"/>
          </w:tcPr>
          <w:p w14:paraId="0EB3C30A" w14:textId="77777777" w:rsidR="00B87E0D" w:rsidRDefault="00B87E0D" w:rsidP="006D4C8C"/>
        </w:tc>
        <w:tc>
          <w:tcPr>
            <w:tcW w:w="1489" w:type="dxa"/>
          </w:tcPr>
          <w:p w14:paraId="214E162D" w14:textId="77777777" w:rsidR="00B87E0D" w:rsidRDefault="00B87E0D" w:rsidP="006D4C8C"/>
        </w:tc>
        <w:tc>
          <w:tcPr>
            <w:tcW w:w="1138" w:type="dxa"/>
          </w:tcPr>
          <w:p w14:paraId="4BB57106" w14:textId="77777777" w:rsidR="00B87E0D" w:rsidRDefault="00B87E0D" w:rsidP="006D4C8C"/>
        </w:tc>
        <w:tc>
          <w:tcPr>
            <w:tcW w:w="2628" w:type="dxa"/>
          </w:tcPr>
          <w:p w14:paraId="0ABDC142" w14:textId="77777777" w:rsidR="00B87E0D" w:rsidRDefault="00B87E0D" w:rsidP="006D4C8C"/>
        </w:tc>
      </w:tr>
      <w:tr w:rsidR="00B87E0D" w14:paraId="4528FE62" w14:textId="77777777" w:rsidTr="0090040A">
        <w:trPr>
          <w:trHeight w:val="257"/>
        </w:trPr>
        <w:tc>
          <w:tcPr>
            <w:tcW w:w="799" w:type="dxa"/>
          </w:tcPr>
          <w:p w14:paraId="53C345F7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055FF4DE" w14:textId="77777777" w:rsidR="00B87E0D" w:rsidRDefault="00B87E0D" w:rsidP="006D4C8C">
            <w:r w:rsidRPr="00CF6EE0">
              <w:t>EHT preamble</w:t>
            </w:r>
            <w:r>
              <w:t>-</w:t>
            </w:r>
            <w:r w:rsidRPr="0021492C">
              <w:t>U-SIG</w:t>
            </w:r>
          </w:p>
        </w:tc>
        <w:tc>
          <w:tcPr>
            <w:tcW w:w="1302" w:type="dxa"/>
          </w:tcPr>
          <w:p w14:paraId="4D419DD9" w14:textId="77777777" w:rsidR="00B87E0D" w:rsidRDefault="00B87E0D" w:rsidP="006D4C8C"/>
        </w:tc>
        <w:tc>
          <w:tcPr>
            <w:tcW w:w="1489" w:type="dxa"/>
          </w:tcPr>
          <w:p w14:paraId="69516652" w14:textId="77777777" w:rsidR="00B87E0D" w:rsidRDefault="00B87E0D" w:rsidP="006D4C8C"/>
        </w:tc>
        <w:tc>
          <w:tcPr>
            <w:tcW w:w="1138" w:type="dxa"/>
          </w:tcPr>
          <w:p w14:paraId="72CF457B" w14:textId="77777777" w:rsidR="00B87E0D" w:rsidRDefault="00B87E0D" w:rsidP="006D4C8C"/>
        </w:tc>
        <w:tc>
          <w:tcPr>
            <w:tcW w:w="2628" w:type="dxa"/>
          </w:tcPr>
          <w:p w14:paraId="14A97CE4" w14:textId="77777777" w:rsidR="00B87E0D" w:rsidRDefault="00B87E0D" w:rsidP="006D4C8C"/>
        </w:tc>
      </w:tr>
      <w:tr w:rsidR="00B87E0D" w14:paraId="60027F32" w14:textId="77777777" w:rsidTr="0090040A">
        <w:trPr>
          <w:trHeight w:val="271"/>
        </w:trPr>
        <w:tc>
          <w:tcPr>
            <w:tcW w:w="799" w:type="dxa"/>
          </w:tcPr>
          <w:p w14:paraId="50B3E159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1FD8F4D1" w14:textId="77777777" w:rsidR="00B87E0D" w:rsidRDefault="00B87E0D" w:rsidP="006D4C8C">
            <w:r w:rsidRPr="00CF6EE0">
              <w:t>EHT preamble</w:t>
            </w:r>
            <w:r>
              <w:t>-</w:t>
            </w:r>
            <w:r w:rsidRPr="00D93365">
              <w:t>EHT-SIG</w:t>
            </w:r>
          </w:p>
        </w:tc>
        <w:tc>
          <w:tcPr>
            <w:tcW w:w="1302" w:type="dxa"/>
          </w:tcPr>
          <w:p w14:paraId="6134B577" w14:textId="77777777" w:rsidR="00B87E0D" w:rsidRDefault="00B87E0D" w:rsidP="006D4C8C"/>
        </w:tc>
        <w:tc>
          <w:tcPr>
            <w:tcW w:w="1489" w:type="dxa"/>
          </w:tcPr>
          <w:p w14:paraId="3E227145" w14:textId="77777777" w:rsidR="00B87E0D" w:rsidRDefault="00B87E0D" w:rsidP="006D4C8C"/>
        </w:tc>
        <w:tc>
          <w:tcPr>
            <w:tcW w:w="1138" w:type="dxa"/>
          </w:tcPr>
          <w:p w14:paraId="4A603224" w14:textId="77777777" w:rsidR="00B87E0D" w:rsidRDefault="00B87E0D" w:rsidP="006D4C8C"/>
        </w:tc>
        <w:tc>
          <w:tcPr>
            <w:tcW w:w="2628" w:type="dxa"/>
          </w:tcPr>
          <w:p w14:paraId="67707341" w14:textId="77777777" w:rsidR="00B87E0D" w:rsidRDefault="00B87E0D" w:rsidP="006D4C8C"/>
        </w:tc>
      </w:tr>
      <w:tr w:rsidR="00B87E0D" w14:paraId="569CA269" w14:textId="77777777" w:rsidTr="0090040A">
        <w:trPr>
          <w:trHeight w:val="257"/>
        </w:trPr>
        <w:tc>
          <w:tcPr>
            <w:tcW w:w="799" w:type="dxa"/>
          </w:tcPr>
          <w:p w14:paraId="5AD6814C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722B1C2B" w14:textId="77777777" w:rsidR="00B87E0D" w:rsidRDefault="00B87E0D" w:rsidP="006D4C8C">
            <w:r w:rsidRPr="00CF6EE0">
              <w:t>EHT preamble</w:t>
            </w:r>
            <w:r>
              <w:t>-</w:t>
            </w:r>
            <w:r w:rsidRPr="001C4DA5">
              <w:t>EHT-STF</w:t>
            </w:r>
          </w:p>
        </w:tc>
        <w:tc>
          <w:tcPr>
            <w:tcW w:w="1302" w:type="dxa"/>
          </w:tcPr>
          <w:p w14:paraId="7AE49C79" w14:textId="77777777" w:rsidR="00B87E0D" w:rsidRDefault="00B87E0D" w:rsidP="006D4C8C"/>
        </w:tc>
        <w:tc>
          <w:tcPr>
            <w:tcW w:w="1489" w:type="dxa"/>
          </w:tcPr>
          <w:p w14:paraId="2F53BBBA" w14:textId="77777777" w:rsidR="00B87E0D" w:rsidRDefault="00B87E0D" w:rsidP="006D4C8C"/>
        </w:tc>
        <w:tc>
          <w:tcPr>
            <w:tcW w:w="1138" w:type="dxa"/>
          </w:tcPr>
          <w:p w14:paraId="3A55AC75" w14:textId="77777777" w:rsidR="00B87E0D" w:rsidRDefault="00B87E0D" w:rsidP="006D4C8C"/>
        </w:tc>
        <w:tc>
          <w:tcPr>
            <w:tcW w:w="2628" w:type="dxa"/>
          </w:tcPr>
          <w:p w14:paraId="03C5CED6" w14:textId="77777777" w:rsidR="00B87E0D" w:rsidRDefault="00B87E0D" w:rsidP="006D4C8C"/>
        </w:tc>
      </w:tr>
      <w:tr w:rsidR="00B87E0D" w14:paraId="029009B2" w14:textId="77777777" w:rsidTr="0090040A">
        <w:trPr>
          <w:trHeight w:val="271"/>
        </w:trPr>
        <w:tc>
          <w:tcPr>
            <w:tcW w:w="799" w:type="dxa"/>
          </w:tcPr>
          <w:p w14:paraId="520F7899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36927959" w14:textId="77777777" w:rsidR="00B87E0D" w:rsidRDefault="00B87E0D" w:rsidP="006D4C8C">
            <w:r w:rsidRPr="00CF6EE0">
              <w:t>EHT preamble</w:t>
            </w:r>
            <w:r>
              <w:t>-</w:t>
            </w:r>
            <w:r w:rsidRPr="0087242A">
              <w:t>EHT-LTF</w:t>
            </w:r>
          </w:p>
        </w:tc>
        <w:tc>
          <w:tcPr>
            <w:tcW w:w="1302" w:type="dxa"/>
          </w:tcPr>
          <w:p w14:paraId="2C461729" w14:textId="77777777" w:rsidR="00B87E0D" w:rsidRDefault="00B87E0D" w:rsidP="006D4C8C"/>
        </w:tc>
        <w:tc>
          <w:tcPr>
            <w:tcW w:w="1489" w:type="dxa"/>
          </w:tcPr>
          <w:p w14:paraId="17F352D8" w14:textId="77777777" w:rsidR="00B87E0D" w:rsidRDefault="00B87E0D" w:rsidP="006D4C8C"/>
        </w:tc>
        <w:tc>
          <w:tcPr>
            <w:tcW w:w="1138" w:type="dxa"/>
          </w:tcPr>
          <w:p w14:paraId="6CBDDEDD" w14:textId="77777777" w:rsidR="00B87E0D" w:rsidRDefault="00B87E0D" w:rsidP="006D4C8C"/>
        </w:tc>
        <w:tc>
          <w:tcPr>
            <w:tcW w:w="2628" w:type="dxa"/>
          </w:tcPr>
          <w:p w14:paraId="4B1BBF8B" w14:textId="77777777" w:rsidR="00B87E0D" w:rsidRDefault="00B87E0D" w:rsidP="006D4C8C"/>
        </w:tc>
      </w:tr>
      <w:tr w:rsidR="00B87E0D" w14:paraId="00C16376" w14:textId="77777777" w:rsidTr="0090040A">
        <w:trPr>
          <w:trHeight w:val="257"/>
        </w:trPr>
        <w:tc>
          <w:tcPr>
            <w:tcW w:w="799" w:type="dxa"/>
          </w:tcPr>
          <w:p w14:paraId="6AD0AF1A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62DA768D" w14:textId="77777777" w:rsidR="00B87E0D" w:rsidRDefault="00B87E0D" w:rsidP="006D4C8C">
            <w:r w:rsidRPr="00F93DC2">
              <w:t>EHT preamble</w:t>
            </w:r>
            <w:r>
              <w:t>-</w:t>
            </w:r>
            <w:r w:rsidRPr="00226307">
              <w:t>Preamble puncture</w:t>
            </w:r>
          </w:p>
        </w:tc>
        <w:tc>
          <w:tcPr>
            <w:tcW w:w="1302" w:type="dxa"/>
          </w:tcPr>
          <w:p w14:paraId="7202E499" w14:textId="77777777" w:rsidR="00B87E0D" w:rsidRDefault="00B87E0D" w:rsidP="006D4C8C"/>
        </w:tc>
        <w:tc>
          <w:tcPr>
            <w:tcW w:w="1489" w:type="dxa"/>
          </w:tcPr>
          <w:p w14:paraId="7408B891" w14:textId="77777777" w:rsidR="00B87E0D" w:rsidRDefault="00B87E0D" w:rsidP="006D4C8C"/>
        </w:tc>
        <w:tc>
          <w:tcPr>
            <w:tcW w:w="1138" w:type="dxa"/>
          </w:tcPr>
          <w:p w14:paraId="0D9D7D9A" w14:textId="77777777" w:rsidR="00B87E0D" w:rsidRDefault="00B87E0D" w:rsidP="006D4C8C"/>
        </w:tc>
        <w:tc>
          <w:tcPr>
            <w:tcW w:w="2628" w:type="dxa"/>
          </w:tcPr>
          <w:p w14:paraId="6DE83836" w14:textId="77777777" w:rsidR="00B87E0D" w:rsidRDefault="00B87E0D" w:rsidP="006D4C8C"/>
        </w:tc>
      </w:tr>
      <w:tr w:rsidR="00B87E0D" w14:paraId="7DAD21E5" w14:textId="77777777" w:rsidTr="0090040A">
        <w:trPr>
          <w:trHeight w:val="271"/>
        </w:trPr>
        <w:tc>
          <w:tcPr>
            <w:tcW w:w="799" w:type="dxa"/>
          </w:tcPr>
          <w:p w14:paraId="16115274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3194E28A" w14:textId="77777777" w:rsidR="00B87E0D" w:rsidRDefault="00B87E0D" w:rsidP="006D4C8C">
            <w:r w:rsidRPr="00B953B7">
              <w:t>Modulation</w:t>
            </w:r>
          </w:p>
        </w:tc>
        <w:tc>
          <w:tcPr>
            <w:tcW w:w="1302" w:type="dxa"/>
          </w:tcPr>
          <w:p w14:paraId="37C3A887" w14:textId="77777777" w:rsidR="00B87E0D" w:rsidRDefault="00B87E0D" w:rsidP="006D4C8C"/>
        </w:tc>
        <w:tc>
          <w:tcPr>
            <w:tcW w:w="1489" w:type="dxa"/>
          </w:tcPr>
          <w:p w14:paraId="682523D0" w14:textId="77777777" w:rsidR="00B87E0D" w:rsidRDefault="00B87E0D" w:rsidP="006D4C8C"/>
        </w:tc>
        <w:tc>
          <w:tcPr>
            <w:tcW w:w="1138" w:type="dxa"/>
          </w:tcPr>
          <w:p w14:paraId="73DBBFC5" w14:textId="77777777" w:rsidR="00B87E0D" w:rsidRDefault="00B87E0D" w:rsidP="006D4C8C"/>
        </w:tc>
        <w:tc>
          <w:tcPr>
            <w:tcW w:w="2628" w:type="dxa"/>
          </w:tcPr>
          <w:p w14:paraId="5058E745" w14:textId="77777777" w:rsidR="00B87E0D" w:rsidRDefault="00B87E0D" w:rsidP="006D4C8C"/>
        </w:tc>
      </w:tr>
      <w:tr w:rsidR="00B87E0D" w14:paraId="19A055B7" w14:textId="77777777" w:rsidTr="0090040A">
        <w:trPr>
          <w:trHeight w:val="257"/>
        </w:trPr>
        <w:tc>
          <w:tcPr>
            <w:tcW w:w="799" w:type="dxa"/>
          </w:tcPr>
          <w:p w14:paraId="75FA5A9B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2072D56F" w14:textId="77777777" w:rsidR="00B87E0D" w:rsidRDefault="00B87E0D" w:rsidP="006D4C8C">
            <w:r w:rsidRPr="00C3585C">
              <w:t>Data field</w:t>
            </w:r>
            <w:r>
              <w:t>-</w:t>
            </w:r>
            <w:r w:rsidRPr="000039EA">
              <w:t>Scrambler</w:t>
            </w:r>
          </w:p>
        </w:tc>
        <w:tc>
          <w:tcPr>
            <w:tcW w:w="1302" w:type="dxa"/>
          </w:tcPr>
          <w:p w14:paraId="7072D72B" w14:textId="77777777" w:rsidR="00B87E0D" w:rsidRDefault="00B87E0D" w:rsidP="006D4C8C"/>
        </w:tc>
        <w:tc>
          <w:tcPr>
            <w:tcW w:w="1489" w:type="dxa"/>
          </w:tcPr>
          <w:p w14:paraId="00B57048" w14:textId="77777777" w:rsidR="00B87E0D" w:rsidRDefault="00B87E0D" w:rsidP="006D4C8C"/>
        </w:tc>
        <w:tc>
          <w:tcPr>
            <w:tcW w:w="1138" w:type="dxa"/>
          </w:tcPr>
          <w:p w14:paraId="4BA11DBF" w14:textId="77777777" w:rsidR="00B87E0D" w:rsidRDefault="00B87E0D" w:rsidP="006D4C8C"/>
        </w:tc>
        <w:tc>
          <w:tcPr>
            <w:tcW w:w="2628" w:type="dxa"/>
          </w:tcPr>
          <w:p w14:paraId="7EFF0CF0" w14:textId="77777777" w:rsidR="00B87E0D" w:rsidRDefault="00B87E0D" w:rsidP="006D4C8C"/>
        </w:tc>
      </w:tr>
      <w:tr w:rsidR="00B87E0D" w14:paraId="30E25189" w14:textId="77777777" w:rsidTr="0090040A">
        <w:trPr>
          <w:trHeight w:val="271"/>
        </w:trPr>
        <w:tc>
          <w:tcPr>
            <w:tcW w:w="799" w:type="dxa"/>
          </w:tcPr>
          <w:p w14:paraId="37051124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586F6CBD" w14:textId="77777777" w:rsidR="00B87E0D" w:rsidRDefault="00B87E0D" w:rsidP="006D4C8C">
            <w:r w:rsidRPr="00AD3CB0">
              <w:t>Beamforming</w:t>
            </w:r>
          </w:p>
        </w:tc>
        <w:tc>
          <w:tcPr>
            <w:tcW w:w="1302" w:type="dxa"/>
          </w:tcPr>
          <w:p w14:paraId="45AB869F" w14:textId="77777777" w:rsidR="00B87E0D" w:rsidRDefault="00B87E0D" w:rsidP="006D4C8C"/>
        </w:tc>
        <w:tc>
          <w:tcPr>
            <w:tcW w:w="1489" w:type="dxa"/>
          </w:tcPr>
          <w:p w14:paraId="6058542E" w14:textId="77777777" w:rsidR="00B87E0D" w:rsidRDefault="00B87E0D" w:rsidP="006D4C8C"/>
        </w:tc>
        <w:tc>
          <w:tcPr>
            <w:tcW w:w="1138" w:type="dxa"/>
          </w:tcPr>
          <w:p w14:paraId="37A2616C" w14:textId="77777777" w:rsidR="00B87E0D" w:rsidRDefault="00B87E0D" w:rsidP="006D4C8C"/>
        </w:tc>
        <w:tc>
          <w:tcPr>
            <w:tcW w:w="2628" w:type="dxa"/>
          </w:tcPr>
          <w:p w14:paraId="6B80379C" w14:textId="77777777" w:rsidR="00B87E0D" w:rsidRDefault="00B87E0D" w:rsidP="006D4C8C"/>
        </w:tc>
      </w:tr>
      <w:tr w:rsidR="00B87E0D" w14:paraId="0EEFD7D9" w14:textId="77777777" w:rsidTr="0090040A">
        <w:trPr>
          <w:trHeight w:val="257"/>
        </w:trPr>
        <w:tc>
          <w:tcPr>
            <w:tcW w:w="799" w:type="dxa"/>
          </w:tcPr>
          <w:p w14:paraId="755EC3F7" w14:textId="77777777" w:rsidR="00B87E0D" w:rsidRPr="00AC4E16" w:rsidRDefault="00B87E0D" w:rsidP="006D4C8C">
            <w:r w:rsidRPr="00AC4E16">
              <w:t>MAC</w:t>
            </w:r>
          </w:p>
        </w:tc>
        <w:tc>
          <w:tcPr>
            <w:tcW w:w="3661" w:type="dxa"/>
          </w:tcPr>
          <w:p w14:paraId="4F90DAB5" w14:textId="77777777" w:rsidR="00B87E0D" w:rsidRDefault="00B87E0D" w:rsidP="006D4C8C">
            <w:r w:rsidRPr="00C143B6">
              <w:t>General</w:t>
            </w:r>
          </w:p>
        </w:tc>
        <w:tc>
          <w:tcPr>
            <w:tcW w:w="1302" w:type="dxa"/>
          </w:tcPr>
          <w:p w14:paraId="032334E3" w14:textId="77777777" w:rsidR="00B87E0D" w:rsidRDefault="00B87E0D" w:rsidP="006D4C8C"/>
        </w:tc>
        <w:tc>
          <w:tcPr>
            <w:tcW w:w="1489" w:type="dxa"/>
          </w:tcPr>
          <w:p w14:paraId="78B0A7DA" w14:textId="77777777" w:rsidR="00B87E0D" w:rsidRDefault="00B87E0D" w:rsidP="006D4C8C"/>
        </w:tc>
        <w:tc>
          <w:tcPr>
            <w:tcW w:w="1138" w:type="dxa"/>
          </w:tcPr>
          <w:p w14:paraId="2C2449AA" w14:textId="77777777" w:rsidR="00B87E0D" w:rsidRDefault="00B87E0D" w:rsidP="006D4C8C"/>
        </w:tc>
        <w:tc>
          <w:tcPr>
            <w:tcW w:w="2628" w:type="dxa"/>
          </w:tcPr>
          <w:p w14:paraId="072AC5B8" w14:textId="77777777" w:rsidR="00B87E0D" w:rsidRDefault="00B87E0D" w:rsidP="006D4C8C"/>
        </w:tc>
      </w:tr>
      <w:tr w:rsidR="00B87E0D" w14:paraId="6F7CDF97" w14:textId="77777777" w:rsidTr="0090040A">
        <w:trPr>
          <w:trHeight w:val="271"/>
        </w:trPr>
        <w:tc>
          <w:tcPr>
            <w:tcW w:w="799" w:type="dxa"/>
          </w:tcPr>
          <w:p w14:paraId="2238558F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66370B7D" w14:textId="77777777" w:rsidR="00B87E0D" w:rsidRDefault="00B87E0D" w:rsidP="006D4C8C">
            <w:r w:rsidRPr="007F53AD">
              <w:t>EHT Operation Element</w:t>
            </w:r>
          </w:p>
        </w:tc>
        <w:tc>
          <w:tcPr>
            <w:tcW w:w="1302" w:type="dxa"/>
          </w:tcPr>
          <w:p w14:paraId="68C0B19E" w14:textId="77777777" w:rsidR="00B87E0D" w:rsidRDefault="00B87E0D" w:rsidP="006D4C8C"/>
        </w:tc>
        <w:tc>
          <w:tcPr>
            <w:tcW w:w="1489" w:type="dxa"/>
          </w:tcPr>
          <w:p w14:paraId="436AFA3A" w14:textId="77777777" w:rsidR="00B87E0D" w:rsidRDefault="00B87E0D" w:rsidP="006D4C8C"/>
        </w:tc>
        <w:tc>
          <w:tcPr>
            <w:tcW w:w="1138" w:type="dxa"/>
          </w:tcPr>
          <w:p w14:paraId="7A0E5843" w14:textId="77777777" w:rsidR="00B87E0D" w:rsidRDefault="00B87E0D" w:rsidP="006D4C8C"/>
        </w:tc>
        <w:tc>
          <w:tcPr>
            <w:tcW w:w="2628" w:type="dxa"/>
          </w:tcPr>
          <w:p w14:paraId="135CF056" w14:textId="77777777" w:rsidR="00B87E0D" w:rsidRDefault="00B87E0D" w:rsidP="006D4C8C"/>
        </w:tc>
      </w:tr>
      <w:tr w:rsidR="00B87E0D" w14:paraId="3DA00AC9" w14:textId="77777777" w:rsidTr="0090040A">
        <w:trPr>
          <w:trHeight w:val="257"/>
        </w:trPr>
        <w:tc>
          <w:tcPr>
            <w:tcW w:w="799" w:type="dxa"/>
          </w:tcPr>
          <w:p w14:paraId="249AA795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5C1BBF31" w14:textId="77777777" w:rsidR="00B87E0D" w:rsidRDefault="00B87E0D" w:rsidP="006D4C8C">
            <w:r w:rsidRPr="00CE4E2B">
              <w:t>TXOP</w:t>
            </w:r>
          </w:p>
        </w:tc>
        <w:tc>
          <w:tcPr>
            <w:tcW w:w="1302" w:type="dxa"/>
          </w:tcPr>
          <w:p w14:paraId="2F82A041" w14:textId="77777777" w:rsidR="00B87E0D" w:rsidRDefault="00B87E0D" w:rsidP="006D4C8C"/>
        </w:tc>
        <w:tc>
          <w:tcPr>
            <w:tcW w:w="1489" w:type="dxa"/>
          </w:tcPr>
          <w:p w14:paraId="414AB534" w14:textId="77777777" w:rsidR="00B87E0D" w:rsidRDefault="00B87E0D" w:rsidP="006D4C8C"/>
        </w:tc>
        <w:tc>
          <w:tcPr>
            <w:tcW w:w="1138" w:type="dxa"/>
          </w:tcPr>
          <w:p w14:paraId="6A1672B1" w14:textId="77777777" w:rsidR="00B87E0D" w:rsidRDefault="00B87E0D" w:rsidP="006D4C8C"/>
        </w:tc>
        <w:tc>
          <w:tcPr>
            <w:tcW w:w="2628" w:type="dxa"/>
          </w:tcPr>
          <w:p w14:paraId="7A3AD23B" w14:textId="77777777" w:rsidR="00B87E0D" w:rsidRDefault="00B87E0D" w:rsidP="006D4C8C"/>
        </w:tc>
      </w:tr>
      <w:tr w:rsidR="00B87E0D" w14:paraId="4770B78A" w14:textId="77777777" w:rsidTr="0090040A">
        <w:trPr>
          <w:trHeight w:val="271"/>
        </w:trPr>
        <w:tc>
          <w:tcPr>
            <w:tcW w:w="799" w:type="dxa"/>
          </w:tcPr>
          <w:p w14:paraId="3FCA837B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5722E3F1" w14:textId="77777777" w:rsidR="00B87E0D" w:rsidRDefault="00B87E0D" w:rsidP="006D4C8C">
            <w:r w:rsidRPr="002E4CB3">
              <w:t>Priority access support for NS/EP services</w:t>
            </w:r>
          </w:p>
        </w:tc>
        <w:tc>
          <w:tcPr>
            <w:tcW w:w="1302" w:type="dxa"/>
          </w:tcPr>
          <w:p w14:paraId="708F81B8" w14:textId="77777777" w:rsidR="00B87E0D" w:rsidRDefault="00B87E0D" w:rsidP="006D4C8C"/>
        </w:tc>
        <w:tc>
          <w:tcPr>
            <w:tcW w:w="1489" w:type="dxa"/>
          </w:tcPr>
          <w:p w14:paraId="4C7062A2" w14:textId="77777777" w:rsidR="00B87E0D" w:rsidRDefault="00B87E0D" w:rsidP="006D4C8C"/>
        </w:tc>
        <w:tc>
          <w:tcPr>
            <w:tcW w:w="1138" w:type="dxa"/>
          </w:tcPr>
          <w:p w14:paraId="0E84C52F" w14:textId="77777777" w:rsidR="00B87E0D" w:rsidRDefault="00B87E0D" w:rsidP="006D4C8C"/>
        </w:tc>
        <w:tc>
          <w:tcPr>
            <w:tcW w:w="2628" w:type="dxa"/>
          </w:tcPr>
          <w:p w14:paraId="168D57DF" w14:textId="77777777" w:rsidR="00B87E0D" w:rsidRDefault="00B87E0D" w:rsidP="006D4C8C"/>
        </w:tc>
      </w:tr>
      <w:tr w:rsidR="00B87E0D" w14:paraId="235567A9" w14:textId="77777777" w:rsidTr="0090040A">
        <w:trPr>
          <w:trHeight w:val="257"/>
        </w:trPr>
        <w:tc>
          <w:tcPr>
            <w:tcW w:w="799" w:type="dxa"/>
          </w:tcPr>
          <w:p w14:paraId="4A3E0572" w14:textId="77777777" w:rsidR="00B87E0D" w:rsidRPr="003C42E3" w:rsidRDefault="00B87E0D" w:rsidP="006D4C8C">
            <w:pPr>
              <w:rPr>
                <w:strike/>
                <w:color w:val="FF0000"/>
              </w:rPr>
            </w:pPr>
            <w:r w:rsidRPr="003C42E3">
              <w:rPr>
                <w:strike/>
                <w:color w:val="FF0000"/>
              </w:rPr>
              <w:t>MAC</w:t>
            </w:r>
          </w:p>
        </w:tc>
        <w:tc>
          <w:tcPr>
            <w:tcW w:w="3661" w:type="dxa"/>
          </w:tcPr>
          <w:p w14:paraId="4863B7DC" w14:textId="77777777" w:rsidR="00B87E0D" w:rsidRPr="003C42E3" w:rsidRDefault="00B87E0D" w:rsidP="006D4C8C">
            <w:pPr>
              <w:rPr>
                <w:strike/>
                <w:color w:val="FF0000"/>
              </w:rPr>
            </w:pPr>
            <w:r w:rsidRPr="003C42E3">
              <w:rPr>
                <w:strike/>
                <w:color w:val="FF0000"/>
              </w:rPr>
              <w:t xml:space="preserve">Wideband and </w:t>
            </w:r>
            <w:proofErr w:type="spellStart"/>
            <w:r w:rsidRPr="003C42E3">
              <w:rPr>
                <w:strike/>
                <w:color w:val="FF0000"/>
              </w:rPr>
              <w:t>noncontiguous</w:t>
            </w:r>
            <w:proofErr w:type="spellEnd"/>
            <w:r w:rsidRPr="003C42E3">
              <w:rPr>
                <w:strike/>
                <w:color w:val="FF0000"/>
              </w:rPr>
              <w:t xml:space="preserve"> spectrum utilization</w:t>
            </w:r>
          </w:p>
        </w:tc>
        <w:tc>
          <w:tcPr>
            <w:tcW w:w="1302" w:type="dxa"/>
          </w:tcPr>
          <w:p w14:paraId="34915DC5" w14:textId="77777777" w:rsidR="00B87E0D" w:rsidRPr="003C42E3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489" w:type="dxa"/>
          </w:tcPr>
          <w:p w14:paraId="47C72928" w14:textId="77777777" w:rsidR="00B87E0D" w:rsidRPr="003C42E3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138" w:type="dxa"/>
          </w:tcPr>
          <w:p w14:paraId="3E82AE29" w14:textId="77777777" w:rsidR="00B87E0D" w:rsidRPr="003C42E3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2628" w:type="dxa"/>
          </w:tcPr>
          <w:p w14:paraId="36603170" w14:textId="77777777" w:rsidR="00B87E0D" w:rsidRPr="003C42E3" w:rsidRDefault="00B87E0D" w:rsidP="006D4C8C">
            <w:pPr>
              <w:rPr>
                <w:strike/>
                <w:color w:val="FF0000"/>
              </w:rPr>
            </w:pPr>
          </w:p>
        </w:tc>
      </w:tr>
      <w:tr w:rsidR="00B87E0D" w14:paraId="3671EF6D" w14:textId="77777777" w:rsidTr="0090040A">
        <w:trPr>
          <w:trHeight w:val="271"/>
        </w:trPr>
        <w:tc>
          <w:tcPr>
            <w:tcW w:w="799" w:type="dxa"/>
          </w:tcPr>
          <w:p w14:paraId="1E768D4C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45175A5A" w14:textId="77777777" w:rsidR="00B87E0D" w:rsidRDefault="00B87E0D" w:rsidP="006D4C8C">
            <w:r w:rsidRPr="00470724">
              <w:t>M</w:t>
            </w:r>
            <w:r>
              <w:t>LO-</w:t>
            </w:r>
            <w:r w:rsidRPr="003245EC">
              <w:t>General</w:t>
            </w:r>
          </w:p>
        </w:tc>
        <w:tc>
          <w:tcPr>
            <w:tcW w:w="1302" w:type="dxa"/>
          </w:tcPr>
          <w:p w14:paraId="2BF1FBF3" w14:textId="77777777" w:rsidR="00B87E0D" w:rsidRDefault="00B87E0D" w:rsidP="006D4C8C"/>
        </w:tc>
        <w:tc>
          <w:tcPr>
            <w:tcW w:w="1489" w:type="dxa"/>
          </w:tcPr>
          <w:p w14:paraId="7D5B572A" w14:textId="77777777" w:rsidR="00B87E0D" w:rsidRDefault="00B87E0D" w:rsidP="006D4C8C"/>
        </w:tc>
        <w:tc>
          <w:tcPr>
            <w:tcW w:w="1138" w:type="dxa"/>
          </w:tcPr>
          <w:p w14:paraId="342BE7CF" w14:textId="77777777" w:rsidR="00B87E0D" w:rsidRDefault="00B87E0D" w:rsidP="006D4C8C"/>
        </w:tc>
        <w:tc>
          <w:tcPr>
            <w:tcW w:w="2628" w:type="dxa"/>
          </w:tcPr>
          <w:p w14:paraId="1368CC4A" w14:textId="77777777" w:rsidR="00B87E0D" w:rsidRDefault="00B87E0D" w:rsidP="006D4C8C"/>
        </w:tc>
      </w:tr>
      <w:tr w:rsidR="00B87E0D" w14:paraId="5F1382D9" w14:textId="77777777" w:rsidTr="0090040A">
        <w:trPr>
          <w:trHeight w:val="257"/>
        </w:trPr>
        <w:tc>
          <w:tcPr>
            <w:tcW w:w="799" w:type="dxa"/>
          </w:tcPr>
          <w:p w14:paraId="4BFAF972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764063E0" w14:textId="77777777" w:rsidR="00B87E0D" w:rsidRDefault="00B87E0D" w:rsidP="006D4C8C">
            <w:r w:rsidRPr="00470724">
              <w:t>M</w:t>
            </w:r>
            <w:r>
              <w:t>LO-</w:t>
            </w:r>
            <w:r w:rsidRPr="009B4103">
              <w:t>Multi-link setup</w:t>
            </w:r>
          </w:p>
        </w:tc>
        <w:tc>
          <w:tcPr>
            <w:tcW w:w="1302" w:type="dxa"/>
          </w:tcPr>
          <w:p w14:paraId="1F4483EF" w14:textId="77777777" w:rsidR="00B87E0D" w:rsidRDefault="00B87E0D" w:rsidP="006D4C8C"/>
        </w:tc>
        <w:tc>
          <w:tcPr>
            <w:tcW w:w="1489" w:type="dxa"/>
          </w:tcPr>
          <w:p w14:paraId="22862F88" w14:textId="77777777" w:rsidR="00B87E0D" w:rsidRDefault="00B87E0D" w:rsidP="006D4C8C"/>
        </w:tc>
        <w:tc>
          <w:tcPr>
            <w:tcW w:w="1138" w:type="dxa"/>
          </w:tcPr>
          <w:p w14:paraId="10DA47BB" w14:textId="77777777" w:rsidR="00B87E0D" w:rsidRDefault="00B87E0D" w:rsidP="006D4C8C"/>
        </w:tc>
        <w:tc>
          <w:tcPr>
            <w:tcW w:w="2628" w:type="dxa"/>
          </w:tcPr>
          <w:p w14:paraId="20FE83D0" w14:textId="77777777" w:rsidR="00B87E0D" w:rsidRDefault="00B87E0D" w:rsidP="006D4C8C"/>
        </w:tc>
      </w:tr>
      <w:tr w:rsidR="00B87E0D" w14:paraId="6A6E7413" w14:textId="77777777" w:rsidTr="0090040A">
        <w:trPr>
          <w:trHeight w:val="271"/>
        </w:trPr>
        <w:tc>
          <w:tcPr>
            <w:tcW w:w="799" w:type="dxa"/>
          </w:tcPr>
          <w:p w14:paraId="0A8FB932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46C05807" w14:textId="77777777" w:rsidR="00B87E0D" w:rsidRDefault="00B87E0D" w:rsidP="006D4C8C">
            <w:r w:rsidRPr="00470724">
              <w:t>M</w:t>
            </w:r>
            <w:r>
              <w:t>LO-</w:t>
            </w:r>
            <w:r w:rsidRPr="008A72BB">
              <w:t>TID-to-link mapping</w:t>
            </w:r>
          </w:p>
        </w:tc>
        <w:tc>
          <w:tcPr>
            <w:tcW w:w="1302" w:type="dxa"/>
          </w:tcPr>
          <w:p w14:paraId="5BFDEC78" w14:textId="77777777" w:rsidR="00B87E0D" w:rsidRDefault="00B87E0D" w:rsidP="006D4C8C"/>
        </w:tc>
        <w:tc>
          <w:tcPr>
            <w:tcW w:w="1489" w:type="dxa"/>
          </w:tcPr>
          <w:p w14:paraId="37658EF6" w14:textId="77777777" w:rsidR="00B87E0D" w:rsidRDefault="00B87E0D" w:rsidP="006D4C8C"/>
        </w:tc>
        <w:tc>
          <w:tcPr>
            <w:tcW w:w="1138" w:type="dxa"/>
          </w:tcPr>
          <w:p w14:paraId="4E2A4543" w14:textId="77777777" w:rsidR="00B87E0D" w:rsidRDefault="00B87E0D" w:rsidP="006D4C8C"/>
        </w:tc>
        <w:tc>
          <w:tcPr>
            <w:tcW w:w="2628" w:type="dxa"/>
          </w:tcPr>
          <w:p w14:paraId="46B009A2" w14:textId="77777777" w:rsidR="00B87E0D" w:rsidRDefault="00B87E0D" w:rsidP="006D4C8C"/>
        </w:tc>
      </w:tr>
      <w:tr w:rsidR="00B87E0D" w14:paraId="23A1D52A" w14:textId="77777777" w:rsidTr="0090040A">
        <w:trPr>
          <w:trHeight w:val="257"/>
        </w:trPr>
        <w:tc>
          <w:tcPr>
            <w:tcW w:w="799" w:type="dxa"/>
          </w:tcPr>
          <w:p w14:paraId="2A67F025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70747CDA" w14:textId="77777777" w:rsidR="00B87E0D" w:rsidRDefault="00B87E0D" w:rsidP="006D4C8C">
            <w:r w:rsidRPr="00470724">
              <w:t>M</w:t>
            </w:r>
            <w:r>
              <w:t>LO-</w:t>
            </w:r>
            <w:r w:rsidRPr="00145EE6">
              <w:t>Multi-link block ack</w:t>
            </w:r>
          </w:p>
        </w:tc>
        <w:tc>
          <w:tcPr>
            <w:tcW w:w="1302" w:type="dxa"/>
          </w:tcPr>
          <w:p w14:paraId="3FE6A6FD" w14:textId="77777777" w:rsidR="00B87E0D" w:rsidRDefault="00B87E0D" w:rsidP="006D4C8C"/>
        </w:tc>
        <w:tc>
          <w:tcPr>
            <w:tcW w:w="1489" w:type="dxa"/>
          </w:tcPr>
          <w:p w14:paraId="0EA1120D" w14:textId="77777777" w:rsidR="00B87E0D" w:rsidRDefault="00B87E0D" w:rsidP="006D4C8C"/>
        </w:tc>
        <w:tc>
          <w:tcPr>
            <w:tcW w:w="1138" w:type="dxa"/>
          </w:tcPr>
          <w:p w14:paraId="543E43E7" w14:textId="77777777" w:rsidR="00B87E0D" w:rsidRDefault="00B87E0D" w:rsidP="006D4C8C"/>
        </w:tc>
        <w:tc>
          <w:tcPr>
            <w:tcW w:w="2628" w:type="dxa"/>
          </w:tcPr>
          <w:p w14:paraId="73BFE42F" w14:textId="77777777" w:rsidR="00B87E0D" w:rsidRDefault="00B87E0D" w:rsidP="006D4C8C"/>
        </w:tc>
      </w:tr>
      <w:tr w:rsidR="00B87E0D" w14:paraId="275A369D" w14:textId="77777777" w:rsidTr="0090040A">
        <w:trPr>
          <w:trHeight w:val="271"/>
        </w:trPr>
        <w:tc>
          <w:tcPr>
            <w:tcW w:w="799" w:type="dxa"/>
          </w:tcPr>
          <w:p w14:paraId="127B69ED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39B6F62" w14:textId="77777777" w:rsidR="00B87E0D" w:rsidRDefault="00B87E0D" w:rsidP="006D4C8C">
            <w:r w:rsidRPr="00470724">
              <w:t>M</w:t>
            </w:r>
            <w:r>
              <w:t>LO-</w:t>
            </w:r>
            <w:r w:rsidRPr="00210A32">
              <w:t>Power save</w:t>
            </w:r>
          </w:p>
        </w:tc>
        <w:tc>
          <w:tcPr>
            <w:tcW w:w="1302" w:type="dxa"/>
          </w:tcPr>
          <w:p w14:paraId="1D0CC49E" w14:textId="77777777" w:rsidR="00B87E0D" w:rsidRDefault="00B87E0D" w:rsidP="006D4C8C"/>
        </w:tc>
        <w:tc>
          <w:tcPr>
            <w:tcW w:w="1489" w:type="dxa"/>
          </w:tcPr>
          <w:p w14:paraId="0DDF95DA" w14:textId="77777777" w:rsidR="00B87E0D" w:rsidRDefault="00B87E0D" w:rsidP="006D4C8C"/>
        </w:tc>
        <w:tc>
          <w:tcPr>
            <w:tcW w:w="1138" w:type="dxa"/>
          </w:tcPr>
          <w:p w14:paraId="5584855D" w14:textId="77777777" w:rsidR="00B87E0D" w:rsidRDefault="00B87E0D" w:rsidP="006D4C8C"/>
        </w:tc>
        <w:tc>
          <w:tcPr>
            <w:tcW w:w="2628" w:type="dxa"/>
          </w:tcPr>
          <w:p w14:paraId="57FD3154" w14:textId="77777777" w:rsidR="00B87E0D" w:rsidRDefault="00B87E0D" w:rsidP="006D4C8C"/>
        </w:tc>
      </w:tr>
      <w:tr w:rsidR="00B87E0D" w14:paraId="4A437FDE" w14:textId="77777777" w:rsidTr="0090040A">
        <w:trPr>
          <w:trHeight w:val="257"/>
        </w:trPr>
        <w:tc>
          <w:tcPr>
            <w:tcW w:w="799" w:type="dxa"/>
          </w:tcPr>
          <w:p w14:paraId="4AEDE95F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41EAE2A" w14:textId="77777777" w:rsidR="00B87E0D" w:rsidRDefault="00B87E0D" w:rsidP="006D4C8C">
            <w:r w:rsidRPr="00470724">
              <w:t>M</w:t>
            </w:r>
            <w:r>
              <w:t>LO-</w:t>
            </w:r>
            <w:r w:rsidRPr="0002177E">
              <w:t>Multi-link group addressed data delivery</w:t>
            </w:r>
          </w:p>
        </w:tc>
        <w:tc>
          <w:tcPr>
            <w:tcW w:w="1302" w:type="dxa"/>
          </w:tcPr>
          <w:p w14:paraId="480C5421" w14:textId="77777777" w:rsidR="00B87E0D" w:rsidRDefault="00B87E0D" w:rsidP="006D4C8C"/>
        </w:tc>
        <w:tc>
          <w:tcPr>
            <w:tcW w:w="1489" w:type="dxa"/>
          </w:tcPr>
          <w:p w14:paraId="1C044BC9" w14:textId="77777777" w:rsidR="00B87E0D" w:rsidRDefault="00B87E0D" w:rsidP="006D4C8C"/>
        </w:tc>
        <w:tc>
          <w:tcPr>
            <w:tcW w:w="1138" w:type="dxa"/>
          </w:tcPr>
          <w:p w14:paraId="6BDC10AB" w14:textId="77777777" w:rsidR="00B87E0D" w:rsidRDefault="00B87E0D" w:rsidP="006D4C8C"/>
        </w:tc>
        <w:tc>
          <w:tcPr>
            <w:tcW w:w="2628" w:type="dxa"/>
          </w:tcPr>
          <w:p w14:paraId="7478683A" w14:textId="77777777" w:rsidR="00B87E0D" w:rsidRDefault="00B87E0D" w:rsidP="006D4C8C"/>
        </w:tc>
      </w:tr>
      <w:tr w:rsidR="00B87E0D" w14:paraId="655DEB89" w14:textId="77777777" w:rsidTr="0090040A">
        <w:trPr>
          <w:trHeight w:val="271"/>
        </w:trPr>
        <w:tc>
          <w:tcPr>
            <w:tcW w:w="799" w:type="dxa"/>
          </w:tcPr>
          <w:p w14:paraId="1A8D38CC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36C8B916" w14:textId="77777777" w:rsidR="00B87E0D" w:rsidRPr="00EE5640" w:rsidRDefault="00B87E0D" w:rsidP="006D4C8C">
            <w:r w:rsidRPr="00470724">
              <w:t>M</w:t>
            </w:r>
            <w:r>
              <w:t>LO-</w:t>
            </w:r>
            <w:r w:rsidRPr="005B6FB1">
              <w:t>Multi-link channel access</w:t>
            </w:r>
          </w:p>
        </w:tc>
        <w:tc>
          <w:tcPr>
            <w:tcW w:w="1302" w:type="dxa"/>
          </w:tcPr>
          <w:p w14:paraId="4D7145B3" w14:textId="77777777" w:rsidR="00B87E0D" w:rsidRDefault="00B87E0D" w:rsidP="006D4C8C"/>
        </w:tc>
        <w:tc>
          <w:tcPr>
            <w:tcW w:w="1489" w:type="dxa"/>
          </w:tcPr>
          <w:p w14:paraId="0D8BD386" w14:textId="77777777" w:rsidR="00B87E0D" w:rsidRDefault="00B87E0D" w:rsidP="006D4C8C"/>
        </w:tc>
        <w:tc>
          <w:tcPr>
            <w:tcW w:w="1138" w:type="dxa"/>
          </w:tcPr>
          <w:p w14:paraId="483E79F2" w14:textId="77777777" w:rsidR="00B87E0D" w:rsidRDefault="00B87E0D" w:rsidP="006D4C8C"/>
        </w:tc>
        <w:tc>
          <w:tcPr>
            <w:tcW w:w="2628" w:type="dxa"/>
          </w:tcPr>
          <w:p w14:paraId="1FD91095" w14:textId="77777777" w:rsidR="00B87E0D" w:rsidRDefault="00B87E0D" w:rsidP="006D4C8C"/>
        </w:tc>
      </w:tr>
      <w:tr w:rsidR="00B87E0D" w14:paraId="3EF55FAB" w14:textId="77777777" w:rsidTr="0090040A">
        <w:trPr>
          <w:trHeight w:val="257"/>
        </w:trPr>
        <w:tc>
          <w:tcPr>
            <w:tcW w:w="799" w:type="dxa"/>
          </w:tcPr>
          <w:p w14:paraId="5F21C494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D7F4B7E" w14:textId="77777777" w:rsidR="00B87E0D" w:rsidRPr="00EE5640" w:rsidRDefault="00B87E0D" w:rsidP="006D4C8C">
            <w:r w:rsidRPr="00470724">
              <w:t>M</w:t>
            </w:r>
            <w:r>
              <w:t>LO-</w:t>
            </w:r>
            <w:r w:rsidRPr="006C2C0D">
              <w:t>Multi-BSSID</w:t>
            </w:r>
          </w:p>
        </w:tc>
        <w:tc>
          <w:tcPr>
            <w:tcW w:w="1302" w:type="dxa"/>
          </w:tcPr>
          <w:p w14:paraId="077FDF91" w14:textId="77777777" w:rsidR="00B87E0D" w:rsidRDefault="00B87E0D" w:rsidP="006D4C8C"/>
        </w:tc>
        <w:tc>
          <w:tcPr>
            <w:tcW w:w="1489" w:type="dxa"/>
          </w:tcPr>
          <w:p w14:paraId="4FB07965" w14:textId="77777777" w:rsidR="00B87E0D" w:rsidRDefault="00B87E0D" w:rsidP="006D4C8C"/>
        </w:tc>
        <w:tc>
          <w:tcPr>
            <w:tcW w:w="1138" w:type="dxa"/>
          </w:tcPr>
          <w:p w14:paraId="402DE89D" w14:textId="77777777" w:rsidR="00B87E0D" w:rsidRDefault="00B87E0D" w:rsidP="006D4C8C"/>
        </w:tc>
        <w:tc>
          <w:tcPr>
            <w:tcW w:w="2628" w:type="dxa"/>
          </w:tcPr>
          <w:p w14:paraId="3C41AF78" w14:textId="77777777" w:rsidR="00B87E0D" w:rsidRDefault="00B87E0D" w:rsidP="006D4C8C"/>
        </w:tc>
      </w:tr>
      <w:tr w:rsidR="00B87E0D" w14:paraId="6FA1F781" w14:textId="77777777" w:rsidTr="0090040A">
        <w:trPr>
          <w:trHeight w:val="271"/>
        </w:trPr>
        <w:tc>
          <w:tcPr>
            <w:tcW w:w="799" w:type="dxa"/>
          </w:tcPr>
          <w:p w14:paraId="6663EB20" w14:textId="77777777" w:rsidR="00B87E0D" w:rsidRPr="007329FE" w:rsidRDefault="00B87E0D" w:rsidP="006D4C8C">
            <w:pPr>
              <w:rPr>
                <w:strike/>
                <w:color w:val="FF0000"/>
              </w:rPr>
            </w:pPr>
            <w:r w:rsidRPr="007329FE">
              <w:rPr>
                <w:strike/>
                <w:color w:val="FF0000"/>
              </w:rPr>
              <w:t>MAC</w:t>
            </w:r>
          </w:p>
        </w:tc>
        <w:tc>
          <w:tcPr>
            <w:tcW w:w="3661" w:type="dxa"/>
          </w:tcPr>
          <w:p w14:paraId="224019D2" w14:textId="77777777" w:rsidR="00B87E0D" w:rsidRPr="007329FE" w:rsidRDefault="00B87E0D" w:rsidP="006D4C8C">
            <w:pPr>
              <w:rPr>
                <w:strike/>
                <w:color w:val="FF0000"/>
              </w:rPr>
            </w:pPr>
            <w:r w:rsidRPr="007329FE">
              <w:rPr>
                <w:strike/>
                <w:color w:val="FF0000"/>
              </w:rPr>
              <w:t>Multi-band and multichannel aggregation and operation General</w:t>
            </w:r>
          </w:p>
        </w:tc>
        <w:tc>
          <w:tcPr>
            <w:tcW w:w="1302" w:type="dxa"/>
          </w:tcPr>
          <w:p w14:paraId="102B560C" w14:textId="77777777" w:rsidR="00B87E0D" w:rsidRPr="007329FE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489" w:type="dxa"/>
          </w:tcPr>
          <w:p w14:paraId="6990CC25" w14:textId="77777777" w:rsidR="00B87E0D" w:rsidRPr="007329FE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138" w:type="dxa"/>
          </w:tcPr>
          <w:p w14:paraId="72F493B6" w14:textId="77777777" w:rsidR="00B87E0D" w:rsidRPr="007329FE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2628" w:type="dxa"/>
          </w:tcPr>
          <w:p w14:paraId="2BD39904" w14:textId="77777777" w:rsidR="00B87E0D" w:rsidRPr="007329FE" w:rsidRDefault="00B87E0D" w:rsidP="006D4C8C">
            <w:pPr>
              <w:rPr>
                <w:strike/>
                <w:color w:val="FF0000"/>
              </w:rPr>
            </w:pPr>
          </w:p>
        </w:tc>
      </w:tr>
      <w:tr w:rsidR="00B87E0D" w14:paraId="0E5F3799" w14:textId="77777777" w:rsidTr="0090040A">
        <w:trPr>
          <w:trHeight w:val="257"/>
        </w:trPr>
        <w:tc>
          <w:tcPr>
            <w:tcW w:w="799" w:type="dxa"/>
          </w:tcPr>
          <w:p w14:paraId="33A113E3" w14:textId="77777777" w:rsidR="00B87E0D" w:rsidRPr="00CA43D1" w:rsidRDefault="00B87E0D" w:rsidP="006D4C8C">
            <w:pPr>
              <w:rPr>
                <w:strike/>
                <w:color w:val="FF0000"/>
              </w:rPr>
            </w:pPr>
            <w:r w:rsidRPr="00CA43D1">
              <w:rPr>
                <w:strike/>
                <w:color w:val="FF0000"/>
              </w:rPr>
              <w:t>MAC</w:t>
            </w:r>
          </w:p>
        </w:tc>
        <w:tc>
          <w:tcPr>
            <w:tcW w:w="3661" w:type="dxa"/>
          </w:tcPr>
          <w:p w14:paraId="4584C767" w14:textId="77777777" w:rsidR="00B87E0D" w:rsidRPr="00CA43D1" w:rsidRDefault="00B87E0D" w:rsidP="006D4C8C">
            <w:pPr>
              <w:rPr>
                <w:strike/>
                <w:color w:val="FF0000"/>
              </w:rPr>
            </w:pPr>
            <w:r w:rsidRPr="00CA43D1">
              <w:rPr>
                <w:strike/>
                <w:color w:val="FF0000"/>
              </w:rPr>
              <w:t>Spatial stream and MIMO protocol enhancement-General</w:t>
            </w:r>
          </w:p>
        </w:tc>
        <w:tc>
          <w:tcPr>
            <w:tcW w:w="1302" w:type="dxa"/>
          </w:tcPr>
          <w:p w14:paraId="11E28F64" w14:textId="77777777" w:rsidR="00B87E0D" w:rsidRPr="00CA43D1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489" w:type="dxa"/>
          </w:tcPr>
          <w:p w14:paraId="3BA3A20E" w14:textId="77777777" w:rsidR="00B87E0D" w:rsidRPr="00CA43D1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138" w:type="dxa"/>
          </w:tcPr>
          <w:p w14:paraId="0F8CCBCE" w14:textId="77777777" w:rsidR="00B87E0D" w:rsidRPr="00CA43D1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2628" w:type="dxa"/>
          </w:tcPr>
          <w:p w14:paraId="277353B6" w14:textId="77777777" w:rsidR="00B87E0D" w:rsidRPr="00CA43D1" w:rsidRDefault="00B87E0D" w:rsidP="006D4C8C">
            <w:pPr>
              <w:rPr>
                <w:strike/>
                <w:color w:val="FF0000"/>
              </w:rPr>
            </w:pPr>
          </w:p>
        </w:tc>
      </w:tr>
      <w:tr w:rsidR="00B87E0D" w14:paraId="0A992145" w14:textId="77777777" w:rsidTr="0090040A">
        <w:trPr>
          <w:trHeight w:val="271"/>
        </w:trPr>
        <w:tc>
          <w:tcPr>
            <w:tcW w:w="799" w:type="dxa"/>
          </w:tcPr>
          <w:p w14:paraId="75E4B12F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616E58A6" w14:textId="77777777" w:rsidR="00B87E0D" w:rsidRPr="00EE5640" w:rsidRDefault="00B87E0D" w:rsidP="006D4C8C">
            <w:r w:rsidRPr="00A62A1F">
              <w:t>Spatial stream and MIMO protocol enhancement</w:t>
            </w:r>
            <w:r>
              <w:t>-</w:t>
            </w:r>
            <w:r w:rsidRPr="00250009">
              <w:t>16 spatial stream operation</w:t>
            </w:r>
          </w:p>
        </w:tc>
        <w:tc>
          <w:tcPr>
            <w:tcW w:w="1302" w:type="dxa"/>
          </w:tcPr>
          <w:p w14:paraId="614BCCD1" w14:textId="77777777" w:rsidR="00B87E0D" w:rsidRDefault="00B87E0D" w:rsidP="006D4C8C"/>
        </w:tc>
        <w:tc>
          <w:tcPr>
            <w:tcW w:w="1489" w:type="dxa"/>
          </w:tcPr>
          <w:p w14:paraId="33FD5913" w14:textId="77777777" w:rsidR="00B87E0D" w:rsidRDefault="00B87E0D" w:rsidP="006D4C8C"/>
        </w:tc>
        <w:tc>
          <w:tcPr>
            <w:tcW w:w="1138" w:type="dxa"/>
          </w:tcPr>
          <w:p w14:paraId="194EFE01" w14:textId="77777777" w:rsidR="00B87E0D" w:rsidRDefault="00B87E0D" w:rsidP="006D4C8C"/>
        </w:tc>
        <w:tc>
          <w:tcPr>
            <w:tcW w:w="2628" w:type="dxa"/>
          </w:tcPr>
          <w:p w14:paraId="06732683" w14:textId="77777777" w:rsidR="00B87E0D" w:rsidRDefault="00B87E0D" w:rsidP="006D4C8C"/>
        </w:tc>
      </w:tr>
      <w:tr w:rsidR="00B87E0D" w14:paraId="325A16B9" w14:textId="77777777" w:rsidTr="0090040A">
        <w:trPr>
          <w:trHeight w:val="257"/>
        </w:trPr>
        <w:tc>
          <w:tcPr>
            <w:tcW w:w="799" w:type="dxa"/>
          </w:tcPr>
          <w:p w14:paraId="2F9E17F4" w14:textId="77777777" w:rsidR="00B87E0D" w:rsidRPr="00BE187F" w:rsidRDefault="00B87E0D" w:rsidP="006D4C8C">
            <w:pPr>
              <w:rPr>
                <w:strike/>
                <w:color w:val="FF0000"/>
              </w:rPr>
            </w:pPr>
            <w:r w:rsidRPr="00BE187F">
              <w:rPr>
                <w:strike/>
                <w:color w:val="FF0000"/>
              </w:rPr>
              <w:t>MAC</w:t>
            </w:r>
          </w:p>
        </w:tc>
        <w:tc>
          <w:tcPr>
            <w:tcW w:w="3661" w:type="dxa"/>
          </w:tcPr>
          <w:p w14:paraId="5F09B4D8" w14:textId="77777777" w:rsidR="00B87E0D" w:rsidRPr="00BE187F" w:rsidRDefault="00B87E0D" w:rsidP="006D4C8C">
            <w:pPr>
              <w:rPr>
                <w:strike/>
                <w:color w:val="FF0000"/>
              </w:rPr>
            </w:pPr>
            <w:r w:rsidRPr="00BE187F">
              <w:rPr>
                <w:strike/>
                <w:color w:val="FF0000"/>
              </w:rPr>
              <w:t>MAP-General</w:t>
            </w:r>
          </w:p>
        </w:tc>
        <w:tc>
          <w:tcPr>
            <w:tcW w:w="1302" w:type="dxa"/>
          </w:tcPr>
          <w:p w14:paraId="126BAE12" w14:textId="77777777" w:rsidR="00B87E0D" w:rsidRPr="00BE187F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489" w:type="dxa"/>
          </w:tcPr>
          <w:p w14:paraId="480195B8" w14:textId="77777777" w:rsidR="00B87E0D" w:rsidRPr="00BE187F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1138" w:type="dxa"/>
          </w:tcPr>
          <w:p w14:paraId="7FD9A1FC" w14:textId="77777777" w:rsidR="00B87E0D" w:rsidRPr="00BE187F" w:rsidRDefault="00B87E0D" w:rsidP="006D4C8C">
            <w:pPr>
              <w:rPr>
                <w:strike/>
                <w:color w:val="FF0000"/>
              </w:rPr>
            </w:pPr>
          </w:p>
        </w:tc>
        <w:tc>
          <w:tcPr>
            <w:tcW w:w="2628" w:type="dxa"/>
          </w:tcPr>
          <w:p w14:paraId="5B284133" w14:textId="77777777" w:rsidR="00B87E0D" w:rsidRPr="00BE187F" w:rsidRDefault="00B87E0D" w:rsidP="006D4C8C">
            <w:pPr>
              <w:rPr>
                <w:strike/>
                <w:color w:val="FF0000"/>
              </w:rPr>
            </w:pPr>
          </w:p>
        </w:tc>
      </w:tr>
      <w:tr w:rsidR="00B87E0D" w14:paraId="5F932D4A" w14:textId="77777777" w:rsidTr="0090040A">
        <w:trPr>
          <w:trHeight w:val="271"/>
        </w:trPr>
        <w:tc>
          <w:tcPr>
            <w:tcW w:w="799" w:type="dxa"/>
          </w:tcPr>
          <w:p w14:paraId="45267ED7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70DCCA74" w14:textId="77777777" w:rsidR="00B87E0D" w:rsidRPr="00EE5640" w:rsidRDefault="00B87E0D" w:rsidP="006D4C8C">
            <w:r>
              <w:t>MAP-</w:t>
            </w:r>
            <w:r w:rsidRPr="00626535">
              <w:t>Setup</w:t>
            </w:r>
          </w:p>
        </w:tc>
        <w:tc>
          <w:tcPr>
            <w:tcW w:w="1302" w:type="dxa"/>
          </w:tcPr>
          <w:p w14:paraId="614FC7DD" w14:textId="77777777" w:rsidR="00B87E0D" w:rsidRDefault="00B87E0D" w:rsidP="006D4C8C"/>
        </w:tc>
        <w:tc>
          <w:tcPr>
            <w:tcW w:w="1489" w:type="dxa"/>
          </w:tcPr>
          <w:p w14:paraId="4CB34FB6" w14:textId="77777777" w:rsidR="00B87E0D" w:rsidRDefault="00B87E0D" w:rsidP="006D4C8C"/>
        </w:tc>
        <w:tc>
          <w:tcPr>
            <w:tcW w:w="1138" w:type="dxa"/>
          </w:tcPr>
          <w:p w14:paraId="1605DE93" w14:textId="77777777" w:rsidR="00B87E0D" w:rsidRDefault="00B87E0D" w:rsidP="006D4C8C"/>
        </w:tc>
        <w:tc>
          <w:tcPr>
            <w:tcW w:w="2628" w:type="dxa"/>
          </w:tcPr>
          <w:p w14:paraId="7A385EA1" w14:textId="77777777" w:rsidR="00B87E0D" w:rsidRDefault="00B87E0D" w:rsidP="006D4C8C"/>
        </w:tc>
      </w:tr>
      <w:tr w:rsidR="00B87E0D" w14:paraId="6F939BFE" w14:textId="77777777" w:rsidTr="0090040A">
        <w:trPr>
          <w:trHeight w:val="257"/>
        </w:trPr>
        <w:tc>
          <w:tcPr>
            <w:tcW w:w="799" w:type="dxa"/>
          </w:tcPr>
          <w:p w14:paraId="2C3D51D1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477881E9" w14:textId="77777777" w:rsidR="00B87E0D" w:rsidRPr="00EE5640" w:rsidRDefault="00B87E0D" w:rsidP="006D4C8C">
            <w:r>
              <w:t>MAP-</w:t>
            </w:r>
            <w:r w:rsidRPr="00215978">
              <w:t>Channel sounding</w:t>
            </w:r>
          </w:p>
        </w:tc>
        <w:tc>
          <w:tcPr>
            <w:tcW w:w="1302" w:type="dxa"/>
          </w:tcPr>
          <w:p w14:paraId="751CB051" w14:textId="77777777" w:rsidR="00B87E0D" w:rsidRDefault="00B87E0D" w:rsidP="006D4C8C"/>
        </w:tc>
        <w:tc>
          <w:tcPr>
            <w:tcW w:w="1489" w:type="dxa"/>
          </w:tcPr>
          <w:p w14:paraId="68A50A1C" w14:textId="77777777" w:rsidR="00B87E0D" w:rsidRDefault="00B87E0D" w:rsidP="006D4C8C"/>
        </w:tc>
        <w:tc>
          <w:tcPr>
            <w:tcW w:w="1138" w:type="dxa"/>
          </w:tcPr>
          <w:p w14:paraId="1E81C996" w14:textId="77777777" w:rsidR="00B87E0D" w:rsidRDefault="00B87E0D" w:rsidP="006D4C8C"/>
        </w:tc>
        <w:tc>
          <w:tcPr>
            <w:tcW w:w="2628" w:type="dxa"/>
          </w:tcPr>
          <w:p w14:paraId="741F4B2B" w14:textId="77777777" w:rsidR="00B87E0D" w:rsidRDefault="00B87E0D" w:rsidP="006D4C8C"/>
        </w:tc>
      </w:tr>
      <w:tr w:rsidR="00B87E0D" w14:paraId="09940628" w14:textId="77777777" w:rsidTr="0090040A">
        <w:trPr>
          <w:trHeight w:val="271"/>
        </w:trPr>
        <w:tc>
          <w:tcPr>
            <w:tcW w:w="799" w:type="dxa"/>
          </w:tcPr>
          <w:p w14:paraId="0CD4445B" w14:textId="77777777" w:rsidR="00B87E0D" w:rsidRPr="00EE5640" w:rsidRDefault="00B87E0D" w:rsidP="006D4C8C">
            <w:r w:rsidRPr="0045579D">
              <w:lastRenderedPageBreak/>
              <w:t>MAC</w:t>
            </w:r>
          </w:p>
        </w:tc>
        <w:tc>
          <w:tcPr>
            <w:tcW w:w="3661" w:type="dxa"/>
          </w:tcPr>
          <w:p w14:paraId="464F0BE2" w14:textId="77777777" w:rsidR="00B87E0D" w:rsidRPr="00B104DC" w:rsidRDefault="00B87E0D" w:rsidP="006D4C8C">
            <w:r>
              <w:t>MAP-</w:t>
            </w:r>
            <w:r w:rsidRPr="00676E60">
              <w:t>Coordinated transmission</w:t>
            </w:r>
          </w:p>
        </w:tc>
        <w:tc>
          <w:tcPr>
            <w:tcW w:w="1302" w:type="dxa"/>
          </w:tcPr>
          <w:p w14:paraId="6187B91D" w14:textId="77777777" w:rsidR="00B87E0D" w:rsidRDefault="00B87E0D" w:rsidP="006D4C8C"/>
        </w:tc>
        <w:tc>
          <w:tcPr>
            <w:tcW w:w="1489" w:type="dxa"/>
          </w:tcPr>
          <w:p w14:paraId="2ED56979" w14:textId="77777777" w:rsidR="00B87E0D" w:rsidRDefault="00B87E0D" w:rsidP="006D4C8C"/>
        </w:tc>
        <w:tc>
          <w:tcPr>
            <w:tcW w:w="1138" w:type="dxa"/>
          </w:tcPr>
          <w:p w14:paraId="4C3C1BED" w14:textId="77777777" w:rsidR="00B87E0D" w:rsidRDefault="00B87E0D" w:rsidP="006D4C8C"/>
        </w:tc>
        <w:tc>
          <w:tcPr>
            <w:tcW w:w="2628" w:type="dxa"/>
          </w:tcPr>
          <w:p w14:paraId="39082C30" w14:textId="77777777" w:rsidR="00B87E0D" w:rsidRDefault="00B87E0D" w:rsidP="006D4C8C"/>
        </w:tc>
      </w:tr>
      <w:tr w:rsidR="00B87E0D" w14:paraId="7134DD95" w14:textId="77777777" w:rsidTr="0090040A">
        <w:trPr>
          <w:trHeight w:val="257"/>
        </w:trPr>
        <w:tc>
          <w:tcPr>
            <w:tcW w:w="799" w:type="dxa"/>
          </w:tcPr>
          <w:p w14:paraId="0EBCE268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7F467A42" w14:textId="77777777" w:rsidR="00B87E0D" w:rsidRPr="00B104DC" w:rsidRDefault="00B87E0D" w:rsidP="006D4C8C">
            <w:r>
              <w:t>MAP-</w:t>
            </w:r>
            <w:r w:rsidRPr="009D162D">
              <w:t>Other Multi-AP coordination schemes</w:t>
            </w:r>
          </w:p>
        </w:tc>
        <w:tc>
          <w:tcPr>
            <w:tcW w:w="1302" w:type="dxa"/>
          </w:tcPr>
          <w:p w14:paraId="4DCD24F2" w14:textId="77777777" w:rsidR="00B87E0D" w:rsidRDefault="00B87E0D" w:rsidP="006D4C8C"/>
        </w:tc>
        <w:tc>
          <w:tcPr>
            <w:tcW w:w="1489" w:type="dxa"/>
          </w:tcPr>
          <w:p w14:paraId="520F3234" w14:textId="77777777" w:rsidR="00B87E0D" w:rsidRDefault="00B87E0D" w:rsidP="006D4C8C"/>
        </w:tc>
        <w:tc>
          <w:tcPr>
            <w:tcW w:w="1138" w:type="dxa"/>
          </w:tcPr>
          <w:p w14:paraId="2C05CA03" w14:textId="77777777" w:rsidR="00B87E0D" w:rsidRDefault="00B87E0D" w:rsidP="006D4C8C"/>
        </w:tc>
        <w:tc>
          <w:tcPr>
            <w:tcW w:w="2628" w:type="dxa"/>
          </w:tcPr>
          <w:p w14:paraId="752395C0" w14:textId="77777777" w:rsidR="00B87E0D" w:rsidRDefault="00B87E0D" w:rsidP="006D4C8C"/>
        </w:tc>
      </w:tr>
    </w:tbl>
    <w:p w14:paraId="1425A0A2" w14:textId="77777777" w:rsidR="00B87E0D" w:rsidRPr="00EB78BB" w:rsidRDefault="00B87E0D" w:rsidP="00B87E0D"/>
    <w:p w14:paraId="37460356" w14:textId="5007387F" w:rsidR="00935D59" w:rsidRDefault="00935D59" w:rsidP="00B87E0D"/>
    <w:p w14:paraId="400F2ED0" w14:textId="2183C7C4" w:rsidR="00D80FDC" w:rsidRDefault="00D80FDC" w:rsidP="00B87E0D"/>
    <w:p w14:paraId="57937AC0" w14:textId="77777777" w:rsidR="00D80FDC" w:rsidRDefault="00D80FDC" w:rsidP="00B87E0D"/>
    <w:p w14:paraId="0912BA07" w14:textId="2E775192" w:rsidR="00D80FDC" w:rsidRDefault="00D80FDC" w:rsidP="00B87E0D"/>
    <w:p w14:paraId="1E262875" w14:textId="77777777" w:rsidR="00D80FDC" w:rsidRDefault="00D80FDC" w:rsidP="00D80FDC">
      <w:pPr>
        <w:pStyle w:val="Heading2"/>
        <w:rPr>
          <w:lang w:val="en-US"/>
        </w:rPr>
      </w:pPr>
      <w:bookmarkStart w:id="1" w:name="_Ref44303898"/>
      <w:r>
        <w:rPr>
          <w:lang w:val="en-US"/>
        </w:rPr>
        <w:t>Guideline-Spec Text Drafting for TGbe D0.1</w:t>
      </w:r>
      <w:bookmarkEnd w:id="1"/>
    </w:p>
    <w:p w14:paraId="38EADC7B" w14:textId="77777777" w:rsidR="00D80FDC" w:rsidRDefault="00D80FDC" w:rsidP="00D80FDC">
      <w:pPr>
        <w:jc w:val="both"/>
        <w:rPr>
          <w:lang w:val="en-US"/>
        </w:rPr>
      </w:pPr>
    </w:p>
    <w:p w14:paraId="25193B91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Topic classification will be based on the TGbe SFD subclause (assuming there is at least one motions for that subclause). </w:t>
      </w:r>
    </w:p>
    <w:p w14:paraId="092B6548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Re-organizations and/or re-classifications may be requested </w:t>
      </w:r>
      <w:r>
        <w:rPr>
          <w:rFonts w:ascii="Calibri" w:hAnsi="Calibri" w:cs="Calibri"/>
          <w:szCs w:val="22"/>
          <w:lang w:val="en-US"/>
        </w:rPr>
        <w:t>of</w:t>
      </w:r>
      <w:r w:rsidRPr="00007CBE">
        <w:rPr>
          <w:rFonts w:ascii="Calibri" w:hAnsi="Calibri" w:cs="Calibri"/>
          <w:szCs w:val="22"/>
          <w:lang w:val="en-US"/>
        </w:rPr>
        <w:t xml:space="preserve"> the TGbe editor if there are structural inconsistencies. </w:t>
      </w:r>
    </w:p>
    <w:p w14:paraId="60D92EC8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For e</w:t>
      </w:r>
      <w:r w:rsidRPr="00007CBE">
        <w:rPr>
          <w:rFonts w:ascii="Calibri" w:hAnsi="Calibri" w:cs="Calibri"/>
          <w:szCs w:val="22"/>
          <w:lang w:val="en-US"/>
        </w:rPr>
        <w:t xml:space="preserve">ach subclause/topic </w:t>
      </w:r>
      <w:r>
        <w:rPr>
          <w:rFonts w:ascii="Calibri" w:hAnsi="Calibri" w:cs="Calibri"/>
          <w:szCs w:val="22"/>
          <w:lang w:val="en-US"/>
        </w:rPr>
        <w:t>a member will be</w:t>
      </w:r>
      <w:r w:rsidRPr="00007CBE">
        <w:rPr>
          <w:rFonts w:ascii="Calibri" w:hAnsi="Calibri" w:cs="Calibri"/>
          <w:szCs w:val="22"/>
          <w:lang w:val="en-US"/>
        </w:rPr>
        <w:t xml:space="preserve"> assigned </w:t>
      </w:r>
      <w:r>
        <w:rPr>
          <w:rFonts w:ascii="Calibri" w:hAnsi="Calibri" w:cs="Calibri"/>
          <w:szCs w:val="22"/>
          <w:lang w:val="en-US"/>
        </w:rPr>
        <w:t>to be</w:t>
      </w:r>
      <w:r w:rsidRPr="00007CBE">
        <w:rPr>
          <w:rFonts w:ascii="Calibri" w:hAnsi="Calibri" w:cs="Calibri"/>
          <w:szCs w:val="22"/>
          <w:lang w:val="en-US"/>
        </w:rPr>
        <w:t xml:space="preserve"> the point of contact (POC). </w:t>
      </w:r>
    </w:p>
    <w:p w14:paraId="06E48E45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to be the POC for a given subclause/topic, however it is recommended that the POC is familiar with the technical details (e.g., has contributed to the TGbe SFD on that topic). Additionally</w:t>
      </w:r>
      <w:r>
        <w:rPr>
          <w:rFonts w:ascii="Calibri" w:hAnsi="Calibri" w:cs="Calibri"/>
          <w:szCs w:val="22"/>
          <w:lang w:val="en-US"/>
        </w:rPr>
        <w:t>,</w:t>
      </w:r>
      <w:r w:rsidRPr="00007CBE">
        <w:rPr>
          <w:rFonts w:ascii="Calibri" w:hAnsi="Calibri" w:cs="Calibri"/>
          <w:szCs w:val="22"/>
          <w:lang w:val="en-US"/>
        </w:rPr>
        <w:t xml:space="preserve"> the POC should have experience in spec text writing.</w:t>
      </w:r>
    </w:p>
    <w:p w14:paraId="093297DB" w14:textId="77777777" w:rsidR="00D80FDC" w:rsidRPr="00C63E61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C63E61">
        <w:rPr>
          <w:rFonts w:ascii="Calibri" w:hAnsi="Calibri" w:cs="Calibri"/>
          <w:szCs w:val="22"/>
          <w:u w:val="single"/>
          <w:lang w:val="en-US"/>
        </w:rPr>
        <w:t xml:space="preserve">If more than one member volunteers </w:t>
      </w:r>
      <w:r>
        <w:rPr>
          <w:rFonts w:ascii="Calibri" w:hAnsi="Calibri" w:cs="Calibri"/>
          <w:szCs w:val="22"/>
          <w:u w:val="single"/>
          <w:lang w:val="en-US"/>
        </w:rPr>
        <w:t xml:space="preserve">to be a POC for a topic then a quick discussion on the next conf call (to which that topic falls) will be entertained to select the POC.  </w:t>
      </w:r>
    </w:p>
    <w:p w14:paraId="74F8552B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POCs responsibilities are as follows: </w:t>
      </w:r>
    </w:p>
    <w:p w14:paraId="75E83DB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Prepare main skeleton (and spec text for the topic) of the subclauses pertaining to that topic and upload the base document to the mentor website,</w:t>
      </w:r>
    </w:p>
    <w:p w14:paraId="69939EDE" w14:textId="77777777" w:rsidR="00D80FDC" w:rsidRPr="00992D22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992D22">
        <w:rPr>
          <w:rFonts w:ascii="Calibri" w:hAnsi="Calibri" w:cs="Calibri"/>
          <w:szCs w:val="22"/>
          <w:u w:val="single"/>
          <w:lang w:val="en-US"/>
        </w:rPr>
        <w:t>For ease of identification, all draft text documents to begin with "PDT-" for "Proposed Draft Text</w:t>
      </w:r>
      <w:r>
        <w:rPr>
          <w:rFonts w:ascii="Calibri" w:hAnsi="Calibri" w:cs="Calibri"/>
          <w:szCs w:val="22"/>
          <w:u w:val="single"/>
          <w:lang w:val="en-US"/>
        </w:rPr>
        <w:t>, and the topic classification (MAC/PHY/JOINT)</w:t>
      </w:r>
      <w:r w:rsidRPr="00992D22">
        <w:rPr>
          <w:rFonts w:ascii="Calibri" w:hAnsi="Calibri" w:cs="Calibri"/>
          <w:szCs w:val="22"/>
          <w:u w:val="single"/>
          <w:lang w:val="en-US"/>
        </w:rPr>
        <w:t>"  (e.g. 11-20-0999-00be-PDT-MAC-MLO-Power-Save).</w:t>
      </w:r>
    </w:p>
    <w:p w14:paraId="5F429652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Start a thread in the TGbe reflector for that topic, which is the point of reference for having discussions and exchanging feedback with other members.</w:t>
      </w:r>
    </w:p>
    <w:p w14:paraId="188DA24E" w14:textId="77777777" w:rsidR="00D80FDC" w:rsidRPr="00B33615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B33615">
        <w:rPr>
          <w:rFonts w:ascii="Calibri" w:hAnsi="Calibri" w:cs="Calibri"/>
          <w:szCs w:val="22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Assign tasks to other volunteering members (e.g., assign portions of spec text in dependent subclauses) that are part of that topic task team (TTT), </w:t>
      </w:r>
    </w:p>
    <w:p w14:paraId="49F50A4D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Should ensure that all the concepts for that topic that are present in the TGbe SFD are covered by spec text being developed in the TTT.</w:t>
      </w:r>
    </w:p>
    <w:p w14:paraId="63332D36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If there is a conflict for a concept within that topic then any member can bring the subject to any of the scheduled conference calls to seek guidance from the TGbe group. </w:t>
      </w:r>
    </w:p>
    <w:p w14:paraId="3D5A625C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Guidance can be in the form of technical feedback, narrowing down options via straw polls.</w:t>
      </w:r>
    </w:p>
    <w:p w14:paraId="4F7C414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This </w:t>
      </w:r>
      <w:r>
        <w:rPr>
          <w:rFonts w:ascii="Calibri" w:hAnsi="Calibri" w:cs="Calibri"/>
          <w:szCs w:val="22"/>
          <w:lang w:val="en-US"/>
        </w:rPr>
        <w:t xml:space="preserve">accelerated </w:t>
      </w:r>
      <w:r w:rsidRPr="00007CBE">
        <w:rPr>
          <w:rFonts w:ascii="Calibri" w:hAnsi="Calibri" w:cs="Calibri"/>
          <w:szCs w:val="22"/>
          <w:lang w:val="en-US"/>
        </w:rPr>
        <w:t>pat</w:t>
      </w:r>
      <w:r>
        <w:rPr>
          <w:rFonts w:ascii="Calibri" w:hAnsi="Calibri" w:cs="Calibri"/>
          <w:szCs w:val="22"/>
          <w:lang w:val="en-US"/>
        </w:rPr>
        <w:t>h (</w:t>
      </w:r>
      <w:r w:rsidRPr="002E6F4F">
        <w:rPr>
          <w:rFonts w:ascii="Calibri" w:hAnsi="Calibri" w:cs="Calibri"/>
          <w:szCs w:val="22"/>
          <w:u w:val="single"/>
          <w:lang w:val="en-US"/>
        </w:rPr>
        <w:t>for spec text discussions</w:t>
      </w:r>
      <w:r>
        <w:rPr>
          <w:rFonts w:ascii="Calibri" w:hAnsi="Calibri" w:cs="Calibri"/>
          <w:szCs w:val="22"/>
          <w:lang w:val="en-US"/>
        </w:rPr>
        <w:t>)</w:t>
      </w:r>
      <w:r w:rsidRPr="00007CBE">
        <w:rPr>
          <w:rFonts w:ascii="Calibri" w:hAnsi="Calibri" w:cs="Calibri"/>
          <w:szCs w:val="22"/>
          <w:lang w:val="en-US"/>
        </w:rPr>
        <w:t xml:space="preserve"> is dedicated to essential components for the functionality or completeness of that feature.</w:t>
      </w:r>
    </w:p>
    <w:p w14:paraId="6CE23E07" w14:textId="77777777" w:rsidR="00D80FDC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When the spec text for a particular subclause/topic is ready then the POC should request the respective chairs (MAC/PHY/JOINT) to run a SP for including the prepared spec text to the D0.1 of 11be.</w:t>
      </w:r>
    </w:p>
    <w:p w14:paraId="3E727393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E73A2E">
        <w:rPr>
          <w:rFonts w:ascii="Calibri" w:hAnsi="Calibri" w:cs="Calibri"/>
          <w:szCs w:val="22"/>
          <w:u w:val="single"/>
          <w:lang w:val="en-US"/>
        </w:rPr>
        <w:t>The document that is planned to be ran should be posted in the server for at least 7 days prior to running the SP</w:t>
      </w:r>
      <w:r w:rsidRPr="00511777">
        <w:rPr>
          <w:rFonts w:ascii="Calibri" w:hAnsi="Calibri" w:cs="Calibri"/>
          <w:szCs w:val="22"/>
          <w:u w:val="single"/>
          <w:lang w:val="en-US"/>
        </w:rPr>
        <w:t>.</w:t>
      </w:r>
    </w:p>
    <w:p w14:paraId="47C8B0EF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lastRenderedPageBreak/>
        <w:t>If the SP is approved then the TGbe editor will include the spec text to the draft, otherwise the spec text will not be included in its current form.</w:t>
      </w:r>
    </w:p>
    <w:p w14:paraId="7938953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deadline for completing this task is set for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September 1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st</w:t>
      </w:r>
      <w:proofErr w:type="gramStart"/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 xml:space="preserve"> 2020</w:t>
      </w:r>
      <w:proofErr w:type="gramEnd"/>
      <w:r w:rsidRPr="00007CBE">
        <w:rPr>
          <w:rFonts w:ascii="Calibri" w:hAnsi="Calibri" w:cs="Calibri"/>
          <w:szCs w:val="22"/>
          <w:lang w:val="en-US"/>
        </w:rPr>
        <w:t xml:space="preserve"> (EOD ET).</w:t>
      </w:r>
    </w:p>
    <w:p w14:paraId="0AC066E0" w14:textId="77777777" w:rsidR="00D80FDC" w:rsidRPr="00E24954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E24954">
        <w:rPr>
          <w:rFonts w:ascii="Calibri" w:hAnsi="Calibri" w:cs="Calibri"/>
          <w:szCs w:val="22"/>
          <w:u w:val="single"/>
          <w:lang w:val="en-US"/>
        </w:rPr>
        <w:t xml:space="preserve">Note: Figures should be provided to the editor in </w:t>
      </w:r>
      <w:proofErr w:type="spellStart"/>
      <w:r w:rsidRPr="00E24954">
        <w:rPr>
          <w:rFonts w:ascii="Calibri" w:hAnsi="Calibri" w:cs="Calibri"/>
          <w:szCs w:val="22"/>
          <w:u w:val="single"/>
          <w:lang w:val="en-US"/>
        </w:rPr>
        <w:t>visio</w:t>
      </w:r>
      <w:proofErr w:type="spellEnd"/>
      <w:r w:rsidRPr="00E24954">
        <w:rPr>
          <w:rFonts w:ascii="Calibri" w:hAnsi="Calibri" w:cs="Calibri"/>
          <w:szCs w:val="22"/>
          <w:u w:val="single"/>
          <w:lang w:val="en-US"/>
        </w:rPr>
        <w:t xml:space="preserve"> format</w:t>
      </w:r>
      <w:r>
        <w:rPr>
          <w:rFonts w:ascii="Calibri" w:hAnsi="Calibri" w:cs="Calibri"/>
          <w:szCs w:val="22"/>
          <w:u w:val="single"/>
          <w:lang w:val="en-US"/>
        </w:rPr>
        <w:t xml:space="preserve"> (monochromatic)</w:t>
      </w:r>
      <w:r w:rsidRPr="00E24954">
        <w:rPr>
          <w:rFonts w:ascii="Calibri" w:hAnsi="Calibri" w:cs="Calibri"/>
          <w:szCs w:val="22"/>
          <w:u w:val="single"/>
          <w:lang w:val="en-US"/>
        </w:rPr>
        <w:t>.</w:t>
      </w:r>
    </w:p>
    <w:p w14:paraId="12374C69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TGbe editor will then start preparing D0.1. Expectation is for draft D0.1 to be ready in 2 weeks. The draft will then be scheduled for a motion on the subsequent Joint conference call (expected to have Joint conf call on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Wednesday 16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th</w:t>
      </w:r>
      <w:r w:rsidRPr="00007CBE">
        <w:rPr>
          <w:rFonts w:ascii="Calibri" w:hAnsi="Calibri" w:cs="Calibri"/>
          <w:szCs w:val="22"/>
          <w:lang w:val="en-US"/>
        </w:rPr>
        <w:t xml:space="preserve"> of September 2020).</w:t>
      </w:r>
    </w:p>
    <w:p w14:paraId="32811C44" w14:textId="77777777" w:rsidR="00D80FDC" w:rsidRPr="00935D59" w:rsidRDefault="00D80FDC" w:rsidP="00B87E0D"/>
    <w:sectPr w:rsidR="00D80FDC" w:rsidRPr="00935D59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CB3C" w14:textId="77777777" w:rsidR="00526EB0" w:rsidRDefault="00526EB0">
      <w:r>
        <w:separator/>
      </w:r>
    </w:p>
  </w:endnote>
  <w:endnote w:type="continuationSeparator" w:id="0">
    <w:p w14:paraId="197347CF" w14:textId="77777777" w:rsidR="00526EB0" w:rsidRDefault="005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3E7064C7" w:rsidR="00E36C7A" w:rsidRDefault="00E36C7A">
    <w:pPr>
      <w:pStyle w:val="Footer"/>
      <w:tabs>
        <w:tab w:val="clear" w:pos="6480"/>
        <w:tab w:val="center" w:pos="4680"/>
        <w:tab w:val="right" w:pos="9360"/>
      </w:tabs>
    </w:pPr>
    <w:r>
      <w:t>TGbe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Alfred Asterjadhi, Qualcomm Inc.</w:t>
    </w:r>
  </w:p>
  <w:p w14:paraId="4787BCD3" w14:textId="77777777" w:rsidR="00E36C7A" w:rsidRDefault="00E36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F33A" w14:textId="77777777" w:rsidR="00526EB0" w:rsidRDefault="00526EB0">
      <w:r>
        <w:separator/>
      </w:r>
    </w:p>
  </w:footnote>
  <w:footnote w:type="continuationSeparator" w:id="0">
    <w:p w14:paraId="02875D91" w14:textId="77777777" w:rsidR="00526EB0" w:rsidRDefault="0052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2A3ED200" w:rsidR="00E36C7A" w:rsidRDefault="00B97E05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935D59">
      <w:t>ly</w:t>
    </w:r>
    <w:r w:rsidR="00E36C7A">
      <w:t xml:space="preserve"> 2020</w:t>
    </w:r>
    <w:r w:rsidR="00E36C7A">
      <w:tab/>
    </w:r>
    <w:r w:rsidR="00E36C7A">
      <w:tab/>
    </w:r>
    <w:fldSimple w:instr=" TITLE  \* MERGEFORMAT ">
      <w:r w:rsidR="00E36C7A">
        <w:t>doc.: IEEE 802.11-20/0</w:t>
      </w:r>
      <w:r w:rsidR="00674025" w:rsidRPr="00674025">
        <w:t>997</w:t>
      </w:r>
      <w:r w:rsidR="00E36C7A">
        <w:t>r</w:t>
      </w:r>
    </w:fldSimple>
    <w:r w:rsidR="00D13E7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8B"/>
    <w:multiLevelType w:val="multilevel"/>
    <w:tmpl w:val="DD2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54BF2"/>
    <w:multiLevelType w:val="hybridMultilevel"/>
    <w:tmpl w:val="B5EA75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97211"/>
    <w:multiLevelType w:val="hybridMultilevel"/>
    <w:tmpl w:val="A7B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85CDB"/>
    <w:multiLevelType w:val="hybridMultilevel"/>
    <w:tmpl w:val="CBFAE91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BD9"/>
    <w:multiLevelType w:val="hybridMultilevel"/>
    <w:tmpl w:val="536827E4"/>
    <w:lvl w:ilvl="0" w:tplc="243EE126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1CE9"/>
    <w:multiLevelType w:val="hybridMultilevel"/>
    <w:tmpl w:val="B2028BB2"/>
    <w:lvl w:ilvl="0" w:tplc="C0E0FB3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A1E1757"/>
    <w:multiLevelType w:val="hybridMultilevel"/>
    <w:tmpl w:val="20B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4BF"/>
    <w:multiLevelType w:val="hybridMultilevel"/>
    <w:tmpl w:val="16F8A222"/>
    <w:lvl w:ilvl="0" w:tplc="62C4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843C4"/>
    <w:multiLevelType w:val="hybridMultilevel"/>
    <w:tmpl w:val="D4FE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018BA"/>
    <w:multiLevelType w:val="hybridMultilevel"/>
    <w:tmpl w:val="3968D41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3466"/>
    <w:multiLevelType w:val="hybridMultilevel"/>
    <w:tmpl w:val="E6D2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CE65AF0"/>
    <w:multiLevelType w:val="hybridMultilevel"/>
    <w:tmpl w:val="FD6EFDB8"/>
    <w:lvl w:ilvl="0" w:tplc="FE2A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AE402A"/>
    <w:multiLevelType w:val="hybridMultilevel"/>
    <w:tmpl w:val="506A7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716C"/>
    <w:multiLevelType w:val="hybridMultilevel"/>
    <w:tmpl w:val="D65A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A2D6F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2E99"/>
    <w:multiLevelType w:val="hybridMultilevel"/>
    <w:tmpl w:val="A4E0AA22"/>
    <w:lvl w:ilvl="0" w:tplc="60C8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13B17"/>
    <w:multiLevelType w:val="hybridMultilevel"/>
    <w:tmpl w:val="3BB27E56"/>
    <w:lvl w:ilvl="0" w:tplc="34D4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C281C"/>
    <w:multiLevelType w:val="multilevel"/>
    <w:tmpl w:val="A900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C7CBB"/>
    <w:multiLevelType w:val="hybridMultilevel"/>
    <w:tmpl w:val="DE4EF00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43D58"/>
    <w:multiLevelType w:val="hybridMultilevel"/>
    <w:tmpl w:val="514E850C"/>
    <w:lvl w:ilvl="0" w:tplc="E79832D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251EB"/>
    <w:multiLevelType w:val="hybridMultilevel"/>
    <w:tmpl w:val="B61AB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7"/>
  </w:num>
  <w:num w:numId="4">
    <w:abstractNumId w:val="14"/>
  </w:num>
  <w:num w:numId="5">
    <w:abstractNumId w:val="15"/>
  </w:num>
  <w:num w:numId="6">
    <w:abstractNumId w:val="22"/>
  </w:num>
  <w:num w:numId="7">
    <w:abstractNumId w:val="33"/>
  </w:num>
  <w:num w:numId="8">
    <w:abstractNumId w:val="4"/>
  </w:num>
  <w:num w:numId="9">
    <w:abstractNumId w:val="34"/>
  </w:num>
  <w:num w:numId="10">
    <w:abstractNumId w:val="30"/>
  </w:num>
  <w:num w:numId="11">
    <w:abstractNumId w:val="20"/>
  </w:num>
  <w:num w:numId="12">
    <w:abstractNumId w:val="26"/>
  </w:num>
  <w:num w:numId="13">
    <w:abstractNumId w:val="23"/>
  </w:num>
  <w:num w:numId="14">
    <w:abstractNumId w:val="8"/>
  </w:num>
  <w:num w:numId="15">
    <w:abstractNumId w:val="13"/>
  </w:num>
  <w:num w:numId="16">
    <w:abstractNumId w:val="13"/>
    <w:lvlOverride w:ilvl="1">
      <w:startOverride w:val="1"/>
    </w:lvlOverride>
  </w:num>
  <w:num w:numId="17">
    <w:abstractNumId w:val="13"/>
    <w:lvlOverride w:ilvl="1">
      <w:startOverride w:val="1"/>
    </w:lvlOverride>
  </w:num>
  <w:num w:numId="18">
    <w:abstractNumId w:val="13"/>
    <w:lvlOverride w:ilvl="1">
      <w:startOverride w:val="1"/>
    </w:lvlOverride>
  </w:num>
  <w:num w:numId="19">
    <w:abstractNumId w:val="13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4"/>
  </w:num>
  <w:num w:numId="23">
    <w:abstractNumId w:val="27"/>
  </w:num>
  <w:num w:numId="24">
    <w:abstractNumId w:val="9"/>
  </w:num>
  <w:num w:numId="25">
    <w:abstractNumId w:val="29"/>
  </w:num>
  <w:num w:numId="26">
    <w:abstractNumId w:val="35"/>
  </w:num>
  <w:num w:numId="27">
    <w:abstractNumId w:val="21"/>
  </w:num>
  <w:num w:numId="28">
    <w:abstractNumId w:val="32"/>
  </w:num>
  <w:num w:numId="29">
    <w:abstractNumId w:val="0"/>
  </w:num>
  <w:num w:numId="30">
    <w:abstractNumId w:val="11"/>
  </w:num>
  <w:num w:numId="31">
    <w:abstractNumId w:val="7"/>
  </w:num>
  <w:num w:numId="32">
    <w:abstractNumId w:val="1"/>
  </w:num>
  <w:num w:numId="33">
    <w:abstractNumId w:val="25"/>
  </w:num>
  <w:num w:numId="34">
    <w:abstractNumId w:val="28"/>
  </w:num>
  <w:num w:numId="35">
    <w:abstractNumId w:val="2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5"/>
  </w:num>
  <w:num w:numId="43">
    <w:abstractNumId w:val="18"/>
  </w:num>
  <w:num w:numId="44">
    <w:abstractNumId w:val="6"/>
  </w:num>
  <w:num w:numId="45">
    <w:abstractNumId w:val="3"/>
  </w:num>
  <w:num w:numId="46">
    <w:abstractNumId w:val="10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AF6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FE6"/>
    <w:rsid w:val="000C1E5F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C"/>
    <w:rsid w:val="000C6D39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B3C"/>
    <w:rsid w:val="00112409"/>
    <w:rsid w:val="001135B5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39C"/>
    <w:rsid w:val="00135AA3"/>
    <w:rsid w:val="00136826"/>
    <w:rsid w:val="00136FD5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6211"/>
    <w:rsid w:val="0017760A"/>
    <w:rsid w:val="001803FD"/>
    <w:rsid w:val="00180744"/>
    <w:rsid w:val="00180C6D"/>
    <w:rsid w:val="00181BB7"/>
    <w:rsid w:val="00181EC1"/>
    <w:rsid w:val="0018221F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FF7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47C0"/>
    <w:rsid w:val="001C4924"/>
    <w:rsid w:val="001C5286"/>
    <w:rsid w:val="001C56B8"/>
    <w:rsid w:val="001C5809"/>
    <w:rsid w:val="001C5C7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3D6"/>
    <w:rsid w:val="001E65F8"/>
    <w:rsid w:val="001E6BC5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618"/>
    <w:rsid w:val="002648B1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4248"/>
    <w:rsid w:val="002845D8"/>
    <w:rsid w:val="00284729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BFA"/>
    <w:rsid w:val="003312DF"/>
    <w:rsid w:val="00331301"/>
    <w:rsid w:val="0033137E"/>
    <w:rsid w:val="0033144C"/>
    <w:rsid w:val="00331915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A09"/>
    <w:rsid w:val="00387049"/>
    <w:rsid w:val="003870FE"/>
    <w:rsid w:val="003871E4"/>
    <w:rsid w:val="00387A4F"/>
    <w:rsid w:val="00387C45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731C"/>
    <w:rsid w:val="003D7999"/>
    <w:rsid w:val="003D7AC9"/>
    <w:rsid w:val="003D7D3E"/>
    <w:rsid w:val="003E01FF"/>
    <w:rsid w:val="003E08C1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E06"/>
    <w:rsid w:val="004202DA"/>
    <w:rsid w:val="00420984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50476"/>
    <w:rsid w:val="004504CF"/>
    <w:rsid w:val="00450F15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31F8"/>
    <w:rsid w:val="00454AB5"/>
    <w:rsid w:val="00454DA1"/>
    <w:rsid w:val="0045505F"/>
    <w:rsid w:val="00455275"/>
    <w:rsid w:val="00455D43"/>
    <w:rsid w:val="00456D32"/>
    <w:rsid w:val="00457186"/>
    <w:rsid w:val="004609C5"/>
    <w:rsid w:val="0046104B"/>
    <w:rsid w:val="0046124E"/>
    <w:rsid w:val="00461252"/>
    <w:rsid w:val="00461460"/>
    <w:rsid w:val="00461474"/>
    <w:rsid w:val="004614D8"/>
    <w:rsid w:val="00461509"/>
    <w:rsid w:val="004638F3"/>
    <w:rsid w:val="004643D1"/>
    <w:rsid w:val="00464551"/>
    <w:rsid w:val="00464C88"/>
    <w:rsid w:val="004659F5"/>
    <w:rsid w:val="00465DCF"/>
    <w:rsid w:val="00465F77"/>
    <w:rsid w:val="00466C3F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4616"/>
    <w:rsid w:val="004748AF"/>
    <w:rsid w:val="00474E3E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E1F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504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BF0"/>
    <w:rsid w:val="005B6D43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4018"/>
    <w:rsid w:val="005D4498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656D"/>
    <w:rsid w:val="0064684E"/>
    <w:rsid w:val="006468C5"/>
    <w:rsid w:val="006473EC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F4B"/>
    <w:rsid w:val="00680299"/>
    <w:rsid w:val="00680620"/>
    <w:rsid w:val="00680E0B"/>
    <w:rsid w:val="00681414"/>
    <w:rsid w:val="00681861"/>
    <w:rsid w:val="00681C91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360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BCD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466"/>
    <w:rsid w:val="00716F1A"/>
    <w:rsid w:val="0071781A"/>
    <w:rsid w:val="007179A8"/>
    <w:rsid w:val="00721969"/>
    <w:rsid w:val="00721FE0"/>
    <w:rsid w:val="00722DEB"/>
    <w:rsid w:val="00722DEF"/>
    <w:rsid w:val="00722E49"/>
    <w:rsid w:val="00722ED2"/>
    <w:rsid w:val="007237FB"/>
    <w:rsid w:val="00724252"/>
    <w:rsid w:val="007242D4"/>
    <w:rsid w:val="00725247"/>
    <w:rsid w:val="00725C27"/>
    <w:rsid w:val="00725CA4"/>
    <w:rsid w:val="00726A1C"/>
    <w:rsid w:val="0072726D"/>
    <w:rsid w:val="0072782A"/>
    <w:rsid w:val="0072783C"/>
    <w:rsid w:val="00727B88"/>
    <w:rsid w:val="007306EB"/>
    <w:rsid w:val="00730A6B"/>
    <w:rsid w:val="00730BE9"/>
    <w:rsid w:val="00730CC9"/>
    <w:rsid w:val="007315A2"/>
    <w:rsid w:val="007320ED"/>
    <w:rsid w:val="007329DE"/>
    <w:rsid w:val="007329FE"/>
    <w:rsid w:val="007339F1"/>
    <w:rsid w:val="00734061"/>
    <w:rsid w:val="007341F2"/>
    <w:rsid w:val="007341FF"/>
    <w:rsid w:val="00736AA8"/>
    <w:rsid w:val="007372D9"/>
    <w:rsid w:val="0073748A"/>
    <w:rsid w:val="0074046C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788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79D"/>
    <w:rsid w:val="007E0840"/>
    <w:rsid w:val="007E0847"/>
    <w:rsid w:val="007E121F"/>
    <w:rsid w:val="007E1271"/>
    <w:rsid w:val="007E1AC0"/>
    <w:rsid w:val="007E25C2"/>
    <w:rsid w:val="007E2998"/>
    <w:rsid w:val="007E4B1D"/>
    <w:rsid w:val="007E4B4F"/>
    <w:rsid w:val="007E4F93"/>
    <w:rsid w:val="007E5CAF"/>
    <w:rsid w:val="007E5EDA"/>
    <w:rsid w:val="007E64FA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477"/>
    <w:rsid w:val="00841A1B"/>
    <w:rsid w:val="00841B52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7316"/>
    <w:rsid w:val="00867AC8"/>
    <w:rsid w:val="00870D8A"/>
    <w:rsid w:val="00870E40"/>
    <w:rsid w:val="0087112E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4A1"/>
    <w:rsid w:val="008B59AF"/>
    <w:rsid w:val="008B67B0"/>
    <w:rsid w:val="008B6DE9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6703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8D0"/>
    <w:rsid w:val="008D52F1"/>
    <w:rsid w:val="008D5DAB"/>
    <w:rsid w:val="008D5E1E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2474"/>
    <w:rsid w:val="009A3B85"/>
    <w:rsid w:val="009A3D5A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B0073"/>
    <w:rsid w:val="009B0B71"/>
    <w:rsid w:val="009B19E5"/>
    <w:rsid w:val="009B232B"/>
    <w:rsid w:val="009B23E6"/>
    <w:rsid w:val="009B2574"/>
    <w:rsid w:val="009B29A1"/>
    <w:rsid w:val="009B2D64"/>
    <w:rsid w:val="009B3350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8E"/>
    <w:rsid w:val="009E3A13"/>
    <w:rsid w:val="009E42E9"/>
    <w:rsid w:val="009E46B7"/>
    <w:rsid w:val="009E4EBD"/>
    <w:rsid w:val="009E4F61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315B"/>
    <w:rsid w:val="00AC381C"/>
    <w:rsid w:val="00AC4328"/>
    <w:rsid w:val="00AC4479"/>
    <w:rsid w:val="00AC48BD"/>
    <w:rsid w:val="00AC4F2C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AE2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A57"/>
    <w:rsid w:val="00B63AF1"/>
    <w:rsid w:val="00B63E17"/>
    <w:rsid w:val="00B63E1C"/>
    <w:rsid w:val="00B6417F"/>
    <w:rsid w:val="00B64F9B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9A4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66A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4BA3"/>
    <w:rsid w:val="00BA4D8A"/>
    <w:rsid w:val="00BA5414"/>
    <w:rsid w:val="00BA54CE"/>
    <w:rsid w:val="00BA56BA"/>
    <w:rsid w:val="00BA5D26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A9"/>
    <w:rsid w:val="00BB369C"/>
    <w:rsid w:val="00BB3D28"/>
    <w:rsid w:val="00BB3F35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5048"/>
    <w:rsid w:val="00C0508D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93"/>
    <w:rsid w:val="00C3532B"/>
    <w:rsid w:val="00C35585"/>
    <w:rsid w:val="00C35C88"/>
    <w:rsid w:val="00C35F66"/>
    <w:rsid w:val="00C368BF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349F"/>
    <w:rsid w:val="00C536FE"/>
    <w:rsid w:val="00C5397E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350"/>
    <w:rsid w:val="00C65B19"/>
    <w:rsid w:val="00C65C56"/>
    <w:rsid w:val="00C65EA8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FEC"/>
    <w:rsid w:val="00C75D00"/>
    <w:rsid w:val="00C76AF1"/>
    <w:rsid w:val="00C77129"/>
    <w:rsid w:val="00C775A5"/>
    <w:rsid w:val="00C777BD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7A"/>
    <w:rsid w:val="00CB0370"/>
    <w:rsid w:val="00CB066F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26D4"/>
    <w:rsid w:val="00CC286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1011"/>
    <w:rsid w:val="00D611FA"/>
    <w:rsid w:val="00D6131C"/>
    <w:rsid w:val="00D6163D"/>
    <w:rsid w:val="00D62608"/>
    <w:rsid w:val="00D6334B"/>
    <w:rsid w:val="00D63AC8"/>
    <w:rsid w:val="00D63ACC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75E"/>
    <w:rsid w:val="00D75EB9"/>
    <w:rsid w:val="00D75EDC"/>
    <w:rsid w:val="00D7699A"/>
    <w:rsid w:val="00D76EA0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A92"/>
    <w:rsid w:val="00DA1EBD"/>
    <w:rsid w:val="00DA3831"/>
    <w:rsid w:val="00DA3924"/>
    <w:rsid w:val="00DA3E3C"/>
    <w:rsid w:val="00DA417C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51BA"/>
    <w:rsid w:val="00DF5394"/>
    <w:rsid w:val="00DF5A92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30DA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6703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2AB5"/>
    <w:rsid w:val="00E52CAC"/>
    <w:rsid w:val="00E53C1F"/>
    <w:rsid w:val="00E53D5D"/>
    <w:rsid w:val="00E542C9"/>
    <w:rsid w:val="00E544B0"/>
    <w:rsid w:val="00E54BEC"/>
    <w:rsid w:val="00E5512D"/>
    <w:rsid w:val="00E55C67"/>
    <w:rsid w:val="00E55D80"/>
    <w:rsid w:val="00E5658B"/>
    <w:rsid w:val="00E565B9"/>
    <w:rsid w:val="00E56969"/>
    <w:rsid w:val="00E6050D"/>
    <w:rsid w:val="00E607E1"/>
    <w:rsid w:val="00E60A57"/>
    <w:rsid w:val="00E61670"/>
    <w:rsid w:val="00E6238C"/>
    <w:rsid w:val="00E6298D"/>
    <w:rsid w:val="00E62BE3"/>
    <w:rsid w:val="00E62E14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2DF1"/>
    <w:rsid w:val="00F431E3"/>
    <w:rsid w:val="00F43398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E69"/>
    <w:rsid w:val="00F7620E"/>
    <w:rsid w:val="00F76342"/>
    <w:rsid w:val="00F764FD"/>
    <w:rsid w:val="00F76981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90029"/>
    <w:rsid w:val="00F90665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bcc01d59-85de-4ef9-881e-76d8b6a6f8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C2449E-C4F3-4478-91CE-3443E300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10873</TotalTime>
  <Pages>4</Pages>
  <Words>790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Agenda</dc:subject>
  <dc:creator>Alfred Asterjadhi</dc:creator>
  <cp:keywords>May 2019</cp:keywords>
  <cp:lastModifiedBy>Alfred Aster</cp:lastModifiedBy>
  <cp:revision>1935</cp:revision>
  <cp:lastPrinted>2019-05-20T20:59:00Z</cp:lastPrinted>
  <dcterms:created xsi:type="dcterms:W3CDTF">2020-05-10T18:10:00Z</dcterms:created>
  <dcterms:modified xsi:type="dcterms:W3CDTF">2020-07-06T03:36:00Z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