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E33B28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</w:t>
            </w:r>
            <w:r w:rsidR="00CB5ED2">
              <w:rPr>
                <w:rFonts w:ascii="Arial" w:hAnsi="Arial" w:cs="Arial"/>
                <w:b w:val="0"/>
                <w:sz w:val="20"/>
                <w:lang w:val="en-US"/>
              </w:rPr>
              <w:t>7</w:t>
            </w:r>
            <w:r w:rsidR="005E3D5E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4D3442">
              <w:rPr>
                <w:rFonts w:ascii="Arial" w:hAnsi="Arial" w:cs="Arial"/>
                <w:b w:val="0"/>
                <w:sz w:val="20"/>
                <w:lang w:val="en-US"/>
              </w:rPr>
              <w:t>3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BFBB76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  <w:r w:rsidR="00CB5ED2">
        <w:rPr>
          <w:rFonts w:asciiTheme="minorHAnsi" w:hAnsiTheme="minorHAnsi"/>
          <w:i/>
        </w:rPr>
        <w:t xml:space="preserve"> at its virtual meeting in July 2020.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6146FD03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32796" w:rsidRPr="00832796">
        <w:rPr>
          <w:rStyle w:val="Heading5Char"/>
          <w:rFonts w:asciiTheme="minorHAnsi" w:hAnsiTheme="minorHAnsi"/>
          <w:color w:val="auto"/>
        </w:rPr>
        <w:t>16</w:t>
      </w:r>
      <w:r w:rsidR="005F3B3D" w:rsidRPr="00832796">
        <w:rPr>
          <w:rStyle w:val="Heading5Char"/>
          <w:rFonts w:asciiTheme="minorHAnsi" w:hAnsiTheme="minorHAnsi"/>
          <w:color w:val="auto"/>
        </w:rPr>
        <w:t xml:space="preserve">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0CE73613" w14:textId="70CE9771" w:rsid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thank</w:t>
      </w:r>
      <w:r w:rsidR="00FB4917">
        <w:rPr>
          <w:lang w:val="en-US"/>
        </w:rPr>
        <w:t>s</w:t>
      </w:r>
      <w:r>
        <w:rPr>
          <w:lang w:val="en-US"/>
        </w:rPr>
        <w:t xml:space="preserve">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 xml:space="preserve">) </w:t>
      </w:r>
      <w:r w:rsidR="002C21BB">
        <w:rPr>
          <w:lang w:val="en-US"/>
        </w:rPr>
        <w:t>that</w:t>
      </w:r>
      <w:r>
        <w:rPr>
          <w:lang w:val="en-US"/>
        </w:rPr>
        <w:t xml:space="preserve"> highlight</w:t>
      </w:r>
      <w:r w:rsidR="00832796">
        <w:rPr>
          <w:lang w:val="en-US"/>
        </w:rPr>
        <w:t>s</w:t>
      </w:r>
      <w:r>
        <w:rPr>
          <w:lang w:val="en-US"/>
        </w:rPr>
        <w:t xml:space="preserve"> the ongoing work in ERM TG11 relating to the </w:t>
      </w:r>
      <w:r w:rsidRPr="00832796">
        <w:rPr>
          <w:i/>
          <w:iCs/>
          <w:lang w:val="en-US"/>
        </w:rPr>
        <w:t>System Reference Document on 2.4 GHz Wideband Data Transmission Systems</w:t>
      </w:r>
      <w:r>
        <w:rPr>
          <w:lang w:val="en-US"/>
        </w:rPr>
        <w:t xml:space="preserve"> (TR 103 665).</w:t>
      </w:r>
    </w:p>
    <w:p w14:paraId="6CA6994E" w14:textId="7DA822C8" w:rsidR="006E4EDA" w:rsidRP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</w:t>
      </w:r>
      <w:r w:rsidR="00AD52E6">
        <w:rPr>
          <w:lang w:val="en-US"/>
        </w:rPr>
        <w:t>facilitated</w:t>
      </w:r>
      <w:r>
        <w:rPr>
          <w:lang w:val="en-US"/>
        </w:rPr>
        <w:t xml:space="preserve"> 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 xml:space="preserve">4 </w:t>
      </w:r>
      <w:r w:rsidR="00832796">
        <w:rPr>
          <w:lang w:val="en-US"/>
        </w:rPr>
        <w:t xml:space="preserve">in the TR 103 665 draft </w:t>
      </w:r>
      <w:r w:rsidR="008B5240">
        <w:rPr>
          <w:lang w:val="en-US"/>
        </w:rPr>
        <w:t>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 xml:space="preserve">. </w:t>
      </w:r>
    </w:p>
    <w:p w14:paraId="6DE3EA27" w14:textId="0104D8A7" w:rsidR="006E4EDA" w:rsidRPr="006E4EDA" w:rsidRDefault="006E4EDA" w:rsidP="009F5722">
      <w:pPr>
        <w:pStyle w:val="Paragraph"/>
        <w:numPr>
          <w:ilvl w:val="0"/>
          <w:numId w:val="21"/>
        </w:numPr>
      </w:pPr>
      <w:r>
        <w:t xml:space="preserve">Various WG </w:t>
      </w:r>
      <w:r w:rsidR="00FB4917">
        <w:t>participants</w:t>
      </w:r>
      <w:r>
        <w:t xml:space="preserve"> have reviewed clause 8.1 in </w:t>
      </w:r>
      <w:r>
        <w:rPr>
          <w:lang w:val="en-US"/>
        </w:rPr>
        <w:t xml:space="preserve">the TR 103 665 draft. </w:t>
      </w:r>
      <w:r w:rsidR="004D3442">
        <w:rPr>
          <w:lang w:val="en-US"/>
        </w:rPr>
        <w:t>A f</w:t>
      </w:r>
      <w:r w:rsidR="00E9431F">
        <w:rPr>
          <w:lang w:val="en-US"/>
        </w:rPr>
        <w:t>ew</w:t>
      </w:r>
      <w:r>
        <w:rPr>
          <w:lang w:val="en-US"/>
        </w:rPr>
        <w:t xml:space="preserve"> issues with the draft </w:t>
      </w:r>
      <w:r w:rsidR="00CB5ED2">
        <w:rPr>
          <w:lang w:val="en-US"/>
        </w:rPr>
        <w:t xml:space="preserve">text </w:t>
      </w:r>
      <w:r w:rsidR="00AD52E6">
        <w:rPr>
          <w:lang w:val="en-US"/>
        </w:rPr>
        <w:t>have been</w:t>
      </w:r>
      <w:r>
        <w:rPr>
          <w:lang w:val="en-US"/>
        </w:rPr>
        <w:t xml:space="preserve"> highlighted, although for many participants it was difficult to make an informed judgement on the suitability of the material as input into </w:t>
      </w:r>
      <w:r w:rsidR="002C21BB">
        <w:rPr>
          <w:lang w:val="en-US"/>
        </w:rPr>
        <w:t xml:space="preserve">the </w:t>
      </w:r>
      <w:r>
        <w:rPr>
          <w:lang w:val="en-US"/>
        </w:rPr>
        <w:t xml:space="preserve">preparation for the </w:t>
      </w:r>
      <w:r w:rsidRPr="00832796">
        <w:rPr>
          <w:i/>
          <w:iCs/>
          <w:lang w:val="en-US"/>
        </w:rPr>
        <w:t>8th update of the European Commission Decision on SRDs</w:t>
      </w:r>
      <w:r w:rsidR="004D3442">
        <w:rPr>
          <w:lang w:val="en-US"/>
        </w:rPr>
        <w:t xml:space="preserve"> because </w:t>
      </w:r>
      <w:r w:rsidR="00832796">
        <w:rPr>
          <w:lang w:val="en-US"/>
        </w:rPr>
        <w:t>they are unfamiliar with the</w:t>
      </w:r>
      <w:r w:rsidR="004D3442">
        <w:rPr>
          <w:lang w:val="en-US"/>
        </w:rPr>
        <w:t xml:space="preserve"> purpose and </w:t>
      </w:r>
      <w:r w:rsidR="00832796">
        <w:rPr>
          <w:lang w:val="en-US"/>
        </w:rPr>
        <w:t xml:space="preserve">required </w:t>
      </w:r>
      <w:r w:rsidR="004D3442">
        <w:rPr>
          <w:lang w:val="en-US"/>
        </w:rPr>
        <w:t xml:space="preserve">scope </w:t>
      </w:r>
      <w:r w:rsidR="00832796">
        <w:rPr>
          <w:lang w:val="en-US"/>
        </w:rPr>
        <w:t>of the material</w:t>
      </w:r>
      <w:r>
        <w:rPr>
          <w:lang w:val="en-US"/>
        </w:rPr>
        <w:t xml:space="preserve">. A few </w:t>
      </w:r>
      <w:r w:rsidR="004D3442">
        <w:rPr>
          <w:lang w:val="en-US"/>
        </w:rPr>
        <w:t xml:space="preserve">comments and </w:t>
      </w:r>
      <w:r>
        <w:rPr>
          <w:lang w:val="en-US"/>
        </w:rPr>
        <w:t xml:space="preserve">suggestions </w:t>
      </w:r>
      <w:r w:rsidR="00FB4917">
        <w:rPr>
          <w:lang w:val="en-US"/>
        </w:rPr>
        <w:t xml:space="preserve">from WG participants </w:t>
      </w:r>
      <w:r>
        <w:rPr>
          <w:lang w:val="en-US"/>
        </w:rPr>
        <w:t>are recorded in an appendix to this Liaison Statement.</w:t>
      </w:r>
    </w:p>
    <w:p w14:paraId="0961195E" w14:textId="793DCAF5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>T</w:t>
      </w:r>
      <w:r w:rsidR="006E4EDA">
        <w:rPr>
          <w:lang w:val="en-GB"/>
        </w:rPr>
        <w:t>he WG notes that t</w:t>
      </w:r>
      <w:r w:rsidRPr="009F5722">
        <w:rPr>
          <w:lang w:val="en-GB"/>
        </w:rPr>
        <w:t xml:space="preserve">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="00832796">
        <w:rPr>
          <w:lang w:val="en-US"/>
        </w:rPr>
        <w:t xml:space="preserve">in the </w:t>
      </w:r>
      <w:r w:rsidR="00832796">
        <w:rPr>
          <w:lang w:val="en-US"/>
        </w:rPr>
        <w:t>TR 103 665</w:t>
      </w:r>
      <w:r w:rsidR="00832796">
        <w:rPr>
          <w:lang w:val="en-US"/>
        </w:rPr>
        <w:t xml:space="preserve"> draft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>4</w:t>
      </w:r>
      <w:r w:rsidR="00FB4917">
        <w:rPr>
          <w:lang w:val="en-US"/>
        </w:rPr>
        <w:t xml:space="preserve"> in </w:t>
      </w:r>
      <w:r w:rsidR="00FB4917" w:rsidRPr="00A45BDD">
        <w:rPr>
          <w:lang w:val="en-US"/>
        </w:rPr>
        <w:t>ERMTG11(20)000016</w:t>
      </w:r>
      <w:r w:rsidR="00FB4917">
        <w:rPr>
          <w:lang w:val="en-US"/>
        </w:rPr>
        <w:t xml:space="preserve"> </w:t>
      </w:r>
      <w:r w:rsidR="00CC26CF" w:rsidRPr="009F5722">
        <w:rPr>
          <w:lang w:val="en-US"/>
        </w:rPr>
        <w:t xml:space="preserve"> is </w:t>
      </w:r>
      <w:r w:rsidR="00AD52E6">
        <w:rPr>
          <w:lang w:val="en-US"/>
        </w:rPr>
        <w:t>rejected</w:t>
      </w:r>
      <w:r w:rsidR="00CC26CF" w:rsidRPr="009F5722">
        <w:rPr>
          <w:lang w:val="en-US"/>
        </w:rPr>
        <w:t xml:space="preserve"> on the basis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</w:t>
      </w:r>
      <w:r w:rsidR="00C36870">
        <w:rPr>
          <w:lang w:val="en-US"/>
        </w:rPr>
        <w:t xml:space="preserve"> in Europe</w:t>
      </w:r>
      <w:r w:rsidR="00CC26CF" w:rsidRPr="009F5722">
        <w:rPr>
          <w:lang w:val="en-US"/>
        </w:rPr>
        <w:t>.</w:t>
      </w:r>
    </w:p>
    <w:p w14:paraId="5CE182FA" w14:textId="7C99BB01" w:rsidR="007B4F77" w:rsidRPr="00877B0E" w:rsidRDefault="001C41C3" w:rsidP="00877B0E">
      <w:pPr>
        <w:pStyle w:val="Paragraph"/>
      </w:pPr>
      <w:r w:rsidRPr="00877B0E">
        <w:t>The WG notes</w:t>
      </w:r>
      <w:r w:rsidR="00FB4917">
        <w:t>,</w:t>
      </w:r>
      <w:r w:rsidRPr="00877B0E">
        <w:t xml:space="preserve"> </w:t>
      </w:r>
      <w:r w:rsidR="007B4F77" w:rsidRPr="00877B0E">
        <w:t xml:space="preserve">in reviewing the TR 103 665 draft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AD52E6">
        <w:t>is concerned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>. A wide</w:t>
      </w:r>
      <w:r w:rsidR="00832796">
        <w:t>-</w:t>
      </w:r>
      <w:r w:rsidR="00877B0E" w:rsidRPr="00877B0E">
        <w:t xml:space="preserve">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</w:t>
      </w:r>
      <w:r w:rsidR="00832796">
        <w:t>-</w:t>
      </w:r>
      <w:r w:rsidR="00877B0E" w:rsidRPr="00877B0E">
        <w:t xml:space="preserve">band Wi-Fi device. </w:t>
      </w:r>
    </w:p>
    <w:p w14:paraId="5C8FC47A" w14:textId="49D5D737" w:rsidR="007B4F77" w:rsidRDefault="00877B0E" w:rsidP="006E4EDA">
      <w:pPr>
        <w:pStyle w:val="Paragraph"/>
        <w:keepNext/>
        <w:keepLines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</w:t>
      </w:r>
      <w:r w:rsidR="00FB4917">
        <w:rPr>
          <w:lang w:val="en-US"/>
        </w:rPr>
        <w:t xml:space="preserve">global </w:t>
      </w:r>
      <w:r>
        <w:rPr>
          <w:lang w:val="en-US"/>
        </w:rPr>
        <w:t>industries with significant socio-economic impact</w:t>
      </w:r>
      <w:r w:rsidR="00832796">
        <w:rPr>
          <w:lang w:val="en-US"/>
        </w:rPr>
        <w:t>s</w:t>
      </w:r>
      <w:r>
        <w:rPr>
          <w:lang w:val="en-US"/>
        </w:rPr>
        <w:t xml:space="preserve"> across Europe. The WG is not aware of any justification to put this success at risk by </w:t>
      </w:r>
      <w:r w:rsidR="00F10BD6">
        <w:rPr>
          <w:lang w:val="en-US"/>
        </w:rPr>
        <w:t>accepting</w:t>
      </w:r>
      <w:r>
        <w:rPr>
          <w:lang w:val="en-US"/>
        </w:rPr>
        <w:t xml:space="preserve"> any </w:t>
      </w:r>
      <w:r w:rsidR="00F10BD6">
        <w:rPr>
          <w:lang w:val="en-US"/>
        </w:rPr>
        <w:t xml:space="preserve">new, </w:t>
      </w:r>
      <w:r>
        <w:rPr>
          <w:lang w:val="en-US"/>
        </w:rPr>
        <w:t xml:space="preserve">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>s 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832796">
        <w:t>should rather</w:t>
      </w:r>
      <w:r w:rsidR="00CA7EF0">
        <w:t xml:space="preserve"> describe the potential risk </w:t>
      </w:r>
      <w:r w:rsidR="00993D17">
        <w:t>from</w:t>
      </w:r>
      <w:r w:rsidR="00CA7EF0">
        <w:t xml:space="preserve"> </w:t>
      </w:r>
      <w:r w:rsidR="002C21BB">
        <w:t>any</w:t>
      </w:r>
      <w:r w:rsidR="00CA7EF0">
        <w:t xml:space="preserve"> removal of </w:t>
      </w:r>
      <w:r w:rsidR="00832796">
        <w:t>the</w:t>
      </w:r>
      <w:r w:rsidR="002C21BB">
        <w:t xml:space="preserve"> current</w:t>
      </w:r>
      <w:r w:rsidR="00832796">
        <w:t xml:space="preserve">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67D9C3C1" w:rsidR="001C41C3" w:rsidRDefault="001C41C3" w:rsidP="00AD72D9">
      <w:pPr>
        <w:rPr>
          <w:rFonts w:asciiTheme="minorHAnsi" w:hAnsiTheme="minorHAnsi" w:cstheme="minorHAnsi"/>
          <w:color w:val="0000FF"/>
          <w:szCs w:val="22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hyperlink r:id="rId12" w:history="1">
        <w:r w:rsidR="006E4EDA" w:rsidRPr="0093301B">
          <w:rPr>
            <w:rStyle w:val="Hyperlink"/>
            <w:rFonts w:asciiTheme="minorHAnsi" w:hAnsiTheme="minorHAnsi" w:cstheme="minorHAnsi"/>
            <w:szCs w:val="22"/>
            <w:lang w:val="en-US"/>
          </w:rPr>
          <w:t>dorothy.stanley@hpe.com</w:t>
        </w:r>
      </w:hyperlink>
    </w:p>
    <w:p w14:paraId="72070746" w14:textId="24EEAD8D" w:rsidR="006E4EDA" w:rsidRDefault="006E4EDA" w:rsidP="006E4EDA">
      <w:pPr>
        <w:pStyle w:val="Heading4"/>
      </w:pPr>
      <w:r>
        <w:t>Appendix</w:t>
      </w:r>
      <w:r w:rsidR="00832796">
        <w:t xml:space="preserve"> (comments and suggestions for </w:t>
      </w:r>
      <w:r w:rsidR="00832796" w:rsidRPr="005F3B3D">
        <w:t>TR 103 665</w:t>
      </w:r>
      <w:r w:rsidR="00832796">
        <w:t xml:space="preserve"> from some participants in the IEEE 802.11 WG)</w:t>
      </w:r>
    </w:p>
    <w:p w14:paraId="7DA4A6C0" w14:textId="5ABAB819" w:rsidR="00CB5ED2" w:rsidRPr="00CB5ED2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8.1.1: Change to</w:t>
      </w:r>
      <w:r w:rsidR="00CB5ED2" w:rsidRPr="00CB5ED2">
        <w:rPr>
          <w:rFonts w:asciiTheme="minorHAnsi" w:hAnsiTheme="minorHAnsi" w:cstheme="minorHAnsi"/>
          <w:lang w:val="en-US"/>
        </w:rPr>
        <w:t xml:space="preserve"> “</w:t>
      </w:r>
      <w:r w:rsidR="00CB5ED2" w:rsidRPr="00CB5ED2">
        <w:rPr>
          <w:rFonts w:asciiTheme="minorHAnsi" w:hAnsiTheme="minorHAnsi" w:cstheme="minorHAnsi"/>
          <w:i/>
          <w:iCs/>
        </w:rPr>
        <w:t xml:space="preserve">This includes desktop PCs, laptops, </w:t>
      </w:r>
      <w:r w:rsidR="00CB5ED2" w:rsidRPr="00CB5ED2">
        <w:rPr>
          <w:rFonts w:asciiTheme="minorHAnsi" w:hAnsiTheme="minorHAnsi" w:cstheme="minorHAnsi"/>
          <w:i/>
          <w:iCs/>
          <w:highlight w:val="yellow"/>
        </w:rPr>
        <w:t>IoT devices,</w:t>
      </w:r>
      <w:r w:rsidR="00CB5ED2" w:rsidRPr="00CB5ED2">
        <w:rPr>
          <w:rFonts w:asciiTheme="minorHAnsi" w:hAnsiTheme="minorHAnsi" w:cstheme="minorHAnsi"/>
          <w:i/>
          <w:iCs/>
        </w:rPr>
        <w:t xml:space="preserve"> printers and other ancillary devices</w:t>
      </w:r>
      <w:r w:rsidR="00CB5ED2" w:rsidRPr="00CB5ED2">
        <w:rPr>
          <w:rFonts w:asciiTheme="minorHAnsi" w:hAnsiTheme="minorHAnsi" w:cstheme="minorHAnsi"/>
        </w:rPr>
        <w:t>,</w:t>
      </w:r>
      <w:r w:rsidR="00CB5ED2">
        <w:rPr>
          <w:rFonts w:asciiTheme="minorHAnsi" w:hAnsiTheme="minorHAnsi" w:cstheme="minorHAnsi"/>
        </w:rPr>
        <w:t xml:space="preserve"> …”</w:t>
      </w:r>
    </w:p>
    <w:p w14:paraId="49CA84B1" w14:textId="79959D34" w:rsidR="00522A33" w:rsidRPr="00CB5ED2" w:rsidRDefault="00522A33" w:rsidP="00522A3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8.1.1: Change to</w:t>
      </w:r>
      <w:r w:rsidRPr="00CB5ED2">
        <w:rPr>
          <w:rFonts w:asciiTheme="minorHAnsi" w:hAnsiTheme="minorHAnsi" w:cstheme="minorHAnsi"/>
        </w:rPr>
        <w:t xml:space="preserve"> “</w:t>
      </w:r>
      <w:r w:rsidRPr="00CB5ED2">
        <w:rPr>
          <w:rFonts w:asciiTheme="minorHAnsi" w:hAnsiTheme="minorHAnsi" w:cstheme="minorHAnsi"/>
          <w:i/>
          <w:iCs/>
        </w:rPr>
        <w:t xml:space="preserve">One of the latest additions to the IEEE 802.11 [i.14] standard is the </w:t>
      </w:r>
      <w:r>
        <w:rPr>
          <w:rFonts w:asciiTheme="minorHAnsi" w:hAnsiTheme="minorHAnsi" w:cstheme="minorHAnsi"/>
          <w:i/>
          <w:iCs/>
          <w:highlight w:val="yellow"/>
        </w:rPr>
        <w:t>IEEE 8</w:t>
      </w:r>
      <w:r w:rsidRPr="00CB5ED2">
        <w:rPr>
          <w:rFonts w:asciiTheme="minorHAnsi" w:hAnsiTheme="minorHAnsi" w:cstheme="minorHAnsi"/>
          <w:i/>
          <w:iCs/>
          <w:highlight w:val="yellow"/>
        </w:rPr>
        <w:t>02.11ax amendment</w:t>
      </w:r>
      <w:r w:rsidRPr="00CB5ED2">
        <w:rPr>
          <w:rFonts w:asciiTheme="minorHAnsi" w:hAnsiTheme="minorHAnsi" w:cstheme="minorHAnsi"/>
          <w:i/>
          <w:iCs/>
        </w:rPr>
        <w:t xml:space="preserve"> …</w:t>
      </w:r>
      <w:r>
        <w:rPr>
          <w:rFonts w:asciiTheme="minorHAnsi" w:hAnsiTheme="minorHAnsi" w:cstheme="minorHAnsi"/>
        </w:rPr>
        <w:t>”</w:t>
      </w:r>
    </w:p>
    <w:p w14:paraId="609211BE" w14:textId="658276BB" w:rsidR="00CB5ED2" w:rsidRPr="00522A33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8.1.1: </w:t>
      </w:r>
      <w:r>
        <w:rPr>
          <w:rFonts w:asciiTheme="minorHAnsi" w:hAnsiTheme="minorHAnsi" w:cstheme="minorHAnsi"/>
          <w:lang w:val="en-US"/>
        </w:rPr>
        <w:t>Change to</w:t>
      </w:r>
      <w:r w:rsidRPr="00CB5ED2">
        <w:rPr>
          <w:rFonts w:asciiTheme="minorHAnsi" w:hAnsiTheme="minorHAnsi" w:cstheme="minorHAnsi"/>
          <w:lang w:val="en-US"/>
        </w:rPr>
        <w:t xml:space="preserve"> </w:t>
      </w:r>
      <w:r w:rsidR="00CB5ED2">
        <w:rPr>
          <w:rFonts w:asciiTheme="minorHAnsi" w:hAnsiTheme="minorHAnsi" w:cstheme="minorHAnsi"/>
        </w:rPr>
        <w:t>“</w:t>
      </w:r>
      <w:r w:rsidR="00CB5ED2" w:rsidRPr="00522A33">
        <w:rPr>
          <w:rFonts w:asciiTheme="minorHAnsi" w:hAnsiTheme="minorHAnsi" w:cstheme="minorHAnsi"/>
          <w:i/>
          <w:iCs/>
        </w:rPr>
        <w:t xml:space="preserve">In fact, the IEEE 802.11 committee has started to look into the next evolution of “Wi-Fi” known as the Extremely High Throughput </w:t>
      </w:r>
      <w:r w:rsidR="00CB5ED2" w:rsidRPr="00522A33">
        <w:rPr>
          <w:rFonts w:asciiTheme="minorHAnsi" w:hAnsiTheme="minorHAnsi" w:cstheme="minorHAnsi"/>
          <w:i/>
          <w:iCs/>
          <w:highlight w:val="yellow"/>
        </w:rPr>
        <w:t>IEEE 802.11be amendment.</w:t>
      </w:r>
      <w:r w:rsidR="00CB5ED2">
        <w:rPr>
          <w:rFonts w:asciiTheme="minorHAnsi" w:hAnsiTheme="minorHAnsi" w:cstheme="minorHAnsi"/>
        </w:rPr>
        <w:t>”</w:t>
      </w:r>
    </w:p>
    <w:p w14:paraId="0E946A87" w14:textId="20411B4F" w:rsidR="00A70BF1" w:rsidRPr="00A70BF1" w:rsidRDefault="00A70BF1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8.1.1: This clause refers to operation of 802.11ax (Wi-Fi 6) equipment in the 2.4 GHz band. While </w:t>
      </w:r>
      <w:r w:rsidRPr="00A70BF1">
        <w:rPr>
          <w:rFonts w:asciiTheme="minorHAnsi" w:hAnsiTheme="minorHAnsi" w:cstheme="minorHAnsi"/>
        </w:rPr>
        <w:t xml:space="preserve">802.11ax operation is defined in this band, it is not clear </w:t>
      </w:r>
      <w:r w:rsidR="00F10BD6">
        <w:rPr>
          <w:rFonts w:asciiTheme="minorHAnsi" w:hAnsiTheme="minorHAnsi" w:cstheme="minorHAnsi"/>
        </w:rPr>
        <w:t xml:space="preserve">how often </w:t>
      </w:r>
      <w:r w:rsidRPr="00A70BF1">
        <w:rPr>
          <w:rFonts w:asciiTheme="minorHAnsi" w:hAnsiTheme="minorHAnsi" w:cstheme="minorHAnsi"/>
        </w:rPr>
        <w:t xml:space="preserve">common </w:t>
      </w:r>
      <w:r w:rsidR="00F10BD6">
        <w:rPr>
          <w:rFonts w:asciiTheme="minorHAnsi" w:hAnsiTheme="minorHAnsi" w:cstheme="minorHAnsi"/>
        </w:rPr>
        <w:t>Wi-Fi 6</w:t>
      </w:r>
      <w:r w:rsidR="00F10BD6">
        <w:rPr>
          <w:rFonts w:asciiTheme="minorHAnsi" w:hAnsiTheme="minorHAnsi" w:cstheme="minorHAnsi"/>
        </w:rPr>
        <w:t xml:space="preserve"> will be in actual</w:t>
      </w:r>
      <w:r w:rsidRPr="00A70BF1">
        <w:rPr>
          <w:rFonts w:asciiTheme="minorHAnsi" w:hAnsiTheme="minorHAnsi" w:cstheme="minorHAnsi"/>
        </w:rPr>
        <w:t xml:space="preserve"> deployments</w:t>
      </w:r>
    </w:p>
    <w:p w14:paraId="334F6457" w14:textId="4E50AD8B" w:rsidR="00522A33" w:rsidRPr="00A70BF1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70BF1">
        <w:rPr>
          <w:rFonts w:asciiTheme="minorHAnsi" w:hAnsiTheme="minorHAnsi" w:cstheme="minorHAnsi"/>
        </w:rPr>
        <w:t>8.1.2.1.2: Delete “</w:t>
      </w:r>
      <w:r w:rsidRPr="00A70BF1">
        <w:rPr>
          <w:rFonts w:asciiTheme="minorHAnsi" w:hAnsiTheme="minorHAnsi" w:cstheme="minorHAnsi"/>
          <w:i/>
          <w:iCs/>
        </w:rPr>
        <w:t>This regulatory limit is more restrictive in Europe compared to the US</w:t>
      </w:r>
      <w:r w:rsidRPr="00A70BF1">
        <w:rPr>
          <w:rFonts w:asciiTheme="minorHAnsi" w:hAnsiTheme="minorHAnsi" w:cstheme="minorHAnsi"/>
        </w:rPr>
        <w:t>” because it does not appear to be relevant</w:t>
      </w:r>
      <w:r w:rsidR="00A70BF1" w:rsidRPr="00A70BF1">
        <w:rPr>
          <w:rFonts w:asciiTheme="minorHAnsi" w:hAnsiTheme="minorHAnsi" w:cstheme="minorHAnsi"/>
        </w:rPr>
        <w:t xml:space="preserve"> or its relevance is not obvious</w:t>
      </w:r>
    </w:p>
    <w:p w14:paraId="73F2E5F1" w14:textId="49DA9810" w:rsidR="00A70BF1" w:rsidRPr="00A70BF1" w:rsidRDefault="00A70BF1" w:rsidP="00BF2F32">
      <w:pPr>
        <w:pStyle w:val="ListParagraph"/>
        <w:numPr>
          <w:ilvl w:val="0"/>
          <w:numId w:val="23"/>
        </w:numPr>
        <w:rPr>
          <w:rFonts w:ascii="Calibri" w:hAnsi="Calibri" w:cs="Calibri"/>
          <w:szCs w:val="22"/>
          <w:lang w:val="en-US"/>
        </w:rPr>
      </w:pPr>
      <w:r w:rsidRPr="00A70BF1">
        <w:rPr>
          <w:rFonts w:asciiTheme="minorHAnsi" w:hAnsiTheme="minorHAnsi" w:cstheme="minorHAnsi"/>
        </w:rPr>
        <w:t>8.1.2.1.2</w:t>
      </w:r>
      <w:r w:rsidRPr="00A70BF1">
        <w:rPr>
          <w:rFonts w:asciiTheme="minorHAnsi" w:hAnsiTheme="minorHAnsi" w:cstheme="minorHAnsi"/>
        </w:rPr>
        <w:t>: The text states, “</w:t>
      </w:r>
      <w:r w:rsidRPr="00A70BF1">
        <w:rPr>
          <w:rFonts w:asciiTheme="minorHAnsi" w:hAnsiTheme="minorHAnsi" w:cstheme="minorHAnsi"/>
          <w:i/>
          <w:iCs/>
        </w:rPr>
        <w:t>IEEE 802.11 equipment operating in 20 MHz mode has a measured Power Spectral Density which is about 10 dB to 12 dB below the measured RF Output Power when operating in that same mode</w:t>
      </w:r>
      <w:r w:rsidRPr="00A70BF1">
        <w:rPr>
          <w:rFonts w:asciiTheme="minorHAnsi" w:hAnsiTheme="minorHAnsi" w:cstheme="minorHAnsi"/>
          <w:i/>
          <w:iCs/>
        </w:rPr>
        <w:t xml:space="preserve"> …</w:t>
      </w:r>
      <w:r w:rsidRPr="00A70BF1">
        <w:rPr>
          <w:rFonts w:asciiTheme="minorHAnsi" w:hAnsiTheme="minorHAnsi" w:cstheme="minorHAnsi"/>
        </w:rPr>
        <w:t xml:space="preserve">”. This text seems to compare </w:t>
      </w:r>
      <w:r w:rsidRPr="00A70BF1">
        <w:rPr>
          <w:rFonts w:asciiTheme="minorHAnsi" w:hAnsiTheme="minorHAnsi" w:cstheme="minorHAnsi"/>
          <w:i/>
          <w:iCs/>
        </w:rPr>
        <w:t>Power Spectral Density</w:t>
      </w:r>
      <w:r w:rsidRPr="00A70BF1">
        <w:rPr>
          <w:rFonts w:asciiTheme="minorHAnsi" w:hAnsiTheme="minorHAnsi" w:cstheme="minorHAnsi"/>
        </w:rPr>
        <w:t xml:space="preserve"> and </w:t>
      </w:r>
      <w:r w:rsidRPr="00A70BF1">
        <w:rPr>
          <w:rFonts w:asciiTheme="minorHAnsi" w:hAnsiTheme="minorHAnsi" w:cstheme="minorHAnsi"/>
          <w:i/>
          <w:iCs/>
        </w:rPr>
        <w:t>RF Output Power</w:t>
      </w:r>
      <w:r w:rsidRPr="00A70BF1">
        <w:rPr>
          <w:rFonts w:asciiTheme="minorHAnsi" w:hAnsiTheme="minorHAnsi" w:cstheme="minorHAnsi"/>
        </w:rPr>
        <w:t xml:space="preserve">. Unfortunately, they can’t be compared because they have different dimensions. Maybe what is meant is </w:t>
      </w:r>
      <w:r w:rsidRPr="00A70BF1">
        <w:rPr>
          <w:rFonts w:asciiTheme="minorHAnsi" w:hAnsiTheme="minorHAnsi" w:cstheme="minorHAnsi"/>
          <w:lang w:val="en-US"/>
        </w:rPr>
        <w:t>something like, “</w:t>
      </w:r>
      <w:r w:rsidRPr="00A70BF1">
        <w:rPr>
          <w:rFonts w:asciiTheme="minorHAnsi" w:hAnsiTheme="minorHAnsi" w:cstheme="minorHAnsi"/>
          <w:i/>
          <w:iCs/>
          <w:lang w:val="en-US"/>
        </w:rPr>
        <w:t>the maximum power in any one MHz (which is the PD) is about 10 dB to 12 dB below the total RF Output power …</w:t>
      </w:r>
      <w:r w:rsidRPr="00A70BF1">
        <w:rPr>
          <w:rFonts w:asciiTheme="minorHAnsi" w:hAnsiTheme="minorHAnsi" w:cstheme="minorHAnsi"/>
          <w:lang w:val="en-US"/>
        </w:rPr>
        <w:t>.”</w:t>
      </w:r>
    </w:p>
    <w:p w14:paraId="4AC7DECD" w14:textId="1DFB5B0E" w:rsidR="00522A33" w:rsidRPr="00AA706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70BF1">
        <w:rPr>
          <w:rFonts w:asciiTheme="minorHAnsi" w:hAnsiTheme="minorHAnsi" w:cstheme="minorHAnsi"/>
        </w:rPr>
        <w:t xml:space="preserve">8.1.2.1.4.3: Change </w:t>
      </w:r>
      <w:r>
        <w:rPr>
          <w:rFonts w:asciiTheme="minorHAnsi" w:hAnsiTheme="minorHAnsi" w:cstheme="minorHAnsi"/>
        </w:rPr>
        <w:t>to “</w:t>
      </w:r>
      <w:r w:rsidRPr="00A70BF1">
        <w:rPr>
          <w:rFonts w:asciiTheme="minorHAnsi" w:hAnsiTheme="minorHAnsi" w:cstheme="minorHAnsi"/>
          <w:i/>
          <w:iCs/>
        </w:rPr>
        <w:t xml:space="preserve">The theoretical lowest </w:t>
      </w:r>
      <w:r w:rsidRPr="00A70BF1">
        <w:rPr>
          <w:rFonts w:asciiTheme="minorHAnsi" w:hAnsiTheme="minorHAnsi" w:cstheme="minorHAnsi"/>
          <w:i/>
          <w:iCs/>
          <w:highlight w:val="yellow"/>
        </w:rPr>
        <w:t>data rate</w:t>
      </w:r>
      <w:r w:rsidRPr="00A70BF1">
        <w:rPr>
          <w:rFonts w:asciiTheme="minorHAnsi" w:hAnsiTheme="minorHAnsi" w:cstheme="minorHAnsi"/>
          <w:i/>
          <w:iCs/>
        </w:rPr>
        <w:t xml:space="preserve"> is 1 Mbps (DSSS mode) will result in a maximum transmission time of </w:t>
      </w:r>
      <w:r w:rsidRPr="00A70BF1">
        <w:rPr>
          <w:rFonts w:asciiTheme="minorHAnsi" w:hAnsiTheme="minorHAnsi" w:cstheme="minorHAnsi"/>
          <w:i/>
          <w:iCs/>
          <w:highlight w:val="yellow"/>
        </w:rPr>
        <w:t xml:space="preserve">about </w:t>
      </w:r>
      <w:r w:rsidR="004338C6" w:rsidRPr="00A70BF1">
        <w:rPr>
          <w:rFonts w:asciiTheme="minorHAnsi" w:hAnsiTheme="minorHAnsi" w:cstheme="minorHAnsi"/>
          <w:i/>
          <w:iCs/>
          <w:highlight w:val="yellow"/>
        </w:rPr>
        <w:t>18.6</w:t>
      </w:r>
      <w:r w:rsidRPr="00A70BF1">
        <w:rPr>
          <w:rFonts w:asciiTheme="minorHAnsi" w:hAnsiTheme="minorHAnsi" w:cstheme="minorHAnsi"/>
          <w:i/>
          <w:iCs/>
        </w:rPr>
        <w:t xml:space="preserve"> msec. However</w:t>
      </w:r>
      <w:r w:rsidRPr="00A70BF1">
        <w:rPr>
          <w:rFonts w:asciiTheme="minorHAnsi" w:hAnsiTheme="minorHAnsi" w:cstheme="minorHAnsi"/>
          <w:i/>
          <w:iCs/>
          <w:highlight w:val="yellow"/>
        </w:rPr>
        <w:t>,</w:t>
      </w:r>
      <w:r w:rsidRPr="00A70BF1">
        <w:rPr>
          <w:rFonts w:asciiTheme="minorHAnsi" w:hAnsiTheme="minorHAnsi" w:cstheme="minorHAnsi"/>
          <w:i/>
          <w:iCs/>
        </w:rPr>
        <w:t xml:space="preserve"> this mode is hardly used. The lowest OFDM rate (6 Mbps) will </w:t>
      </w:r>
      <w:r w:rsidRPr="00A70BF1">
        <w:rPr>
          <w:rFonts w:asciiTheme="minorHAnsi" w:hAnsiTheme="minorHAnsi" w:cstheme="minorHAnsi"/>
          <w:i/>
          <w:iCs/>
          <w:highlight w:val="yellow"/>
        </w:rPr>
        <w:t>result</w:t>
      </w:r>
      <w:r w:rsidRPr="00A70BF1">
        <w:rPr>
          <w:rFonts w:asciiTheme="minorHAnsi" w:hAnsiTheme="minorHAnsi" w:cstheme="minorHAnsi"/>
          <w:i/>
          <w:iCs/>
        </w:rPr>
        <w:t xml:space="preserve"> in the maximum transmission time being reduced to </w:t>
      </w:r>
      <w:r w:rsidRPr="00A70BF1">
        <w:rPr>
          <w:rFonts w:asciiTheme="minorHAnsi" w:hAnsiTheme="minorHAnsi" w:cstheme="minorHAnsi"/>
          <w:i/>
          <w:iCs/>
          <w:highlight w:val="yellow"/>
        </w:rPr>
        <w:t xml:space="preserve">about </w:t>
      </w:r>
      <w:r w:rsidR="004338C6" w:rsidRPr="00A70BF1">
        <w:rPr>
          <w:rFonts w:asciiTheme="minorHAnsi" w:hAnsiTheme="minorHAnsi" w:cstheme="minorHAnsi"/>
          <w:i/>
          <w:iCs/>
          <w:highlight w:val="yellow"/>
        </w:rPr>
        <w:t>3.1</w:t>
      </w:r>
      <w:r w:rsidRPr="00A70BF1">
        <w:rPr>
          <w:rFonts w:asciiTheme="minorHAnsi" w:hAnsiTheme="minorHAnsi" w:cstheme="minorHAnsi"/>
          <w:i/>
          <w:iCs/>
          <w:highlight w:val="yellow"/>
        </w:rPr>
        <w:t xml:space="preserve"> </w:t>
      </w:r>
      <w:proofErr w:type="spellStart"/>
      <w:r w:rsidRPr="00A70BF1">
        <w:rPr>
          <w:rFonts w:asciiTheme="minorHAnsi" w:hAnsiTheme="minorHAnsi" w:cstheme="minorHAnsi"/>
          <w:i/>
          <w:iCs/>
          <w:highlight w:val="yellow"/>
        </w:rPr>
        <w:t>ms</w:t>
      </w:r>
      <w:proofErr w:type="spellEnd"/>
      <w:r>
        <w:rPr>
          <w:rFonts w:asciiTheme="minorHAnsi" w:hAnsiTheme="minorHAnsi" w:cstheme="minorHAnsi"/>
        </w:rPr>
        <w:t>”</w:t>
      </w:r>
      <w:r w:rsidR="00A70BF1">
        <w:rPr>
          <w:rFonts w:asciiTheme="minorHAnsi" w:hAnsiTheme="minorHAnsi" w:cstheme="minorHAnsi"/>
        </w:rPr>
        <w:t xml:space="preserve"> (assuming a </w:t>
      </w:r>
      <w:r w:rsidR="00832796">
        <w:rPr>
          <w:rFonts w:asciiTheme="minorHAnsi" w:hAnsiTheme="minorHAnsi" w:cstheme="minorHAnsi"/>
        </w:rPr>
        <w:t>max MPDU of 2304 bytes)</w:t>
      </w:r>
    </w:p>
    <w:sectPr w:rsidR="00522A33" w:rsidRPr="00AA7060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1D458" w14:textId="77777777" w:rsidR="00DF14DE" w:rsidRDefault="00DF14DE" w:rsidP="002D52D4">
      <w:r>
        <w:separator/>
      </w:r>
    </w:p>
  </w:endnote>
  <w:endnote w:type="continuationSeparator" w:id="0">
    <w:p w14:paraId="2A7D5AF0" w14:textId="77777777" w:rsidR="00DF14DE" w:rsidRDefault="00DF14DE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D41D" w14:textId="77777777" w:rsidR="00DF14DE" w:rsidRDefault="00DF14DE" w:rsidP="002D52D4">
      <w:r>
        <w:separator/>
      </w:r>
    </w:p>
  </w:footnote>
  <w:footnote w:type="continuationSeparator" w:id="0">
    <w:p w14:paraId="17910B82" w14:textId="77777777" w:rsidR="00DF14DE" w:rsidRDefault="00DF14DE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E209" w14:textId="37C2F35D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4D3442">
      <w:rPr>
        <w:rFonts w:asciiTheme="minorHAnsi" w:hAnsiTheme="minorHAnsi"/>
      </w:rPr>
      <w:t>3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4D7D"/>
    <w:multiLevelType w:val="hybridMultilevel"/>
    <w:tmpl w:val="E540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1DD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21BB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338C6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442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2A3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3D5E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4EDA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796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0BF1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A7060"/>
    <w:rsid w:val="00AB7A5E"/>
    <w:rsid w:val="00AC268E"/>
    <w:rsid w:val="00AC539A"/>
    <w:rsid w:val="00AC583C"/>
    <w:rsid w:val="00AC7BFE"/>
    <w:rsid w:val="00AC7CED"/>
    <w:rsid w:val="00AD52E6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B5ED2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14DE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9431F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0BD6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917"/>
    <w:rsid w:val="00FB4D5E"/>
    <w:rsid w:val="00FB6C33"/>
    <w:rsid w:val="00FB7CEE"/>
    <w:rsid w:val="00FC0550"/>
    <w:rsid w:val="00FC5BBA"/>
    <w:rsid w:val="00FD008B"/>
    <w:rsid w:val="00FD34D8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4727-AF5E-43A9-927B-2E3C84C2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2020-07-13T03:44:00Z</dcterms:created>
  <dcterms:modified xsi:type="dcterms:W3CDTF">2020-07-13T05:22:00Z</dcterms:modified>
</cp:coreProperties>
</file>