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0972B994" w:rsidR="00114E3A" w:rsidRPr="000261EA" w:rsidRDefault="00632A9F" w:rsidP="004414A4">
            <w:pPr>
              <w:pStyle w:val="T2"/>
            </w:pPr>
            <w:r w:rsidRPr="000261EA">
              <w:t>[</w:t>
            </w:r>
            <w:r w:rsidR="00FD1026">
              <w:t xml:space="preserve">SA Ballot Comments Resolutions </w:t>
            </w:r>
            <w:r w:rsidR="00E04A0E">
              <w:t>for FTM CIDs</w:t>
            </w:r>
            <w:r w:rsidR="009930E0" w:rsidRPr="000261EA">
              <w:t>]</w:t>
            </w:r>
          </w:p>
          <w:p w14:paraId="65858CBF" w14:textId="76AAEC16" w:rsidR="003F5212" w:rsidRPr="000261EA" w:rsidRDefault="00193906" w:rsidP="004414A4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F530D7">
              <w:t>P802.11a</w:t>
            </w:r>
            <w:r w:rsidR="00E04A0E">
              <w:t>x</w:t>
            </w:r>
            <w:r w:rsidR="00F530D7">
              <w:t>/</w:t>
            </w:r>
            <w:r w:rsidR="004414A4">
              <w:t>D</w:t>
            </w:r>
            <w:r w:rsidR="00FD1026">
              <w:t>6.</w:t>
            </w:r>
            <w:proofErr w:type="gramStart"/>
            <w:r w:rsidR="00FD1026">
              <w:t>0</w:t>
            </w:r>
            <w:r w:rsidR="004414A4">
              <w:t xml:space="preserve"> </w:t>
            </w:r>
            <w:r w:rsidRPr="000261EA">
              <w:t>)</w:t>
            </w:r>
            <w:proofErr w:type="gramEnd"/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1310E927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</w:t>
            </w:r>
            <w:r w:rsidR="003F492A">
              <w:rPr>
                <w:b w:val="0"/>
                <w:sz w:val="20"/>
              </w:rPr>
              <w:t>20</w:t>
            </w:r>
            <w:r w:rsidR="00934BBB" w:rsidRPr="000261EA">
              <w:rPr>
                <w:b w:val="0"/>
                <w:sz w:val="20"/>
              </w:rPr>
              <w:t>-</w:t>
            </w:r>
            <w:r w:rsidR="003F492A">
              <w:rPr>
                <w:b w:val="0"/>
                <w:sz w:val="20"/>
              </w:rPr>
              <w:t>06</w:t>
            </w:r>
            <w:r w:rsidR="00701742" w:rsidRPr="000261EA">
              <w:rPr>
                <w:b w:val="0"/>
                <w:sz w:val="20"/>
              </w:rPr>
              <w:t>-</w:t>
            </w:r>
            <w:r w:rsidR="00E437BF">
              <w:rPr>
                <w:b w:val="0"/>
                <w:sz w:val="20"/>
              </w:rPr>
              <w:t>17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289DE3A" w:rsidR="003B63A2" w:rsidRPr="003A43B0" w:rsidRDefault="003F0D78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E437BF" w:rsidRPr="00231FEF">
                <w:rPr>
                  <w:rStyle w:val="Hyperlink"/>
                  <w:b w:val="0"/>
                  <w:sz w:val="20"/>
                </w:rPr>
                <w:t>jonathan.segev@intel.com</w:t>
              </w:r>
            </w:hyperlink>
            <w:r w:rsidR="00E437BF">
              <w:rPr>
                <w:b w:val="0"/>
                <w:sz w:val="20"/>
              </w:rPr>
              <w:t xml:space="preserve"> 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4C15D2F3" w:rsidR="003B63A2" w:rsidRPr="000261EA" w:rsidRDefault="007B4A18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2295745E" w14:textId="3B98F04E" w:rsidR="003B63A2" w:rsidRPr="000261EA" w:rsidRDefault="007B4A18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6A9CA4" w:rsidR="003B63A2" w:rsidRPr="003A43B0" w:rsidRDefault="003F0D78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E437BF" w:rsidRPr="00231FEF">
                <w:rPr>
                  <w:rStyle w:val="Hyperlink"/>
                  <w:b w:val="0"/>
                  <w:sz w:val="20"/>
                </w:rPr>
                <w:t>alirezar@qti.qualcomm.com</w:t>
              </w:r>
            </w:hyperlink>
            <w:r w:rsidR="00E437BF">
              <w:rPr>
                <w:b w:val="0"/>
                <w:sz w:val="20"/>
              </w:rPr>
              <w:t xml:space="preserve"> 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090124FC" w:rsidR="00663E75" w:rsidRPr="000261EA" w:rsidRDefault="007B4A18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4A18">
              <w:rPr>
                <w:b w:val="0"/>
                <w:sz w:val="20"/>
              </w:rPr>
              <w:t>Alfred Asterjadhi</w:t>
            </w:r>
          </w:p>
        </w:tc>
        <w:tc>
          <w:tcPr>
            <w:tcW w:w="2064" w:type="dxa"/>
            <w:vAlign w:val="center"/>
          </w:tcPr>
          <w:p w14:paraId="3DC41B87" w14:textId="1012ADE5" w:rsidR="00663E75" w:rsidRPr="000261EA" w:rsidRDefault="007B4A18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760F245" w14:textId="713B7A88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6A61BE2" w:rsidR="00663E75" w:rsidRPr="003A43B0" w:rsidRDefault="003F0D78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7B4A18" w:rsidRPr="00231FEF">
                <w:rPr>
                  <w:rStyle w:val="Hyperlink"/>
                  <w:b w:val="0"/>
                  <w:sz w:val="20"/>
                </w:rPr>
                <w:t>aasterja@qti.qualcomm.com</w:t>
              </w:r>
            </w:hyperlink>
            <w:r w:rsidR="007B4A18">
              <w:rPr>
                <w:b w:val="0"/>
                <w:sz w:val="20"/>
              </w:rPr>
              <w:t xml:space="preserve"> </w:t>
            </w: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203E3E9A" w:rsidR="00D01B40" w:rsidRPr="000261EA" w:rsidRDefault="00205C22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64" w:type="dxa"/>
            <w:vAlign w:val="center"/>
          </w:tcPr>
          <w:p w14:paraId="3A46A7E6" w14:textId="559FF6FC" w:rsidR="00D01B40" w:rsidRPr="000261EA" w:rsidRDefault="00205C22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23C775" w:rsidR="00205C22" w:rsidRPr="003A43B0" w:rsidRDefault="003F0D78" w:rsidP="00205C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205C22" w:rsidRPr="00120AFD">
                <w:rPr>
                  <w:rStyle w:val="Hyperlink"/>
                  <w:b w:val="0"/>
                  <w:sz w:val="20"/>
                </w:rPr>
                <w:t>roywant@google.com</w:t>
              </w:r>
            </w:hyperlink>
            <w:r w:rsidR="00205C22">
              <w:rPr>
                <w:b w:val="0"/>
                <w:sz w:val="20"/>
              </w:rPr>
              <w:t xml:space="preserve"> 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4F585E97">
                <wp:simplePos x="0" y="0"/>
                <wp:positionH relativeFrom="column">
                  <wp:posOffset>-63500</wp:posOffset>
                </wp:positionH>
                <wp:positionV relativeFrom="paragraph">
                  <wp:posOffset>142875</wp:posOffset>
                </wp:positionV>
                <wp:extent cx="6610350" cy="454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07065" w:rsidRPr="00AF318A" w:rsidRDefault="0070706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4FDA21BF" w14:textId="217403B5" w:rsidR="00FD1026" w:rsidRDefault="00707065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proposed resolutions for </w:t>
                            </w:r>
                            <w:proofErr w:type="spellStart"/>
                            <w:r w:rsidR="00FD1026">
                              <w:rPr>
                                <w:sz w:val="24"/>
                                <w:szCs w:val="24"/>
                              </w:rPr>
                              <w:t>TGax</w:t>
                            </w:r>
                            <w:proofErr w:type="spellEnd"/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 SA Ballot of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CIDs</w:t>
                            </w:r>
                            <w:bookmarkStart w:id="0" w:name="_Hlk23414889"/>
                            <w:r w:rsidR="00E04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026" w:rsidRPr="00FD1026">
                              <w:rPr>
                                <w:sz w:val="24"/>
                                <w:szCs w:val="24"/>
                              </w:rPr>
                              <w:t>24488</w:t>
                            </w:r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FD1026" w:rsidRPr="00FD1026">
                              <w:rPr>
                                <w:sz w:val="24"/>
                                <w:szCs w:val="24"/>
                              </w:rPr>
                              <w:t>24489</w:t>
                            </w:r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 (2).</w:t>
                            </w:r>
                          </w:p>
                          <w:bookmarkEnd w:id="0"/>
                          <w:p w14:paraId="1818341D" w14:textId="77777777" w:rsidR="00707065" w:rsidRDefault="0070706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07065" w:rsidRDefault="0070706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07065" w:rsidRDefault="00707065" w:rsidP="004F120D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1.25pt;width:520.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" o:allowincell="f" stroked="f">
                <v:textbox>
                  <w:txbxContent>
                    <w:p w14:paraId="79D83B69" w14:textId="77777777" w:rsidR="00707065" w:rsidRPr="00AF318A" w:rsidRDefault="0070706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4FDA21BF" w14:textId="217403B5" w:rsidR="00FD1026" w:rsidRDefault="00707065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r w:rsidR="00FD1026">
                        <w:rPr>
                          <w:sz w:val="24"/>
                          <w:szCs w:val="24"/>
                        </w:rPr>
                        <w:t xml:space="preserve">proposed resolutions for </w:t>
                      </w:r>
                      <w:proofErr w:type="spellStart"/>
                      <w:r w:rsidR="00FD1026">
                        <w:rPr>
                          <w:sz w:val="24"/>
                          <w:szCs w:val="24"/>
                        </w:rPr>
                        <w:t>TGax</w:t>
                      </w:r>
                      <w:proofErr w:type="spellEnd"/>
                      <w:r w:rsidR="00FD1026">
                        <w:rPr>
                          <w:sz w:val="24"/>
                          <w:szCs w:val="24"/>
                        </w:rPr>
                        <w:t xml:space="preserve"> SA Ballot of </w:t>
                      </w:r>
                      <w:r>
                        <w:rPr>
                          <w:sz w:val="24"/>
                          <w:szCs w:val="24"/>
                        </w:rPr>
                        <w:t>CIDs</w:t>
                      </w:r>
                      <w:bookmarkStart w:id="2" w:name="_Hlk23414889"/>
                      <w:r w:rsidR="00E04A0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1026" w:rsidRPr="00FD1026">
                        <w:rPr>
                          <w:sz w:val="24"/>
                          <w:szCs w:val="24"/>
                        </w:rPr>
                        <w:t>24488</w:t>
                      </w:r>
                      <w:r w:rsidR="00FD1026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FD1026" w:rsidRPr="00FD1026">
                        <w:rPr>
                          <w:sz w:val="24"/>
                          <w:szCs w:val="24"/>
                        </w:rPr>
                        <w:t>24489</w:t>
                      </w:r>
                      <w:r w:rsidR="00FD1026">
                        <w:rPr>
                          <w:sz w:val="24"/>
                          <w:szCs w:val="24"/>
                        </w:rPr>
                        <w:t xml:space="preserve"> (2).</w:t>
                      </w:r>
                    </w:p>
                    <w:bookmarkEnd w:id="2"/>
                    <w:p w14:paraId="1818341D" w14:textId="77777777" w:rsidR="00707065" w:rsidRDefault="0070706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07065" w:rsidRDefault="0070706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07065" w:rsidRDefault="00707065" w:rsidP="004F120D"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04C55ECC" w14:textId="5DBDF6CD" w:rsidR="004414A4" w:rsidRPr="008A15B1" w:rsidRDefault="00BE67DC" w:rsidP="00A779DE">
      <w:pPr>
        <w:pStyle w:val="T"/>
        <w:rPr>
          <w:sz w:val="22"/>
          <w:szCs w:val="22"/>
        </w:rPr>
      </w:pPr>
      <w:r w:rsidRPr="008A15B1">
        <w:rPr>
          <w:b/>
          <w:bCs/>
          <w:sz w:val="22"/>
          <w:szCs w:val="22"/>
        </w:rPr>
        <w:lastRenderedPageBreak/>
        <w:t>Comments</w:t>
      </w:r>
      <w:r w:rsidRPr="008A15B1">
        <w:rPr>
          <w:sz w:val="22"/>
          <w:szCs w:val="22"/>
        </w:rPr>
        <w:t>:</w:t>
      </w:r>
    </w:p>
    <w:p w14:paraId="1C2F49B5" w14:textId="4C969133" w:rsidR="00BA017D" w:rsidRPr="00BA017D" w:rsidRDefault="00BA017D" w:rsidP="00BA017D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1705"/>
        <w:gridCol w:w="2835"/>
        <w:gridCol w:w="3686"/>
      </w:tblGrid>
      <w:tr w:rsidR="00BE67DC" w:rsidRPr="00BA017D" w14:paraId="18AB8FB0" w14:textId="77777777" w:rsidTr="008A15B1">
        <w:trPr>
          <w:trHeight w:val="247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FA7A" w14:textId="4F25B326" w:rsidR="00BE67DC" w:rsidRPr="00BA017D" w:rsidRDefault="00BE67DC" w:rsidP="00BE67DC">
            <w:pPr>
              <w:ind w:left="-10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CID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E9F9" w14:textId="74568800" w:rsidR="00BE67DC" w:rsidRPr="00BA017D" w:rsidRDefault="00BE67DC" w:rsidP="00BE67DC">
            <w:pPr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Page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AC28" w14:textId="36AC67FA" w:rsidR="00BE67DC" w:rsidRPr="00BA017D" w:rsidRDefault="00BE67DC" w:rsidP="00BE67DC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Clause</w:t>
            </w: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44F0" w14:textId="0F1DC4F4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Comment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6CD3" w14:textId="04198409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Proposed change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B8FD" w14:textId="61EAF401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Resolution</w:t>
            </w:r>
          </w:p>
        </w:tc>
      </w:tr>
      <w:tr w:rsidR="00E04A0E" w:rsidRPr="00BA017D" w14:paraId="749EF9B4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6D48" w14:textId="7EB44790" w:rsidR="00E04A0E" w:rsidRPr="00BA017D" w:rsidRDefault="00FD1026" w:rsidP="00E04A0E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2448</w:t>
            </w:r>
            <w:r w:rsidR="00603292">
              <w:rPr>
                <w:rFonts w:eastAsia="Times New Roman"/>
                <w:sz w:val="24"/>
                <w:szCs w:val="24"/>
                <w:lang w:val="en-US" w:bidi="he-IL"/>
              </w:rPr>
              <w:t>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5CC3" w14:textId="6FE1DBA5" w:rsidR="00E04A0E" w:rsidRPr="00BA017D" w:rsidRDefault="00E04A0E" w:rsidP="00E04A0E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9D7A" w14:textId="656F19C9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15BB" w14:textId="391FB43F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Changes to FTM are outside the scope of P802.11ax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7A8F" w14:textId="1052B58C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Delete the changes shown in 10.6.6.1 General rules for rate selection for Control frames bullet f), 26.15.2 PPDU format selection last para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32ED" w14:textId="77777777" w:rsidR="00FD1026" w:rsidRDefault="00E04A0E" w:rsidP="00E04A0E">
            <w:pPr>
              <w:rPr>
                <w:rFonts w:ascii="Arial" w:hAnsi="Arial" w:cs="Arial"/>
                <w:sz w:val="20"/>
              </w:rPr>
            </w:pPr>
            <w:r w:rsidRPr="002C1F8C">
              <w:rPr>
                <w:rFonts w:ascii="Arial" w:hAnsi="Arial" w:cs="Arial"/>
                <w:b/>
                <w:bCs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042B3E6" w14:textId="77777777" w:rsidR="003B23F9" w:rsidRDefault="003B23F9" w:rsidP="00E04A0E">
            <w:pPr>
              <w:rPr>
                <w:rFonts w:ascii="Arial" w:hAnsi="Arial" w:cs="Arial"/>
                <w:sz w:val="20"/>
              </w:rPr>
            </w:pPr>
          </w:p>
          <w:p w14:paraId="43979BD9" w14:textId="6BE2361C" w:rsidR="003C2E90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 that the development of FTM is within the primary scope of P802.11az draft. </w:t>
            </w:r>
          </w:p>
          <w:p w14:paraId="02F9204E" w14:textId="0674A2D6" w:rsidR="00E04A0E" w:rsidRDefault="008A15B1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h</w:t>
            </w:r>
            <w:r w:rsidR="00E04A0E">
              <w:rPr>
                <w:rFonts w:ascii="Arial" w:hAnsi="Arial" w:cs="Arial"/>
                <w:sz w:val="20"/>
              </w:rPr>
              <w:t>owever not a new mode of operation but an adjustment to interoperable issue coming from product</w:t>
            </w:r>
            <w:r w:rsidR="001E407F">
              <w:rPr>
                <w:rFonts w:ascii="Arial" w:hAnsi="Arial" w:cs="Arial"/>
                <w:sz w:val="20"/>
              </w:rPr>
              <w:t>s</w:t>
            </w:r>
            <w:r w:rsidR="00E04A0E">
              <w:rPr>
                <w:rFonts w:ascii="Arial" w:hAnsi="Arial" w:cs="Arial"/>
                <w:sz w:val="20"/>
              </w:rPr>
              <w:t xml:space="preserve"> in the field on legacy modes.</w:t>
            </w:r>
          </w:p>
          <w:p w14:paraId="2A590204" w14:textId="77777777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33AF1757" w14:textId="35FB43CB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it’s part of 11az or 11ax it will eventually be part of the baseline standard and thus result will be identical.</w:t>
            </w:r>
          </w:p>
          <w:p w14:paraId="03649F10" w14:textId="064B200D" w:rsidR="00E6545A" w:rsidRDefault="00E6545A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By allowing a VHT format ACK </w:t>
            </w:r>
            <w:r w:rsidR="00CE4F87">
              <w:rPr>
                <w:rFonts w:ascii="Arial" w:hAnsi="Arial" w:cs="Arial"/>
                <w:sz w:val="20"/>
              </w:rPr>
              <w:t xml:space="preserve">instead of a </w:t>
            </w:r>
            <w:proofErr w:type="gramStart"/>
            <w:r w:rsidR="00CE4F87">
              <w:rPr>
                <w:rFonts w:ascii="Arial" w:hAnsi="Arial" w:cs="Arial"/>
                <w:sz w:val="20"/>
              </w:rPr>
              <w:t>non HT</w:t>
            </w:r>
            <w:proofErr w:type="gramEnd"/>
            <w:r w:rsidR="00CE4F87">
              <w:rPr>
                <w:rFonts w:ascii="Arial" w:hAnsi="Arial" w:cs="Arial"/>
                <w:sz w:val="20"/>
              </w:rPr>
              <w:t xml:space="preserve"> dup ACK </w:t>
            </w:r>
            <w:r>
              <w:rPr>
                <w:rFonts w:ascii="Arial" w:hAnsi="Arial" w:cs="Arial"/>
                <w:sz w:val="20"/>
              </w:rPr>
              <w:t xml:space="preserve">the receiving PHY improves the accuracy by a </w:t>
            </w:r>
            <w:r w:rsidR="00CE4F87">
              <w:rPr>
                <w:rFonts w:ascii="Arial" w:hAnsi="Arial" w:cs="Arial"/>
                <w:sz w:val="20"/>
              </w:rPr>
              <w:t xml:space="preserve">power of 2 of the </w:t>
            </w:r>
            <w:r>
              <w:rPr>
                <w:rFonts w:ascii="Arial" w:hAnsi="Arial" w:cs="Arial"/>
                <w:sz w:val="20"/>
              </w:rPr>
              <w:t xml:space="preserve">factor </w:t>
            </w:r>
            <w:r w:rsidR="00CE4F87">
              <w:rPr>
                <w:rFonts w:ascii="Arial" w:hAnsi="Arial" w:cs="Arial"/>
                <w:sz w:val="20"/>
              </w:rPr>
              <w:t>of BW by that improving the medium efficiency of FTM.</w:t>
            </w:r>
          </w:p>
          <w:p w14:paraId="58D44AC3" w14:textId="41AB086A" w:rsidR="003C2E90" w:rsidRPr="008A15B1" w:rsidRDefault="003C2E90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 feedback to commenter included the following text:</w:t>
            </w:r>
          </w:p>
          <w:p w14:paraId="63F46BD7" w14:textId="10F6F066" w:rsidR="00C0468E" w:rsidRPr="003C2E90" w:rsidRDefault="003C2E90" w:rsidP="00C0468E">
            <w:pPr>
              <w:rPr>
                <w:rFonts w:ascii="Arial" w:hAnsi="Arial" w:cs="Arial"/>
                <w:i/>
                <w:iCs/>
                <w:sz w:val="20"/>
              </w:rPr>
            </w:pPr>
            <w:r w:rsidRPr="003C2E90">
              <w:rPr>
                <w:rFonts w:ascii="Arial" w:hAnsi="Arial" w:cs="Arial"/>
                <w:i/>
                <w:iCs/>
                <w:sz w:val="20"/>
              </w:rPr>
              <w:t>“</w:t>
            </w:r>
            <w:r w:rsidR="00E04A0E" w:rsidRPr="003C2E90">
              <w:rPr>
                <w:rFonts w:ascii="Arial" w:hAnsi="Arial" w:cs="Arial"/>
                <w:i/>
                <w:iCs/>
                <w:sz w:val="20"/>
              </w:rPr>
              <w:t xml:space="preserve">If larger changes are made would recommend </w:t>
            </w:r>
            <w:r w:rsidR="00C0468E" w:rsidRPr="003C2E90">
              <w:rPr>
                <w:rFonts w:ascii="Arial" w:hAnsi="Arial" w:cs="Arial"/>
                <w:i/>
                <w:iCs/>
                <w:sz w:val="20"/>
              </w:rPr>
              <w:t>to reconsider moving of FTM related change to 11az.</w:t>
            </w:r>
            <w:r w:rsidRPr="003C2E90">
              <w:rPr>
                <w:rFonts w:ascii="Arial" w:hAnsi="Arial" w:cs="Arial"/>
                <w:i/>
                <w:iCs/>
                <w:sz w:val="20"/>
              </w:rPr>
              <w:t>”</w:t>
            </w:r>
          </w:p>
          <w:p w14:paraId="5EA17F56" w14:textId="6DF80A97" w:rsidR="00E04A0E" w:rsidRPr="008A15B1" w:rsidRDefault="003C2E90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were no further changes made.</w:t>
            </w:r>
          </w:p>
        </w:tc>
      </w:tr>
      <w:tr w:rsidR="00E04A0E" w:rsidRPr="00BA017D" w14:paraId="4AFA2D99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6F31" w14:textId="7713C81B" w:rsidR="00E04A0E" w:rsidRDefault="002C1F8C" w:rsidP="00BE67DC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t>24489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8B4E" w14:textId="77777777" w:rsidR="00E04A0E" w:rsidRPr="00BA017D" w:rsidRDefault="00E04A0E" w:rsidP="00BE67D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2DBD" w14:textId="00950A85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C211" w14:textId="77777777" w:rsidR="003C2E90" w:rsidRDefault="003C2E90" w:rsidP="003C2E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Changes to FTM are outside the scope of P802.11ax</w:t>
            </w:r>
          </w:p>
          <w:p w14:paraId="280795FC" w14:textId="77777777" w:rsidR="00E04A0E" w:rsidRPr="00BA5262" w:rsidRDefault="00E04A0E" w:rsidP="00BA52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D6AA" w14:textId="77777777" w:rsidR="003C2E90" w:rsidRDefault="003C2E90" w:rsidP="003C2E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Delete the changes shown in 10.6.6.1 General rules for rate selection for Control frames bullet f), 26.15.2 PPDU format selection last para and liaise with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add them to P802.11az</w:t>
            </w:r>
          </w:p>
          <w:p w14:paraId="4611B4CC" w14:textId="77777777" w:rsidR="00E04A0E" w:rsidRPr="00BA5262" w:rsidRDefault="00E04A0E" w:rsidP="003C2E9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C28F" w14:textId="1BFD48FB" w:rsidR="003C2E90" w:rsidRDefault="00C0468E" w:rsidP="00C0468E">
            <w:pPr>
              <w:rPr>
                <w:rFonts w:ascii="Arial" w:hAnsi="Arial" w:cs="Arial"/>
                <w:sz w:val="20"/>
              </w:rPr>
            </w:pPr>
            <w:r w:rsidRPr="002C1F8C">
              <w:rPr>
                <w:rFonts w:ascii="Arial" w:hAnsi="Arial" w:cs="Arial"/>
                <w:b/>
                <w:bCs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01C603F" w14:textId="4EE2C96A" w:rsidR="00C0468E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Agree with the commenter that the development of FTM is within the primary scope of P802.11az draft. This is however not a new mode of operation but an adjustment to interoperable issue coming from products in the field on legacy modes.</w:t>
            </w:r>
          </w:p>
          <w:p w14:paraId="1BA51C31" w14:textId="77777777" w:rsidR="00C0468E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40948640" w14:textId="77777777" w:rsidR="00CE4F87" w:rsidRDefault="00C0468E" w:rsidP="00CE4F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it’s part of 11az or 11ax it will eventually be part of the baseline standard and thus result will be identical.</w:t>
            </w:r>
            <w:r w:rsidR="00CE4F87">
              <w:rPr>
                <w:rFonts w:ascii="Arial" w:hAnsi="Arial" w:cs="Arial"/>
                <w:sz w:val="20"/>
              </w:rPr>
              <w:t xml:space="preserve"> </w:t>
            </w:r>
          </w:p>
          <w:p w14:paraId="28374C55" w14:textId="3A2BE247" w:rsidR="00C0468E" w:rsidRPr="008A15B1" w:rsidRDefault="00CE4F87" w:rsidP="00CE4F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By allowing a VHT format ACK instead of a </w:t>
            </w:r>
            <w:proofErr w:type="gramStart"/>
            <w:r>
              <w:rPr>
                <w:rFonts w:ascii="Arial" w:hAnsi="Arial" w:cs="Arial"/>
                <w:sz w:val="20"/>
              </w:rPr>
              <w:t>non HT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dup ACK the receiving PHY improves the accuracy by a power of 2 of the factor of BW by that improving the medium efficiency of FTM.</w:t>
            </w:r>
          </w:p>
          <w:p w14:paraId="1A888D9F" w14:textId="77777777" w:rsidR="002C1F8C" w:rsidRPr="008A15B1" w:rsidRDefault="002C1F8C" w:rsidP="002C1F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 feedback to commenter included the following text:</w:t>
            </w:r>
          </w:p>
          <w:p w14:paraId="03ADBDB2" w14:textId="77777777" w:rsidR="002C1F8C" w:rsidRPr="003C2E90" w:rsidRDefault="002C1F8C" w:rsidP="002C1F8C">
            <w:pPr>
              <w:rPr>
                <w:rFonts w:ascii="Arial" w:hAnsi="Arial" w:cs="Arial"/>
                <w:i/>
                <w:iCs/>
                <w:sz w:val="20"/>
              </w:rPr>
            </w:pPr>
            <w:r w:rsidRPr="003C2E90">
              <w:rPr>
                <w:rFonts w:ascii="Arial" w:hAnsi="Arial" w:cs="Arial"/>
                <w:i/>
                <w:iCs/>
                <w:sz w:val="20"/>
              </w:rPr>
              <w:t>“If larger changes are made would recommend to reconsider moving of FTM related change to 11az.”</w:t>
            </w:r>
          </w:p>
          <w:p w14:paraId="6C782C1F" w14:textId="3B52FA3B" w:rsidR="00C0468E" w:rsidRPr="008A15B1" w:rsidRDefault="002C1F8C" w:rsidP="002C1F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were no further changes made.</w:t>
            </w:r>
          </w:p>
          <w:p w14:paraId="3051BE31" w14:textId="0B5E6A30" w:rsidR="00E04A0E" w:rsidRPr="008A15B1" w:rsidRDefault="00E04A0E" w:rsidP="00BB02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130411" w14:textId="77777777" w:rsidR="00EA2B04" w:rsidRDefault="00EA2B04"/>
    <w:sectPr w:rsidR="00EA2B04" w:rsidSect="00FA0843">
      <w:headerReference w:type="default" r:id="rId12"/>
      <w:footerReference w:type="default" r:id="rId13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4959" w14:textId="77777777" w:rsidR="003F0D78" w:rsidRDefault="003F0D78">
      <w:r>
        <w:separator/>
      </w:r>
    </w:p>
  </w:endnote>
  <w:endnote w:type="continuationSeparator" w:id="0">
    <w:p w14:paraId="7C85B9A8" w14:textId="77777777" w:rsidR="003F0D78" w:rsidRDefault="003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AB13949" w:rsidR="00707065" w:rsidRDefault="00707065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</w:t>
        </w:r>
        <w:r w:rsidR="00E04A0E">
          <w:rPr>
            <w:noProof/>
          </w:rPr>
          <w:tab/>
        </w:r>
        <w:r w:rsidR="00E04A0E">
          <w:rPr>
            <w:noProof/>
          </w:rPr>
          <w:tab/>
        </w:r>
        <w:r>
          <w:rPr>
            <w:noProof/>
          </w:rPr>
          <w:t xml:space="preserve">          </w:t>
        </w:r>
        <w:r>
          <w:rPr>
            <w:noProof/>
            <w:sz w:val="22"/>
          </w:rPr>
          <w:t>J</w:t>
        </w:r>
        <w:r w:rsidR="00E04A0E">
          <w:rPr>
            <w:noProof/>
            <w:sz w:val="22"/>
          </w:rPr>
          <w:t xml:space="preserve">onathan </w:t>
        </w:r>
        <w:r>
          <w:rPr>
            <w:noProof/>
            <w:sz w:val="22"/>
          </w:rPr>
          <w:t>Segev</w:t>
        </w:r>
        <w:r w:rsidRPr="00CD295A">
          <w:rPr>
            <w:noProof/>
            <w:sz w:val="22"/>
          </w:rPr>
          <w:t xml:space="preserve"> (Intel)</w:t>
        </w:r>
        <w:r>
          <w:rPr>
            <w:noProof/>
          </w:rPr>
          <w:t xml:space="preserve"> </w:t>
        </w:r>
      </w:p>
    </w:sdtContent>
  </w:sdt>
  <w:p w14:paraId="78F213D6" w14:textId="6DD777AB" w:rsidR="00707065" w:rsidRDefault="0070706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FF9F" w14:textId="77777777" w:rsidR="003F0D78" w:rsidRDefault="003F0D78">
      <w:r>
        <w:separator/>
      </w:r>
    </w:p>
  </w:footnote>
  <w:footnote w:type="continuationSeparator" w:id="0">
    <w:p w14:paraId="4A1AA0BE" w14:textId="77777777" w:rsidR="003F0D78" w:rsidRDefault="003F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CC4" w14:textId="0C2EB82C" w:rsidR="00707065" w:rsidRDefault="00FD1026" w:rsidP="004414A4">
    <w:pPr>
      <w:pStyle w:val="Header"/>
      <w:tabs>
        <w:tab w:val="center" w:pos="4680"/>
        <w:tab w:val="left" w:pos="6480"/>
        <w:tab w:val="right" w:pos="9360"/>
      </w:tabs>
    </w:pPr>
    <w:r>
      <w:t>June</w:t>
    </w:r>
    <w:r w:rsidR="008A15B1">
      <w:t xml:space="preserve"> </w:t>
    </w:r>
    <w:r w:rsidR="00707065">
      <w:t>20</w:t>
    </w:r>
    <w:r>
      <w:t>20</w:t>
    </w:r>
    <w:r w:rsidR="00707065">
      <w:tab/>
      <w:t xml:space="preserve">                                                                             doc.: IEEE 802.11-</w:t>
    </w:r>
    <w:r w:rsidR="00603292">
      <w:t>20</w:t>
    </w:r>
    <w:r w:rsidR="00707065">
      <w:t>/</w:t>
    </w:r>
    <w:r>
      <w:t>085</w:t>
    </w:r>
    <w:r w:rsidR="008A15B1">
      <w:t>7</w:t>
    </w:r>
    <w:r w:rsidR="00707065">
      <w:t>r</w:t>
    </w:r>
    <w:r w:rsidR="0060329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2C92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038D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13B8"/>
    <w:rsid w:val="00102F0D"/>
    <w:rsid w:val="00103391"/>
    <w:rsid w:val="00104CFD"/>
    <w:rsid w:val="00105CAD"/>
    <w:rsid w:val="00105FB3"/>
    <w:rsid w:val="001072C8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268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07F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5C22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7EE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262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493"/>
    <w:rsid w:val="002B6C0E"/>
    <w:rsid w:val="002B6C63"/>
    <w:rsid w:val="002B7810"/>
    <w:rsid w:val="002B7948"/>
    <w:rsid w:val="002B7E6C"/>
    <w:rsid w:val="002C00D1"/>
    <w:rsid w:val="002C0326"/>
    <w:rsid w:val="002C054D"/>
    <w:rsid w:val="002C1BD9"/>
    <w:rsid w:val="002C1F8C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E5D"/>
    <w:rsid w:val="003120A9"/>
    <w:rsid w:val="00312687"/>
    <w:rsid w:val="00313D68"/>
    <w:rsid w:val="00313F84"/>
    <w:rsid w:val="00314A99"/>
    <w:rsid w:val="00314D1B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3F9"/>
    <w:rsid w:val="00340DA7"/>
    <w:rsid w:val="00341DEF"/>
    <w:rsid w:val="003423D2"/>
    <w:rsid w:val="00342CD4"/>
    <w:rsid w:val="003438B8"/>
    <w:rsid w:val="00343C52"/>
    <w:rsid w:val="00344AD4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2324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3F9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2E90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0D78"/>
    <w:rsid w:val="003F1A55"/>
    <w:rsid w:val="003F1FCD"/>
    <w:rsid w:val="003F222A"/>
    <w:rsid w:val="003F3486"/>
    <w:rsid w:val="003F34B0"/>
    <w:rsid w:val="003F4517"/>
    <w:rsid w:val="003F492A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17F4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292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695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065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0F7E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62F9"/>
    <w:rsid w:val="007A7C4F"/>
    <w:rsid w:val="007B08E5"/>
    <w:rsid w:val="007B171D"/>
    <w:rsid w:val="007B19AA"/>
    <w:rsid w:val="007B25AF"/>
    <w:rsid w:val="007B49DF"/>
    <w:rsid w:val="007B4A18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7F7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FA3"/>
    <w:rsid w:val="007F31C1"/>
    <w:rsid w:val="007F32F0"/>
    <w:rsid w:val="007F42E2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15B1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8BB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B21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3F47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F18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735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9D1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255B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332"/>
    <w:rsid w:val="00B10AB2"/>
    <w:rsid w:val="00B10E4B"/>
    <w:rsid w:val="00B110F0"/>
    <w:rsid w:val="00B1233A"/>
    <w:rsid w:val="00B12612"/>
    <w:rsid w:val="00B12B93"/>
    <w:rsid w:val="00B13207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468E"/>
    <w:rsid w:val="00C051C9"/>
    <w:rsid w:val="00C051D9"/>
    <w:rsid w:val="00C05C2F"/>
    <w:rsid w:val="00C0615C"/>
    <w:rsid w:val="00C07015"/>
    <w:rsid w:val="00C0792E"/>
    <w:rsid w:val="00C07BE7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4F87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AB7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FF2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4A0E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37BF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577AD"/>
    <w:rsid w:val="00E60D4D"/>
    <w:rsid w:val="00E61C4B"/>
    <w:rsid w:val="00E6280B"/>
    <w:rsid w:val="00E6342F"/>
    <w:rsid w:val="00E63495"/>
    <w:rsid w:val="00E63F04"/>
    <w:rsid w:val="00E6465A"/>
    <w:rsid w:val="00E654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3FE2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2B0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DE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28D"/>
    <w:rsid w:val="00F459AB"/>
    <w:rsid w:val="00F459B0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0D7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2C2B"/>
    <w:rsid w:val="00F639A2"/>
    <w:rsid w:val="00F63D13"/>
    <w:rsid w:val="00F64F28"/>
    <w:rsid w:val="00F65F80"/>
    <w:rsid w:val="00F73036"/>
    <w:rsid w:val="00F73BBE"/>
    <w:rsid w:val="00F74C46"/>
    <w:rsid w:val="00F75274"/>
    <w:rsid w:val="00F75F8C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175"/>
    <w:rsid w:val="00FA0843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026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ywant@goog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asterja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rezar@qti.qualcom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3534-4C52-4EA5-8C0E-86EF1716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2020-06-26T00:22:00Z</dcterms:created>
  <dcterms:modified xsi:type="dcterms:W3CDTF">2020-06-26T00:22:00Z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b1fdc723-ded3-4c67-bf73-000538a21fdf</vt:lpwstr>
  </property>
  <property fmtid="{D5CDD505-2E9C-101B-9397-08002B2CF9AE}" pid="4" name="CTP_TimeStamp">
    <vt:lpwstr>2020-06-23 21:24:26Z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