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44E60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CID 4505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97644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440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67478">
              <w:rPr>
                <w:b w:val="0"/>
                <w:sz w:val="24"/>
                <w:szCs w:val="24"/>
              </w:rPr>
              <w:t>27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A09B2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 a resolution for CID</w:t>
      </w:r>
      <w:r w:rsidR="005928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C67478" w:rsidRPr="00C67478">
        <w:rPr>
          <w:rFonts w:ascii="Times New Roman" w:hAnsi="Times New Roman"/>
          <w:b w:val="0"/>
          <w:i w:val="0"/>
          <w:sz w:val="24"/>
          <w:szCs w:val="24"/>
        </w:rPr>
        <w:t>4505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REVmd/D</w:t>
      </w:r>
      <w:r w:rsidR="005471D9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C67478">
        <w:rPr>
          <w:rFonts w:ascii="Times New Roman" w:hAnsi="Times New Roman"/>
          <w:b w:val="0"/>
          <w:i w:val="0"/>
          <w:sz w:val="24"/>
          <w:szCs w:val="24"/>
        </w:rPr>
        <w:t>3 and prepared based on the changes proposed by Mark Rison in his contribution 20/0435r3.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resolution is revised based on the comments received during the May 27</w:t>
      </w:r>
      <w:r w:rsidRPr="00AD1160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th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CRC call.</w:t>
      </w:r>
      <w:bookmarkStart w:id="0" w:name="_GoBack"/>
      <w:bookmarkEnd w:id="0"/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A04EC" w:rsidRPr="001E491B" w:rsidTr="00AC61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04EC" w:rsidRPr="001E491B" w:rsidTr="00AC61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A04EC" w:rsidRPr="001E491B" w:rsidRDefault="00C67478" w:rsidP="00C674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4505</w:t>
            </w:r>
          </w:p>
        </w:tc>
        <w:tc>
          <w:tcPr>
            <w:tcW w:w="686" w:type="pct"/>
            <w:shd w:val="clear" w:color="auto" w:fill="auto"/>
          </w:tcPr>
          <w:p w:rsidR="005A04EC" w:rsidRPr="001E491B" w:rsidRDefault="00C67478" w:rsidP="00AC61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11.41</w:t>
            </w: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5A04EC" w:rsidRPr="001E491B" w:rsidRDefault="00C67478" w:rsidP="00AC612F">
            <w:pPr>
              <w:rPr>
                <w:sz w:val="24"/>
                <w:szCs w:val="24"/>
                <w:lang w:val="en-US"/>
              </w:rPr>
            </w:pPr>
            <w:r w:rsidRPr="00C67478">
              <w:rPr>
                <w:sz w:val="24"/>
                <w:szCs w:val="24"/>
                <w:lang w:val="en-US"/>
              </w:rPr>
              <w:t>We now have two Operating Mode Notification frames (9.6.22.4 and 9.6.29.3).  So which is intended when the spec talks of "the Operating Mode Notification frame"?</w:t>
            </w:r>
          </w:p>
        </w:tc>
        <w:tc>
          <w:tcPr>
            <w:tcW w:w="1745" w:type="pct"/>
            <w:shd w:val="clear" w:color="auto" w:fill="auto"/>
          </w:tcPr>
          <w:p w:rsidR="005A04EC" w:rsidRPr="001E491B" w:rsidRDefault="00C67478" w:rsidP="00AC612F">
            <w:pPr>
              <w:rPr>
                <w:sz w:val="24"/>
                <w:szCs w:val="24"/>
                <w:lang w:val="en-US"/>
              </w:rPr>
            </w:pPr>
            <w:r w:rsidRPr="00C67478">
              <w:rPr>
                <w:sz w:val="24"/>
                <w:szCs w:val="24"/>
                <w:lang w:val="en-US"/>
              </w:rPr>
              <w:t>In 9.6.29.3 prepend "CMMG " to "Operating Mode Notification".  At the top of 11.41 add "In this subclause, references to an Operating Mode Notification frame or element should be understood as referring to a CMMG Operating Mode Notification frame or element, when transmitted or received by a CMMG STA."</w:t>
            </w:r>
          </w:p>
        </w:tc>
      </w:tr>
    </w:tbl>
    <w:p w:rsidR="007F2FDA" w:rsidRDefault="007F2FDA" w:rsidP="007F2FDA">
      <w:pPr>
        <w:rPr>
          <w:sz w:val="24"/>
          <w:szCs w:val="24"/>
        </w:rPr>
      </w:pPr>
    </w:p>
    <w:p w:rsidR="005A04EC" w:rsidRDefault="005A04EC" w:rsidP="007F2FDA">
      <w:pPr>
        <w:rPr>
          <w:sz w:val="24"/>
          <w:szCs w:val="24"/>
        </w:rPr>
      </w:pPr>
    </w:p>
    <w:p w:rsidR="005A04EC" w:rsidRDefault="005A04EC" w:rsidP="005A04E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A04EC" w:rsidRDefault="002115A2" w:rsidP="007F2FDA">
      <w:pPr>
        <w:rPr>
          <w:sz w:val="24"/>
          <w:szCs w:val="24"/>
        </w:rPr>
      </w:pPr>
      <w:r>
        <w:rPr>
          <w:sz w:val="24"/>
          <w:szCs w:val="24"/>
        </w:rPr>
        <w:t>Per the discussion in the May 8</w:t>
      </w:r>
      <w:r w:rsidRPr="002115A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TGmd CRC call,</w:t>
      </w:r>
    </w:p>
    <w:p w:rsidR="002115A2" w:rsidRDefault="002115A2" w:rsidP="007F2FDA">
      <w:pPr>
        <w:rPr>
          <w:sz w:val="24"/>
          <w:szCs w:val="24"/>
        </w:rPr>
      </w:pPr>
    </w:p>
    <w:p w:rsidR="002115A2" w:rsidRPr="002115A2" w:rsidRDefault="002115A2" w:rsidP="007F2FDA">
      <w:pPr>
        <w:rPr>
          <w:i/>
          <w:sz w:val="24"/>
          <w:szCs w:val="24"/>
        </w:rPr>
      </w:pPr>
      <w:r w:rsidRPr="002115A2">
        <w:rPr>
          <w:i/>
          <w:sz w:val="24"/>
          <w:szCs w:val="24"/>
        </w:rPr>
        <w:t>MAC: 2020-05-08 15:50:21Z - Assign to Edward AU.  In the direction of 11-20/0435, but find the locations that need the added "CMMG", instead of making a global statement, if possible.</w:t>
      </w:r>
    </w:p>
    <w:p w:rsidR="005A04EC" w:rsidRPr="001E491B" w:rsidRDefault="005A04EC" w:rsidP="007F2FDA">
      <w:pPr>
        <w:rPr>
          <w:sz w:val="24"/>
          <w:szCs w:val="24"/>
        </w:rPr>
      </w:pPr>
    </w:p>
    <w:p w:rsidR="00E36892" w:rsidRDefault="00E36892" w:rsidP="004B5F1F">
      <w:pPr>
        <w:spacing w:after="240"/>
        <w:jc w:val="both"/>
        <w:rPr>
          <w:b/>
          <w:sz w:val="24"/>
          <w:szCs w:val="24"/>
        </w:rPr>
      </w:pPr>
    </w:p>
    <w:p w:rsidR="00E36892" w:rsidRDefault="00E36892" w:rsidP="004B5F1F">
      <w:pPr>
        <w:spacing w:after="240"/>
        <w:jc w:val="both"/>
        <w:rPr>
          <w:b/>
          <w:sz w:val="24"/>
          <w:szCs w:val="24"/>
        </w:rPr>
      </w:pPr>
    </w:p>
    <w:p w:rsidR="00E36892" w:rsidRDefault="00E3689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5F1F" w:rsidRPr="004B5F1F" w:rsidRDefault="004B5F1F" w:rsidP="004B5F1F">
      <w:pPr>
        <w:spacing w:after="240"/>
        <w:jc w:val="both"/>
        <w:rPr>
          <w:b/>
          <w:sz w:val="24"/>
          <w:szCs w:val="24"/>
        </w:rPr>
      </w:pPr>
      <w:r w:rsidRPr="00C67478">
        <w:rPr>
          <w:b/>
          <w:sz w:val="24"/>
          <w:szCs w:val="24"/>
        </w:rPr>
        <w:lastRenderedPageBreak/>
        <w:t>Proposed resolution:</w:t>
      </w:r>
    </w:p>
    <w:p w:rsidR="004B5F1F" w:rsidRPr="003C1029" w:rsidRDefault="004B5F1F" w:rsidP="00EE2BA2">
      <w:pPr>
        <w:spacing w:after="240"/>
        <w:jc w:val="both"/>
        <w:rPr>
          <w:b/>
          <w:sz w:val="24"/>
          <w:szCs w:val="24"/>
        </w:rPr>
      </w:pPr>
      <w:r w:rsidRPr="003C1029">
        <w:rPr>
          <w:b/>
          <w:sz w:val="24"/>
          <w:szCs w:val="24"/>
        </w:rPr>
        <w:t>Revised</w:t>
      </w:r>
    </w:p>
    <w:p w:rsidR="003C1029" w:rsidRPr="003C1029" w:rsidRDefault="003C1029" w:rsidP="00EE2BA2">
      <w:pPr>
        <w:spacing w:after="240"/>
        <w:jc w:val="both"/>
        <w:rPr>
          <w:b/>
          <w:i/>
          <w:sz w:val="24"/>
          <w:szCs w:val="24"/>
        </w:rPr>
      </w:pPr>
      <w:r w:rsidRPr="003C1029">
        <w:rPr>
          <w:b/>
          <w:i/>
          <w:sz w:val="24"/>
          <w:szCs w:val="24"/>
        </w:rPr>
        <w:t>Instruction to editors:  In subclause 9.4.1.63 (CMMG Operating Mode field), changes the first paragraph at 97</w:t>
      </w:r>
      <w:r w:rsidR="00761558">
        <w:rPr>
          <w:b/>
          <w:i/>
          <w:sz w:val="24"/>
          <w:szCs w:val="24"/>
        </w:rPr>
        <w:t>8</w:t>
      </w:r>
      <w:r w:rsidRPr="003C1029">
        <w:rPr>
          <w:b/>
          <w:i/>
          <w:sz w:val="24"/>
          <w:szCs w:val="24"/>
        </w:rPr>
        <w:t>.63 as follows:</w:t>
      </w:r>
    </w:p>
    <w:p w:rsidR="003C1029" w:rsidRDefault="003C1029" w:rsidP="003C1029">
      <w:pPr>
        <w:spacing w:after="240"/>
        <w:jc w:val="both"/>
        <w:rPr>
          <w:sz w:val="24"/>
          <w:szCs w:val="24"/>
        </w:rPr>
      </w:pPr>
      <w:r w:rsidRPr="003C1029">
        <w:rPr>
          <w:sz w:val="24"/>
          <w:szCs w:val="24"/>
        </w:rPr>
        <w:t xml:space="preserve">The CMMG Operating Mode field is present in the </w:t>
      </w:r>
      <w:r w:rsidRPr="00315631">
        <w:rPr>
          <w:sz w:val="24"/>
          <w:szCs w:val="24"/>
          <w:u w:val="single"/>
        </w:rPr>
        <w:t>CMMG</w:t>
      </w:r>
      <w:r>
        <w:rPr>
          <w:sz w:val="24"/>
          <w:szCs w:val="24"/>
        </w:rPr>
        <w:t xml:space="preserve"> </w:t>
      </w:r>
      <w:r w:rsidRPr="003C1029">
        <w:rPr>
          <w:sz w:val="24"/>
          <w:szCs w:val="24"/>
        </w:rPr>
        <w:t>Operating Mode Notification frame (see 9.6.29.3</w:t>
      </w:r>
      <w:r>
        <w:rPr>
          <w:sz w:val="24"/>
          <w:szCs w:val="24"/>
        </w:rPr>
        <w:t xml:space="preserve"> </w:t>
      </w:r>
      <w:r w:rsidRPr="003C1029">
        <w:rPr>
          <w:sz w:val="24"/>
          <w:szCs w:val="24"/>
        </w:rPr>
        <w:t>(Operating Mode Notification frame format(11aj))) and</w:t>
      </w:r>
      <w:r w:rsidRPr="00AD4F89">
        <w:rPr>
          <w:i/>
          <w:sz w:val="24"/>
          <w:szCs w:val="24"/>
        </w:rPr>
        <w:t xml:space="preserve"> </w:t>
      </w:r>
      <w:r w:rsidRPr="00315631">
        <w:rPr>
          <w:sz w:val="24"/>
          <w:szCs w:val="24"/>
          <w:u w:val="single"/>
        </w:rPr>
        <w:t>CMMG</w:t>
      </w:r>
      <w:r>
        <w:rPr>
          <w:sz w:val="24"/>
          <w:szCs w:val="24"/>
        </w:rPr>
        <w:t xml:space="preserve"> </w:t>
      </w:r>
      <w:r w:rsidRPr="003C1029">
        <w:rPr>
          <w:sz w:val="24"/>
          <w:szCs w:val="24"/>
        </w:rPr>
        <w:t>Operating Mode Notification element (see 9.4.2.231</w:t>
      </w:r>
      <w:r>
        <w:rPr>
          <w:sz w:val="24"/>
          <w:szCs w:val="24"/>
        </w:rPr>
        <w:t xml:space="preserve"> </w:t>
      </w:r>
      <w:r w:rsidRPr="003C1029">
        <w:rPr>
          <w:sz w:val="24"/>
          <w:szCs w:val="24"/>
        </w:rPr>
        <w:t>(CMMG Operating Mode Notification element(11aj))).</w:t>
      </w:r>
    </w:p>
    <w:p w:rsidR="003C1029" w:rsidRDefault="003C1029" w:rsidP="00EE2BA2">
      <w:pPr>
        <w:spacing w:after="240"/>
        <w:jc w:val="both"/>
        <w:rPr>
          <w:b/>
          <w:i/>
          <w:sz w:val="24"/>
          <w:szCs w:val="24"/>
        </w:rPr>
      </w:pPr>
    </w:p>
    <w:p w:rsidR="00F34D03" w:rsidRPr="003C1029" w:rsidRDefault="00F34D03" w:rsidP="00EE2BA2">
      <w:pPr>
        <w:spacing w:after="240"/>
        <w:jc w:val="both"/>
        <w:rPr>
          <w:b/>
          <w:i/>
          <w:sz w:val="24"/>
          <w:szCs w:val="24"/>
        </w:rPr>
      </w:pPr>
      <w:r w:rsidRPr="003C1029">
        <w:rPr>
          <w:b/>
          <w:i/>
          <w:sz w:val="24"/>
          <w:szCs w:val="24"/>
        </w:rPr>
        <w:t>Instruction to editors:  In Table 9-523 (CMMG Action field values) in subclause 9.6.29.1 (CMMG Action field) at 1684.38:</w:t>
      </w:r>
    </w:p>
    <w:p w:rsidR="00F34D03" w:rsidRPr="00F34D03" w:rsidRDefault="00F34D03" w:rsidP="00F34D0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For the value of 2, change “Operating Mode Notification” to “</w:t>
      </w:r>
      <w:r w:rsidRPr="00BE7567">
        <w:rPr>
          <w:sz w:val="24"/>
          <w:szCs w:val="24"/>
          <w:highlight w:val="yellow"/>
          <w:u w:val="single"/>
        </w:rPr>
        <w:t>CMMG</w:t>
      </w:r>
      <w:r w:rsidRPr="00BE756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Operating Mode Notification”.</w:t>
      </w:r>
    </w:p>
    <w:p w:rsidR="007A458A" w:rsidRDefault="007A458A" w:rsidP="00EE2BA2">
      <w:pPr>
        <w:spacing w:after="240"/>
        <w:jc w:val="both"/>
        <w:rPr>
          <w:i/>
          <w:sz w:val="24"/>
          <w:szCs w:val="24"/>
        </w:rPr>
      </w:pPr>
    </w:p>
    <w:p w:rsidR="00F34D03" w:rsidRPr="003C1029" w:rsidRDefault="007A458A" w:rsidP="00EE2BA2">
      <w:pPr>
        <w:spacing w:after="240"/>
        <w:jc w:val="both"/>
        <w:rPr>
          <w:b/>
          <w:i/>
          <w:sz w:val="24"/>
          <w:szCs w:val="24"/>
        </w:rPr>
      </w:pPr>
      <w:r w:rsidRPr="003C1029">
        <w:rPr>
          <w:b/>
          <w:i/>
          <w:sz w:val="24"/>
          <w:szCs w:val="24"/>
        </w:rPr>
        <w:t>I</w:t>
      </w:r>
      <w:r w:rsidR="00C41023" w:rsidRPr="003C1029">
        <w:rPr>
          <w:b/>
          <w:i/>
          <w:sz w:val="24"/>
          <w:szCs w:val="24"/>
        </w:rPr>
        <w:t xml:space="preserve">nstruction to editors:  In subclause 9.6.29.3 (Operating Mode Notification frame format) at </w:t>
      </w:r>
      <w:r w:rsidRPr="003C1029">
        <w:rPr>
          <w:b/>
          <w:i/>
          <w:sz w:val="24"/>
          <w:szCs w:val="24"/>
        </w:rPr>
        <w:t>1685.13, modify the subclause and the table caption as follows:</w:t>
      </w:r>
    </w:p>
    <w:p w:rsidR="00F34D03" w:rsidRPr="00F34D03" w:rsidRDefault="00F34D03" w:rsidP="00F34D03">
      <w:pPr>
        <w:ind w:left="720"/>
        <w:rPr>
          <w:b/>
          <w:sz w:val="24"/>
          <w:szCs w:val="24"/>
        </w:rPr>
      </w:pPr>
      <w:r w:rsidRPr="00F34D03">
        <w:rPr>
          <w:b/>
          <w:sz w:val="24"/>
          <w:szCs w:val="24"/>
        </w:rPr>
        <w:t xml:space="preserve">9.6.29.3 </w:t>
      </w:r>
      <w:r w:rsidRPr="00467620">
        <w:rPr>
          <w:b/>
          <w:sz w:val="24"/>
          <w:szCs w:val="24"/>
          <w:highlight w:val="yellow"/>
          <w:u w:val="single"/>
        </w:rPr>
        <w:t>CMMG</w:t>
      </w:r>
      <w:r w:rsidRPr="00F34D03">
        <w:rPr>
          <w:b/>
          <w:sz w:val="24"/>
          <w:szCs w:val="24"/>
          <w:u w:val="single"/>
        </w:rPr>
        <w:t xml:space="preserve"> </w:t>
      </w:r>
      <w:r w:rsidRPr="00F34D03">
        <w:rPr>
          <w:b/>
          <w:sz w:val="24"/>
          <w:szCs w:val="24"/>
        </w:rPr>
        <w:t>Operating Mode Notification frame format(11aj)</w:t>
      </w:r>
    </w:p>
    <w:p w:rsidR="00F34D03" w:rsidRPr="00F34D03" w:rsidRDefault="00F34D03" w:rsidP="00F34D03">
      <w:pPr>
        <w:ind w:left="720"/>
        <w:rPr>
          <w:sz w:val="24"/>
          <w:szCs w:val="24"/>
        </w:rPr>
      </w:pPr>
    </w:p>
    <w:p w:rsidR="00F34D03" w:rsidRPr="00F34D03" w:rsidRDefault="00F34D03" w:rsidP="00F34D03">
      <w:pPr>
        <w:ind w:left="720"/>
        <w:rPr>
          <w:sz w:val="24"/>
          <w:szCs w:val="24"/>
        </w:rPr>
      </w:pPr>
      <w:r w:rsidRPr="00F34D03">
        <w:rPr>
          <w:sz w:val="24"/>
          <w:szCs w:val="24"/>
        </w:rPr>
        <w:t xml:space="preserve">The </w:t>
      </w:r>
      <w:r w:rsidRPr="00467620">
        <w:rPr>
          <w:sz w:val="24"/>
          <w:szCs w:val="24"/>
          <w:highlight w:val="yellow"/>
          <w:u w:val="single"/>
        </w:rPr>
        <w:t>CMMG</w:t>
      </w:r>
      <w:r w:rsidRPr="00F34D03">
        <w:rPr>
          <w:sz w:val="24"/>
          <w:szCs w:val="24"/>
          <w:u w:val="single"/>
        </w:rPr>
        <w:t xml:space="preserve"> </w:t>
      </w:r>
      <w:r w:rsidRPr="00F34D03">
        <w:rPr>
          <w:sz w:val="24"/>
          <w:szCs w:val="24"/>
        </w:rPr>
        <w:t>Operating Mode Notification frame (#2568)is used to notify STAs that the transmitting STA is changing its operating channel width, the maximum number of spatial streams it can receive, or both.</w:t>
      </w:r>
    </w:p>
    <w:p w:rsidR="00F34D03" w:rsidRPr="00F34D03" w:rsidRDefault="00F34D03" w:rsidP="00F34D03">
      <w:pPr>
        <w:ind w:left="720"/>
        <w:rPr>
          <w:sz w:val="24"/>
          <w:szCs w:val="24"/>
        </w:rPr>
      </w:pPr>
    </w:p>
    <w:p w:rsidR="00F34D03" w:rsidRPr="00F34D03" w:rsidRDefault="00F34D03" w:rsidP="00F34D03">
      <w:pPr>
        <w:ind w:left="720"/>
        <w:rPr>
          <w:sz w:val="24"/>
          <w:szCs w:val="24"/>
          <w:u w:val="single"/>
        </w:rPr>
      </w:pPr>
      <w:r w:rsidRPr="008443F0">
        <w:rPr>
          <w:sz w:val="24"/>
          <w:szCs w:val="24"/>
          <w:highlight w:val="yellow"/>
          <w:u w:val="single"/>
        </w:rPr>
        <w:t>In the context of CMMG STAs, references to an Operating Mode Notification frame or element should be understood as referring to a CMMG Operating Mode Notification frame or element, respectively.</w:t>
      </w:r>
    </w:p>
    <w:p w:rsidR="00F34D03" w:rsidRPr="00F34D03" w:rsidRDefault="00F34D03" w:rsidP="00F34D03">
      <w:pPr>
        <w:ind w:left="720"/>
        <w:rPr>
          <w:sz w:val="24"/>
          <w:szCs w:val="24"/>
        </w:rPr>
      </w:pPr>
    </w:p>
    <w:p w:rsidR="00F34D03" w:rsidRPr="00F34D03" w:rsidRDefault="00F34D03" w:rsidP="00F34D03">
      <w:pPr>
        <w:ind w:left="720"/>
        <w:rPr>
          <w:sz w:val="24"/>
          <w:szCs w:val="24"/>
        </w:rPr>
      </w:pPr>
      <w:r w:rsidRPr="00F34D03">
        <w:rPr>
          <w:sz w:val="24"/>
          <w:szCs w:val="24"/>
        </w:rPr>
        <w:t xml:space="preserve">The Action field of the </w:t>
      </w:r>
      <w:r w:rsidRPr="00315631">
        <w:rPr>
          <w:sz w:val="24"/>
          <w:szCs w:val="24"/>
          <w:highlight w:val="yellow"/>
          <w:u w:val="single"/>
        </w:rPr>
        <w:t>CMMG</w:t>
      </w:r>
      <w:r w:rsidRPr="00F34D03">
        <w:rPr>
          <w:sz w:val="24"/>
          <w:szCs w:val="24"/>
          <w:u w:val="single"/>
        </w:rPr>
        <w:t xml:space="preserve"> </w:t>
      </w:r>
      <w:r w:rsidRPr="00F34D03">
        <w:rPr>
          <w:sz w:val="24"/>
          <w:szCs w:val="24"/>
        </w:rPr>
        <w:t>Operating Mode Notification frame contains the information shown in Table 9-523 (Operating Mode Notification frame Action field format(#4252)(11aj)).</w:t>
      </w:r>
    </w:p>
    <w:p w:rsidR="00F34D03" w:rsidRPr="00F34D03" w:rsidRDefault="00F34D03" w:rsidP="00F34D03">
      <w:pPr>
        <w:ind w:left="720"/>
        <w:rPr>
          <w:sz w:val="24"/>
          <w:szCs w:val="24"/>
        </w:rPr>
      </w:pPr>
    </w:p>
    <w:p w:rsidR="00F34D03" w:rsidRPr="00F34D03" w:rsidRDefault="00F34D03" w:rsidP="00F34D03">
      <w:pPr>
        <w:ind w:left="720"/>
        <w:jc w:val="center"/>
        <w:rPr>
          <w:b/>
          <w:sz w:val="24"/>
          <w:szCs w:val="24"/>
        </w:rPr>
      </w:pPr>
      <w:r w:rsidRPr="00F34D03">
        <w:rPr>
          <w:b/>
          <w:sz w:val="24"/>
          <w:szCs w:val="24"/>
        </w:rPr>
        <w:t>Table 9-523—</w:t>
      </w:r>
      <w:r w:rsidRPr="00315631">
        <w:rPr>
          <w:b/>
          <w:sz w:val="24"/>
          <w:szCs w:val="24"/>
          <w:highlight w:val="yellow"/>
          <w:u w:val="single"/>
        </w:rPr>
        <w:t>CMMG</w:t>
      </w:r>
      <w:r w:rsidRPr="00F34D03">
        <w:rPr>
          <w:b/>
          <w:sz w:val="24"/>
          <w:szCs w:val="24"/>
          <w:u w:val="single"/>
        </w:rPr>
        <w:t xml:space="preserve"> </w:t>
      </w:r>
      <w:r w:rsidRPr="00F34D03">
        <w:rPr>
          <w:b/>
          <w:sz w:val="24"/>
          <w:szCs w:val="24"/>
        </w:rPr>
        <w:t>Operating Mode Notification frame Action field format</w:t>
      </w:r>
    </w:p>
    <w:p w:rsidR="00F34D03" w:rsidRPr="00F34D03" w:rsidRDefault="00F34D03" w:rsidP="00F34D03">
      <w:pPr>
        <w:rPr>
          <w:sz w:val="24"/>
          <w:szCs w:val="24"/>
        </w:rPr>
      </w:pPr>
    </w:p>
    <w:p w:rsidR="00F34D03" w:rsidRDefault="00F34D03" w:rsidP="00EE2BA2">
      <w:pPr>
        <w:spacing w:after="240"/>
        <w:jc w:val="both"/>
        <w:rPr>
          <w:sz w:val="24"/>
          <w:szCs w:val="24"/>
        </w:rPr>
      </w:pPr>
    </w:p>
    <w:p w:rsidR="00964A0F" w:rsidRPr="00D634B9" w:rsidRDefault="00964A0F" w:rsidP="00EE2BA2">
      <w:pPr>
        <w:spacing w:after="240"/>
        <w:jc w:val="both"/>
        <w:rPr>
          <w:b/>
          <w:i/>
          <w:sz w:val="24"/>
          <w:szCs w:val="24"/>
        </w:rPr>
      </w:pPr>
      <w:r w:rsidRPr="00D634B9">
        <w:rPr>
          <w:b/>
          <w:i/>
          <w:sz w:val="24"/>
          <w:szCs w:val="24"/>
        </w:rPr>
        <w:t>Instruction to editors:  In subclause 9.4.2.231 (CMMG Operating Mode Notification element), ch</w:t>
      </w:r>
      <w:r w:rsidR="00D634B9" w:rsidRPr="00D634B9">
        <w:rPr>
          <w:b/>
          <w:i/>
          <w:sz w:val="24"/>
          <w:szCs w:val="24"/>
        </w:rPr>
        <w:t>ange the last paragraph at 1457.1 as follows:</w:t>
      </w:r>
    </w:p>
    <w:p w:rsidR="00D634B9" w:rsidRDefault="00D634B9" w:rsidP="00EE2BA2">
      <w:pPr>
        <w:spacing w:after="240"/>
        <w:jc w:val="both"/>
        <w:rPr>
          <w:sz w:val="24"/>
          <w:szCs w:val="24"/>
        </w:rPr>
      </w:pPr>
      <w:r w:rsidRPr="00D634B9">
        <w:rPr>
          <w:sz w:val="24"/>
          <w:szCs w:val="24"/>
        </w:rPr>
        <w:t xml:space="preserve">The </w:t>
      </w:r>
      <w:r w:rsidRPr="00315631">
        <w:rPr>
          <w:sz w:val="24"/>
          <w:szCs w:val="24"/>
          <w:highlight w:val="yellow"/>
          <w:u w:val="single"/>
        </w:rPr>
        <w:t>CMMG</w:t>
      </w:r>
      <w:r w:rsidRPr="00CE3D62">
        <w:rPr>
          <w:sz w:val="24"/>
          <w:szCs w:val="24"/>
          <w:u w:val="single"/>
        </w:rPr>
        <w:t xml:space="preserve"> </w:t>
      </w:r>
      <w:r w:rsidRPr="00D634B9">
        <w:rPr>
          <w:sz w:val="24"/>
          <w:szCs w:val="24"/>
        </w:rPr>
        <w:t xml:space="preserve">Operating Mode field is </w:t>
      </w:r>
      <w:r w:rsidR="00B61DF3" w:rsidRPr="00B61DF3">
        <w:rPr>
          <w:sz w:val="24"/>
          <w:szCs w:val="24"/>
        </w:rPr>
        <w:t>defined in 9.4.1.63 (CMMG Operating Mode field(11aj)).</w:t>
      </w:r>
    </w:p>
    <w:p w:rsidR="0000546F" w:rsidRDefault="0000546F" w:rsidP="00EE2BA2">
      <w:pPr>
        <w:spacing w:after="240"/>
        <w:jc w:val="both"/>
        <w:rPr>
          <w:sz w:val="24"/>
          <w:szCs w:val="24"/>
        </w:rPr>
      </w:pPr>
    </w:p>
    <w:p w:rsidR="00E36892" w:rsidRDefault="00E3689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00546F" w:rsidRPr="0000546F" w:rsidRDefault="0000546F" w:rsidP="0000546F">
      <w:pPr>
        <w:spacing w:after="240"/>
        <w:jc w:val="both"/>
        <w:rPr>
          <w:b/>
          <w:i/>
          <w:sz w:val="24"/>
          <w:szCs w:val="24"/>
        </w:rPr>
      </w:pPr>
      <w:r w:rsidRPr="0000546F">
        <w:rPr>
          <w:b/>
          <w:i/>
          <w:sz w:val="24"/>
          <w:szCs w:val="24"/>
        </w:rPr>
        <w:lastRenderedPageBreak/>
        <w:t xml:space="preserve">Instruction to editors:  In subclause 10.6.8.4 (Rate selection for individually addressed Data and Management frames transmitted by CMMG STAs), update the contents of </w:t>
      </w:r>
      <w:r w:rsidR="0010267A">
        <w:rPr>
          <w:b/>
          <w:i/>
          <w:sz w:val="24"/>
          <w:szCs w:val="24"/>
        </w:rPr>
        <w:t>the fifth paragraph from 1784.37 to 1785.10</w:t>
      </w:r>
      <w:r w:rsidRPr="0000546F">
        <w:rPr>
          <w:b/>
          <w:i/>
          <w:sz w:val="24"/>
          <w:szCs w:val="24"/>
        </w:rPr>
        <w:t xml:space="preserve"> as follows: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A Data frame or Management frame for SC and OFDM MIMO transmission shall be sent using any data rate,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MCS, or &lt;CMMG MCS, NSS&gt; tuple subject to the following constraints:</w:t>
      </w:r>
    </w:p>
    <w:p w:rsidR="00125D83" w:rsidRPr="00125D83" w:rsidRDefault="00125D83" w:rsidP="00125D83">
      <w:pPr>
        <w:autoSpaceDE w:val="0"/>
        <w:autoSpaceDN w:val="0"/>
        <w:adjustRightInd w:val="0"/>
        <w:ind w:left="72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218B21"/>
          <w:sz w:val="24"/>
          <w:szCs w:val="24"/>
          <w:lang w:val="en-US"/>
        </w:rPr>
        <w:t>(#1456)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A STA shall not transmit a frame using a rate or MCS that is not supported by the receiver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STA, as reported in any Supported Rates and BSS Membership Selectors element, Extended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Supported Rates and BSS Membership Selectors element, or Supported MCS Set field in the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Management frames transmitted by the receiver STA.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A STA shall not transmit a frame using a &lt;CMMG MCS, NSS&gt; tuple that is not supported by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the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receiver STA, as reported in any Supported CMMG MCS and NSS Set field in the Management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frames transmitted by the receiver STA.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If at least one </w:t>
      </w:r>
      <w:r w:rsidR="00305E66" w:rsidRPr="00315631">
        <w:rPr>
          <w:rFonts w:ascii="TimesNewRomanPSMT" w:eastAsia="TimesNewRomanPSMT" w:cs="TimesNewRomanPSMT"/>
          <w:color w:val="000000"/>
          <w:sz w:val="24"/>
          <w:szCs w:val="24"/>
          <w:highlight w:val="yellow"/>
          <w:u w:val="single"/>
          <w:lang w:val="en-US"/>
        </w:rPr>
        <w:t>CMMG</w:t>
      </w:r>
      <w:r w:rsidR="00305E66" w:rsidRPr="00CE3D62">
        <w:rPr>
          <w:rFonts w:ascii="TimesNewRomanPSMT" w:eastAsia="TimesNewRomanPSMT" w:cs="TimesNewRomanPSMT"/>
          <w:color w:val="000000"/>
          <w:sz w:val="24"/>
          <w:szCs w:val="24"/>
          <w:u w:val="single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Operating Mode field with the Rx NSS Type subfield equal to 0 was </w:t>
      </w:r>
      <w:r w:rsidR="00305E66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received from the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receiver STA: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A STA shall not transmit a frame with the number of spatial streams greater than that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indicated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in the Rx NSS subfield in the most recently received </w:t>
      </w:r>
      <w:r w:rsidR="00B62805" w:rsidRPr="00315631">
        <w:rPr>
          <w:rFonts w:ascii="TimesNewRomanPSMT" w:eastAsia="TimesNewRomanPSMT" w:cs="TimesNewRomanPSMT"/>
          <w:color w:val="000000"/>
          <w:sz w:val="24"/>
          <w:szCs w:val="24"/>
          <w:highlight w:val="yellow"/>
          <w:u w:val="single"/>
          <w:lang w:val="en-US"/>
        </w:rPr>
        <w:t>CMMG</w:t>
      </w:r>
      <w:r w:rsidR="00B62805" w:rsidRPr="00CE3D62">
        <w:rPr>
          <w:rFonts w:ascii="TimesNewRomanPSMT" w:eastAsia="TimesNewRomanPSMT" w:cs="TimesNewRomanPSMT"/>
          <w:color w:val="000000"/>
          <w:sz w:val="24"/>
          <w:szCs w:val="24"/>
          <w:u w:val="single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Operating Mode </w:t>
      </w:r>
      <w:r w:rsidR="00B62805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="00B62805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="00B62805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field with the Rx NSS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Type subfield equal to 0 from the receiver STA.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218B21"/>
          <w:sz w:val="24"/>
          <w:szCs w:val="24"/>
          <w:lang w:val="en-US"/>
        </w:rPr>
        <w:t>(#1456)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A STA shall not transmit a frame using a value for the CH_BANDWIDTH parameter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of the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TXVECTOR that is not supported by the receiver STA, as reported in any CMMG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Capabilities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element received from the intended receiver.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218B21"/>
          <w:sz w:val="24"/>
          <w:szCs w:val="24"/>
          <w:lang w:val="en-US"/>
        </w:rPr>
        <w:t>(#1456)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A STA that is a member of a BSS shall not transmit a frame using a value for the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CH_BANDWIDTH parameter of the TXVECTOR that is not permitted for use in the BSS, as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reported in the most recently received CMMG Operation element with the following exceptions:</w:t>
      </w:r>
    </w:p>
    <w:p w:rsidR="0000546F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Transmissions on a TDLS off-channel link follow the rules described in 11.21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(Tunneled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direct-link setup)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Transmissions by a CMMG STA on a TDLS link follow the rules described in 11.21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(Tunneled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direct-link setup).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If at least one</w:t>
      </w:r>
      <w:r w:rsidR="00980977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="00980977" w:rsidRPr="00315631">
        <w:rPr>
          <w:rFonts w:ascii="TimesNewRomanPSMT" w:eastAsia="TimesNewRomanPSMT" w:cs="TimesNewRomanPSMT"/>
          <w:color w:val="000000"/>
          <w:sz w:val="24"/>
          <w:szCs w:val="24"/>
          <w:highlight w:val="yellow"/>
          <w:u w:val="single"/>
          <w:lang w:val="en-US"/>
        </w:rPr>
        <w:t>CMMG</w:t>
      </w:r>
      <w:r w:rsidR="00980977" w:rsidRPr="00CE3D62">
        <w:rPr>
          <w:rFonts w:ascii="TimesNewRomanPSMT" w:eastAsia="TimesNewRomanPSMT" w:cs="TimesNewRomanPSMT"/>
          <w:color w:val="000000"/>
          <w:sz w:val="24"/>
          <w:szCs w:val="24"/>
          <w:u w:val="single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Operating Mode field with the Rx NSS Type subfield equal to 0 was </w:t>
      </w:r>
      <w:r w:rsidR="00980977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received from the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receiver STA: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 w:hint="eastAsia"/>
          <w:color w:val="000000"/>
          <w:sz w:val="24"/>
          <w:szCs w:val="24"/>
          <w:lang w:val="en-US"/>
        </w:rPr>
        <w:t>—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A STA shall not transmit a frame using a value for the TXVECTOR parameter</w:t>
      </w:r>
    </w:p>
    <w:p w:rsidR="00125D83" w:rsidRPr="00125D83" w:rsidRDefault="00125D83" w:rsidP="00125D8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4"/>
          <w:szCs w:val="24"/>
          <w:lang w:val="en-US"/>
        </w:rPr>
      </w:pP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CH_BANDWIDTH that is not supported by the receiver STA as reported in the most 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recently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received </w:t>
      </w:r>
      <w:r w:rsidR="005133A8" w:rsidRPr="00315631">
        <w:rPr>
          <w:rFonts w:ascii="TimesNewRomanPSMT" w:eastAsia="TimesNewRomanPSMT" w:cs="TimesNewRomanPSMT"/>
          <w:color w:val="000000"/>
          <w:sz w:val="24"/>
          <w:szCs w:val="24"/>
          <w:highlight w:val="yellow"/>
          <w:u w:val="single"/>
          <w:lang w:val="en-US"/>
        </w:rPr>
        <w:t>CMMG</w:t>
      </w:r>
      <w:r w:rsidR="005133A8" w:rsidRPr="00CE3D62">
        <w:rPr>
          <w:rFonts w:ascii="TimesNewRomanPSMT" w:eastAsia="TimesNewRomanPSMT" w:cs="TimesNewRomanPSMT"/>
          <w:color w:val="000000"/>
          <w:sz w:val="24"/>
          <w:szCs w:val="24"/>
          <w:u w:val="single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Operating Mode field with the Rx NSS Type subfield equal to </w:t>
      </w:r>
      <w:r w:rsidR="005133A8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="005133A8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="005133A8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ab/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0 from the receiver</w:t>
      </w:r>
      <w:r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 xml:space="preserve"> 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STA</w:t>
      </w:r>
      <w:r w:rsidRPr="00125D83">
        <w:rPr>
          <w:rFonts w:ascii="TimesNewRomanPSMT" w:eastAsia="TimesNewRomanPSMT" w:cs="TimesNewRomanPSMT"/>
          <w:color w:val="218B21"/>
          <w:sz w:val="24"/>
          <w:szCs w:val="24"/>
          <w:lang w:val="en-US"/>
        </w:rPr>
        <w:t>(#1456)</w:t>
      </w:r>
      <w:r w:rsidRPr="00125D83">
        <w:rPr>
          <w:rFonts w:ascii="TimesNewRomanPSMT" w:eastAsia="TimesNewRomanPSMT" w:cs="TimesNewRomanPSMT"/>
          <w:color w:val="000000"/>
          <w:sz w:val="24"/>
          <w:szCs w:val="24"/>
          <w:lang w:val="en-US"/>
        </w:rPr>
        <w:t>.</w:t>
      </w:r>
    </w:p>
    <w:sectPr w:rsidR="00125D83" w:rsidRPr="00125D83" w:rsidSect="00620EB6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C8A" w:rsidRDefault="00360C8A">
      <w:r>
        <w:separator/>
      </w:r>
    </w:p>
  </w:endnote>
  <w:endnote w:type="continuationSeparator" w:id="0">
    <w:p w:rsidR="00360C8A" w:rsidRDefault="0036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DA493A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AD1160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C8A" w:rsidRDefault="00360C8A">
      <w:r>
        <w:separator/>
      </w:r>
    </w:p>
  </w:footnote>
  <w:footnote w:type="continuationSeparator" w:id="0">
    <w:p w:rsidR="00360C8A" w:rsidRDefault="00360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5C2927" w:rsidP="00A525F0">
    <w:pPr>
      <w:pStyle w:val="Header"/>
      <w:tabs>
        <w:tab w:val="clear" w:pos="6480"/>
        <w:tab w:val="center" w:pos="4680"/>
        <w:tab w:val="right" w:pos="9781"/>
      </w:tabs>
    </w:pPr>
    <w:r>
      <w:t>May 2020</w:t>
    </w:r>
    <w:r w:rsidR="00E12776">
      <w:tab/>
    </w:r>
    <w:r w:rsidR="00E12776">
      <w:tab/>
      <w:t xml:space="preserve">  </w:t>
    </w:r>
    <w:fldSimple w:instr=" TITLE  \* MERGEFORMAT ">
      <w:r>
        <w:t>doc.: IEEE 802.11-20</w:t>
      </w:r>
      <w:r w:rsidR="00E12776">
        <w:t>/</w:t>
      </w:r>
      <w:r w:rsidR="00C218DD">
        <w:t>0823</w:t>
      </w:r>
      <w:r>
        <w:t>r</w:t>
      </w:r>
      <w:r w:rsidR="00761558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11"/>
  </w:num>
  <w:num w:numId="8">
    <w:abstractNumId w:val="33"/>
  </w:num>
  <w:num w:numId="9">
    <w:abstractNumId w:val="16"/>
  </w:num>
  <w:num w:numId="10">
    <w:abstractNumId w:val="1"/>
  </w:num>
  <w:num w:numId="11">
    <w:abstractNumId w:val="7"/>
  </w:num>
  <w:num w:numId="12">
    <w:abstractNumId w:val="14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34"/>
  </w:num>
  <w:num w:numId="20">
    <w:abstractNumId w:val="20"/>
  </w:num>
  <w:num w:numId="21">
    <w:abstractNumId w:val="21"/>
  </w:num>
  <w:num w:numId="22">
    <w:abstractNumId w:val="31"/>
  </w:num>
  <w:num w:numId="23">
    <w:abstractNumId w:val="32"/>
  </w:num>
  <w:num w:numId="24">
    <w:abstractNumId w:val="17"/>
  </w:num>
  <w:num w:numId="25">
    <w:abstractNumId w:val="2"/>
  </w:num>
  <w:num w:numId="26">
    <w:abstractNumId w:val="30"/>
  </w:num>
  <w:num w:numId="27">
    <w:abstractNumId w:val="24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8"/>
  </w:num>
  <w:num w:numId="34">
    <w:abstractNumId w:val="8"/>
  </w:num>
  <w:num w:numId="35">
    <w:abstractNumId w:val="27"/>
  </w:num>
  <w:num w:numId="36">
    <w:abstractNumId w:val="26"/>
  </w:num>
  <w:num w:numId="37">
    <w:abstractNumId w:val="18"/>
  </w:num>
  <w:num w:numId="38">
    <w:abstractNumId w:val="6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12711"/>
    <w:rsid w:val="0011562A"/>
    <w:rsid w:val="00116B5C"/>
    <w:rsid w:val="00121F19"/>
    <w:rsid w:val="001234AC"/>
    <w:rsid w:val="001247AD"/>
    <w:rsid w:val="00125D83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A2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0C8A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029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B97"/>
    <w:rsid w:val="00467620"/>
    <w:rsid w:val="00470320"/>
    <w:rsid w:val="00470B71"/>
    <w:rsid w:val="00473266"/>
    <w:rsid w:val="004734B2"/>
    <w:rsid w:val="00476675"/>
    <w:rsid w:val="00481C04"/>
    <w:rsid w:val="00481E87"/>
    <w:rsid w:val="004846E6"/>
    <w:rsid w:val="004850DD"/>
    <w:rsid w:val="00487EDF"/>
    <w:rsid w:val="00491A47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558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2AFD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27F5"/>
    <w:rsid w:val="007A39B8"/>
    <w:rsid w:val="007A458A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567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18DD"/>
    <w:rsid w:val="00C230D8"/>
    <w:rsid w:val="00C27DA6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3D62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5C"/>
    <w:rsid w:val="00EE284D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8FC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34D0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E585-0ED1-430F-A568-46F16412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20/0823r0</vt:lpstr>
    </vt:vector>
  </TitlesOfParts>
  <Company>Huawei Technologies</Company>
  <LinksUpToDate>false</LinksUpToDate>
  <CharactersWithSpaces>5493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20/0823r1</dc:title>
  <dc:subject>Comment Resolution for CID1014</dc:subject>
  <dc:creator>Edward Au</dc:creator>
  <cp:keywords>Submission</cp:keywords>
  <dc:description>Proposed resolution for CID 4505</dc:description>
  <cp:lastModifiedBy>Edward Au</cp:lastModifiedBy>
  <cp:revision>96</cp:revision>
  <cp:lastPrinted>2011-03-31T18:31:00Z</cp:lastPrinted>
  <dcterms:created xsi:type="dcterms:W3CDTF">2017-12-15T16:00:00Z</dcterms:created>
  <dcterms:modified xsi:type="dcterms:W3CDTF">2020-05-27T20:44:00Z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