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1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62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r>
              <w:rPr>
                <w:rFonts w:hint="eastAsia" w:eastAsia="宋体"/>
                <w:lang w:val="en-US" w:eastAsia="zh-CN"/>
              </w:rPr>
              <w:t>bd</w:t>
            </w:r>
            <w:r>
              <w:rPr>
                <w:lang w:eastAsia="ko-KR"/>
              </w:rPr>
              <w:t xml:space="preserve"> D</w:t>
            </w:r>
            <w:r>
              <w:rPr>
                <w:rFonts w:hint="eastAsia" w:eastAsia="宋体"/>
                <w:lang w:val="en-US" w:eastAsia="zh-CN"/>
              </w:rPr>
              <w:t>0.3</w:t>
            </w:r>
            <w:r>
              <w:rPr>
                <w:lang w:eastAsia="ko-KR"/>
              </w:rPr>
              <w:t xml:space="preserve"> PHY Service Interface Section </w:t>
            </w:r>
            <w:r>
              <w:rPr>
                <w:rFonts w:hint="eastAsia" w:eastAsia="宋体"/>
                <w:lang w:val="en-US" w:eastAsia="zh-CN"/>
              </w:rPr>
              <w:t>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20-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>
      <w:pPr>
        <w:pStyle w:val="141"/>
        <w:spacing w:after="120"/>
        <w:rPr>
          <w:sz w:val="22"/>
        </w:rPr>
      </w:pPr>
    </w:p>
    <w:p>
      <w:pPr>
        <w:pStyle w:val="141"/>
        <w:spacing w:after="120"/>
        <w:rPr>
          <w:sz w:val="22"/>
        </w:rPr>
      </w:pPr>
    </w:p>
    <w:p>
      <w:pPr>
        <w:pStyle w:val="141"/>
        <w:spacing w:after="120"/>
      </w:pPr>
      <w:r>
        <w:t>Abstract</w:t>
      </w:r>
    </w:p>
    <w:p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hint="eastAsia" w:eastAsia="宋体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hint="eastAsia"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24 </w:t>
      </w:r>
      <w:r>
        <w:rPr>
          <w:rFonts w:hint="eastAsia" w:eastAsia="宋体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related to PHY Service Interface </w:t>
      </w:r>
      <w:r>
        <w:rPr>
          <w:sz w:val="20"/>
          <w:lang w:eastAsia="ko-KR"/>
        </w:rPr>
        <w:t>of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sz w:val="20"/>
          <w:lang w:eastAsia="ko-KR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 (unapproved)</w:t>
      </w:r>
      <w:r>
        <w:rPr>
          <w:rFonts w:hint="eastAsia" w:eastAsia="宋体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hint="eastAsia" w:eastAsia="宋体"/>
          <w:sz w:val="20"/>
          <w:lang w:eastAsia="zh-CN"/>
        </w:rPr>
        <w:t xml:space="preserve"> to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</w:t>
      </w:r>
      <w:r>
        <w:rPr>
          <w:rFonts w:eastAsia="宋体"/>
          <w:sz w:val="20"/>
          <w:lang w:val="en-US" w:eastAsia="zh-CN"/>
        </w:rPr>
        <w:t>0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eastAsia="zh-CN"/>
        </w:rPr>
        <w:t>to TG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>
      <w:pPr>
        <w:jc w:val="both"/>
        <w:rPr>
          <w:rFonts w:eastAsia="宋体"/>
          <w:sz w:val="20"/>
          <w:lang w:eastAsia="zh-CN"/>
        </w:rPr>
      </w:pPr>
    </w:p>
    <w:p>
      <w:pPr>
        <w:pStyle w:val="104"/>
        <w:numPr>
          <w:ilvl w:val="0"/>
          <w:numId w:val="1"/>
        </w:numPr>
        <w:ind w:leftChars="0"/>
        <w:rPr>
          <w:sz w:val="20"/>
        </w:rPr>
      </w:pPr>
      <w:r>
        <w:rPr>
          <w:rFonts w:hint="eastAsia" w:eastAsia="宋体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8, 10, 101, 102, 103, 104, 105, 124, 135, 126, 127, 129, 130, 187, 189, 190, </w:t>
      </w:r>
      <w:r>
        <w:rPr>
          <w:rFonts w:hint="eastAsia" w:eastAsia="宋体"/>
          <w:strike w:val="0"/>
          <w:dstrike w:val="0"/>
          <w:color w:val="auto"/>
          <w:sz w:val="20"/>
          <w:lang w:val="en-US" w:eastAsia="zh-CN"/>
        </w:rPr>
        <w:t>248,</w:t>
      </w:r>
      <w:r>
        <w:rPr>
          <w:rFonts w:hint="eastAsia" w:eastAsia="宋体"/>
          <w:sz w:val="20"/>
          <w:lang w:val="en-US" w:eastAsia="zh-CN"/>
        </w:rPr>
        <w:t xml:space="preserve"> 250, 251, 252, 253, 255, 257, 258 </w:t>
      </w:r>
    </w:p>
    <w:p>
      <w:pPr>
        <w:jc w:val="both"/>
        <w:rPr>
          <w:rFonts w:eastAsia="宋体"/>
          <w:sz w:val="20"/>
          <w:lang w:val="en-US" w:eastAsia="zh-CN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  <w:r>
        <w:rPr>
          <w:sz w:val="20"/>
        </w:rPr>
        <w:t>Revisions: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 w:val="18"/>
          <w:szCs w:val="18"/>
          <w:lang w:eastAsia="zh-CN"/>
        </w:rPr>
      </w:pPr>
      <w:r>
        <w:rPr>
          <w:sz w:val="18"/>
          <w:szCs w:val="18"/>
        </w:rPr>
        <w:t>R0, comment resolutions initial draft.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R1, update resolutions to duplicated CIDs and update resolution to CID 258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R2, update resolution to CID 129; some editorial correction.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R3, update resolution to CID 189 and 130.</w:t>
      </w:r>
    </w:p>
    <w:p/>
    <w:p/>
    <w:p>
      <w:pPr>
        <w:tabs>
          <w:tab w:val="left" w:pos="8387"/>
        </w:tabs>
      </w:pPr>
      <w:r>
        <w:tab/>
      </w:r>
    </w:p>
    <w:p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tab/>
      </w:r>
    </w:p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</w:t>
      </w:r>
      <w:r>
        <w:rPr>
          <w:rFonts w:hint="eastAsia" w:eastAsia="宋体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Draft.  </w:t>
      </w:r>
      <w:r>
        <w:rPr>
          <w:rFonts w:hint="eastAsia" w:eastAsia="宋体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hint="eastAsia" w:eastAsia="宋体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</w:t>
      </w:r>
      <w:r>
        <w:rPr>
          <w:rFonts w:hint="eastAsia" w:eastAsia="宋体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812"/>
        <w:gridCol w:w="2706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cs="Arial" w:asciiTheme="minorAsci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hAnsi="Arial" w:eastAsia="宋体" w:cs="Arial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"The NGV PHY data subcarriers are modulated using ..., 16-QAM DCM, 64-QAM, and 256-QAM." "16-QAM DCM" is not defined in 11bd.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"16-QAM DCM"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The addressed spec text in actually under sub-clause 32.1 (Introduction to NGV PHY). But the author of this resolution agrees on the comment that 16-QAM is not defined SFD or any approved proposal.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"The NGV PHY data subcarriers are modulated using ..., 16-QAM DCM, 64-QAM, and 256-QAM." "16-QAM DCM" is not defined in 11bd. Need to remove the modulation.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"16-QAM DCM" from the modulation list.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27.24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add NOTE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For example, NOTE--The Length field of the L-SIG in NGV PPDUs is defined in Equation (32-8) using the TXTIME value defined by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Equation (32-46).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Agree in principle on the comment. The proposed modification to the spec text is provided as part of this resolution. </w:t>
            </w:r>
          </w:p>
          <w:p>
            <w:pPr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Please implement the proposed spec text modification as part of resolution to CID 247 as in document 11-20/0786r3.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FEC_CODING is not necessary since LDPC is the only coding scheme in 11bd.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If the FORMAT is NGV, then only LDPC coding for the data portion of a PPDU is allowed according to SFD.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Hence, it is unneccessary to define a parameter "FEC Coding" that can take the values BCC_CODING and LDPC_CODING.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parameter "FEC Coding" and row in Table 32-1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delete FEC_CODING in the table. LDPC is the only mode to be indicated for data portion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the MCS of NGV is defined from 0 to 10, need to update the MCS range.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Update "TBD" to "10"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the MCS of NGV is defined from 0 to 10, need to update the MCS range.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Update "TBD" to "10", and 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As consent in motion [81] in the spec framework document (11-19/0497r7), MCS is defined with 10 values, e.g. 0-9.  </w:t>
            </w:r>
          </w:p>
          <w:p>
            <w:pPr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Please replace 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TBD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with 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, and remove the row of 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DCM &lt;TBD&gt;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28.37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TBD should be 10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delete DCM in the table. DCM is one of MCS elements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 agreed that LDPC is the only coding scheme for data portion of 11bd PPDU, BCC does not need.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delete the related sentence for BCC in the FCE_CODING column in table 32-1.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rPr>
                <w:rFonts w:hint="default" w:eastAsia="宋体" w:cs="Times New Roman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As consent in the spe</w:t>
            </w:r>
            <w:r>
              <w:rPr>
                <w:rFonts w:hint="eastAsia" w:eastAsia="宋体" w:cs="Times New Roman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c 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framework document (11-19/0497r7):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NGV PPDU modulated with BPSK and DCM shall power boost L-STF and L-LTF by 3dB.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[</w:t>
            </w:r>
            <w:sdt>
              <w:sdt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  <w:id w:val="-1598784419"/>
              </w:sdtPr>
              <w:sdtEnd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</w:sdtEndPr>
              <w:sdtContent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 xml:space="preserve"> Motion #63]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NGV PPDU modulated with BPSK shall power boost L-STF and L-LTF by 3dB.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[</w:t>
            </w:r>
            <w:sdt>
              <w:sdt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  <w:id w:val="-680654472"/>
              </w:sdtPr>
              <w:sdtEnd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</w:sdtEndPr>
              <w:sdtContent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 xml:space="preserve"> Motion #64]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L-STF and L-LTF power boost and repeated NGV-LTF only apply to 11bd transmission using 10MHz bandwidth, one spatial stream and BPSK modulation.</w:t>
            </w:r>
          </w:p>
          <w:p>
            <w:pPr>
              <w:rPr>
                <w:rFonts w:hint="eastAsia" w:eastAsia="宋体" w:cs="Times New Roman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[</w:t>
            </w:r>
            <w:sdt>
              <w:sdt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  <w:id w:val="-1851790448"/>
              </w:sdtPr>
              <w:sdtEnd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</w:sdtEndPr>
              <w:sdtContent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instrText xml:space="preserve"> CITATION Jan20 \l 1033 </w:instrTex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t xml:space="preserve"> [6]</w: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 xml:space="preserve"> Motion #77]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textAlignment w:val="top"/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Since power boost is clearly decided by MCS, Bandwidth and number of spatial streams, there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s no need to define a TXVECTOR parameter for power boost.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Refer to CID 105.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 ''NUM_SS" is missing in Table 32-1.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Add entires for "NUM_SS".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Agree in principle.  As consent in the spe</w:t>
            </w:r>
            <w:r>
              <w:rPr>
                <w:rFonts w:hint="eastAsia" w:eastAsia="宋体" w:cs="Times New Roman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c 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framework document (11-19/0497r7):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11bd supports two spatial streams for unicast transmissions as an optional feature.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>[</w:t>
            </w:r>
            <w:sdt>
              <w:sdt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  <w:id w:val="-1492168495"/>
              </w:sdtPr>
              <w:sdtEndPr>
                <w:rPr>
                  <w:rFonts w:hint="eastAsia" w:eastAsia="宋体" w:cs="Times New Roman" w:asciiTheme="minorHAnsi" w:hAnsiTheme="minorHAnsi"/>
                  <w:b w:val="0"/>
                  <w:bCs w:val="0"/>
                  <w:i/>
                  <w:iCs/>
                  <w:color w:val="000000"/>
                  <w:sz w:val="16"/>
                  <w:szCs w:val="16"/>
                  <w:u w:val="none"/>
                  <w:lang w:val="en-US" w:eastAsia="zh-CN"/>
                </w:rPr>
              </w:sdtEndPr>
              <w:sdtContent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instrText xml:space="preserve"> CITATION July19 \l 1033 </w:instrTex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t xml:space="preserve"> [3]</w:t>
                </w:r>
                <w:r>
                  <w:rPr>
                    <w:rFonts w:hint="eastAsia" w:eastAsia="宋体" w:cs="Times New Roman" w:asciiTheme="minorHAnsi" w:hAnsiTheme="minorHAnsi"/>
                    <w:b w:val="0"/>
                    <w:bCs w:val="0"/>
                    <w:i/>
                    <w:iCs/>
                    <w:color w:val="000000"/>
                    <w:sz w:val="16"/>
                    <w:szCs w:val="16"/>
                    <w:u w:val="none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cs="Times New Roman" w:asciiTheme="minorHAnsi" w:hAnsiTheme="minorHAnsi"/>
                <w:b w:val="0"/>
                <w:bCs w:val="0"/>
                <w:i/>
                <w:iCs/>
                <w:color w:val="000000"/>
                <w:sz w:val="16"/>
                <w:szCs w:val="16"/>
                <w:u w:val="none"/>
                <w:lang w:val="en-US" w:eastAsia="zh-CN"/>
              </w:rPr>
              <w:t xml:space="preserve"> Motion #26]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The parameter 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NUM_SS</w:t>
            </w:r>
            <w:r>
              <w:rPr>
                <w:rFonts w:hint="default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should be defined in the similar format as that defined in 11ac with max 2 spatial streams supported.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Please implement the proposed spec text modification as part of resolution to CID 129 as in document 11-20/0786r3. </w:t>
            </w:r>
          </w:p>
        </w:tc>
      </w:tr>
    </w:tbl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>
      <w:pPr>
        <w:spacing w:after="160"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implement following proposed modification to Table 32-1 (TXVECTOR and RXVECTOR parameters)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in 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32.2.2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(TXVECTOR and RXVECTOR parameters)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48 and 129 respectively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32.2.2</w:t>
      </w:r>
      <w:r>
        <w:rPr>
          <w:rFonts w:eastAsiaTheme="minorEastAsia"/>
          <w:b/>
          <w:sz w:val="21"/>
          <w:szCs w:val="21"/>
          <w:lang w:eastAsia="zh-CN"/>
        </w:rPr>
        <w:t xml:space="preserve"> </w:t>
      </w:r>
      <w:r>
        <w:rPr>
          <w:rFonts w:hint="eastAsia" w:eastAsiaTheme="minorEastAsia"/>
          <w:b/>
          <w:sz w:val="21"/>
          <w:szCs w:val="21"/>
          <w:lang w:val="en-US" w:eastAsia="zh-CN"/>
        </w:rPr>
        <w:t>TXVECTOR and RXVECTOR parameters</w:t>
      </w:r>
    </w:p>
    <w:p>
      <w:pPr>
        <w:spacing w:after="160" w:line="256" w:lineRule="auto"/>
        <w:rPr>
          <w:rFonts w:hint="default"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lang w:eastAsia="zh-CN"/>
        </w:rPr>
        <w:t>……</w:t>
      </w:r>
    </w:p>
    <w:p>
      <w:pPr>
        <w:spacing w:after="160" w:line="256" w:lineRule="auto"/>
        <w:jc w:val="center"/>
        <w:rPr>
          <w:rFonts w:hint="eastAsia" w:eastAsia="宋体" w:cs="Times New Roman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eastAsia="宋体" w:cs="Times New Roman"/>
          <w:b/>
          <w:bCs/>
          <w:color w:val="auto"/>
          <w:sz w:val="20"/>
          <w:szCs w:val="20"/>
          <w:lang w:val="en-US" w:eastAsia="zh-CN"/>
        </w:rPr>
        <w:t>Table 32-1 -- TXVECTOR and RXVECTOR parameters</w:t>
      </w:r>
    </w:p>
    <w:tbl>
      <w:tblPr>
        <w:tblStyle w:val="13"/>
        <w:tblW w:w="9220" w:type="dxa"/>
        <w:jc w:val="center"/>
        <w:tblInd w:w="1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50"/>
        <w:gridCol w:w="2686"/>
        <w:gridCol w:w="5079"/>
        <w:gridCol w:w="503"/>
        <w:gridCol w:w="49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TXVECTOR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RXVECTOR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L-LENGTH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 xml:space="preserve">Not present.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 xml:space="preserve">Note, the value of Length field of the L-SIG in an NGV PPDU is calculated as in Equation (32-8).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6"/>
                <w:szCs w:val="16"/>
                <w:shd w:val="clear" w:fill="FFFF00"/>
                <w:vertAlign w:val="baseline"/>
                <w:lang w:val="en-US" w:eastAsia="zh-CN"/>
              </w:rPr>
              <w:t>[CID 248]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N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Indicates the length of the PSDU in octets in the range of 1 to 4095. The value is used by the PHY to determine the number of octet transfers that occur between the MAC and the PHY.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Y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TimesNewRomanPSMT" w:cs="Times New Roman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TimesNewRomanPSMT" w:cs="Times New Roman"/>
                <w:color w:val="auto"/>
                <w:sz w:val="16"/>
                <w:szCs w:val="16"/>
                <w:u w:val="none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NewRomanPSMT" w:cs="Times New Roman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NewRomanPSMT" w:cs="Times New Roman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MUM_SS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70C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70C0"/>
                <w:u w:val="single"/>
              </w:rPr>
              <w:t>Indicates the number of spa</w:t>
            </w:r>
            <w:r>
              <w:rPr>
                <w:rFonts w:hint="eastAsia" w:eastAsia="宋体" w:cs="Times New Roman"/>
                <w:color w:val="0070C0"/>
                <w:u w:val="single"/>
                <w:lang w:val="en-US" w:eastAsia="zh-CN"/>
              </w:rPr>
              <w:t>tial</w:t>
            </w:r>
            <w:r>
              <w:rPr>
                <w:rFonts w:hint="default" w:ascii="Times New Roman" w:hAnsi="Times New Roman" w:cs="Times New Roman"/>
                <w:color w:val="0070C0"/>
                <w:u w:val="single"/>
              </w:rPr>
              <w:t xml:space="preserve"> streams.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NewRomanPSMT" w:cs="Times New Roman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70C0"/>
                <w:u w:val="single"/>
              </w:rPr>
              <w:t>Integer: range 1-</w:t>
            </w:r>
            <w:r>
              <w:rPr>
                <w:rFonts w:hint="eastAsia" w:ascii="Times New Roman" w:hAnsi="Times New Roman" w:eastAsia="宋体" w:cs="Times New Roman"/>
                <w:color w:val="0070C0"/>
                <w:u w:val="singl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70C0"/>
                <w:u w:val="single"/>
              </w:rPr>
              <w:t xml:space="preserve"> .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TimesNewRomanPSMT" w:cs="Times New Roman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TimesNewRomanPSMT" w:cs="Times New Roman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TimesNewRomanPSMT" w:cs="Times New Roman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TimesNewRomanPSMT" w:cs="Times New Roman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Not present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16"/>
                <w:szCs w:val="16"/>
                <w:u w:val="none"/>
                <w:shd w:val="clear" w:fill="FFFF00"/>
                <w:vertAlign w:val="baseline"/>
                <w:lang w:val="en-US" w:eastAsia="zh-CN"/>
              </w:rPr>
              <w:t>[CID 129]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N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70C0"/>
                <w:sz w:val="16"/>
                <w:szCs w:val="16"/>
                <w:u w:val="single"/>
                <w:vertAlign w:val="baselin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gridAfter w:val="1"/>
          <w:wAfter w:w="3" w:type="dxa"/>
          <w:trHeight w:val="105" w:hRule="atLeast"/>
          <w:jc w:val="center"/>
        </w:trPr>
        <w:tc>
          <w:tcPr>
            <w:tcW w:w="92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NOTE 1—In the “TXVECTOR” and “RXVECTOR” columns, the following apply: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Y = Present;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N = Not present;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u w:val="none"/>
                <w:vertAlign w:val="baseline"/>
                <w:lang w:val="en-US" w:eastAsia="zh-CN"/>
              </w:rPr>
              <w:t>O = Optional;</w:t>
            </w:r>
          </w:p>
        </w:tc>
      </w:tr>
    </w:tbl>
    <w:p>
      <w:pPr>
        <w:spacing w:after="160" w:line="256" w:lineRule="auto"/>
        <w:rPr>
          <w:rFonts w:hint="default" w:eastAsia="宋体" w:cs="Times New Roman"/>
          <w:color w:val="auto"/>
          <w:sz w:val="20"/>
          <w:szCs w:val="20"/>
          <w:lang w:val="en-US" w:eastAsia="zh-CN"/>
        </w:rPr>
      </w:pPr>
    </w:p>
    <w:p>
      <w:pPr>
        <w:spacing w:after="160" w:line="256" w:lineRule="auto"/>
        <w:rPr>
          <w:rFonts w:hint="default"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lang w:eastAsia="zh-CN"/>
        </w:rPr>
        <w:t>……</w:t>
      </w: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cs="Arial" w:asciiTheme="minorAsci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hAnsi="Arial" w:eastAsia="宋体" w:cs="Arial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complete the sentence correctly and properly. TBD should be OCB primary.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Agree on the comment in principle.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Please implement the proposed spec text modification as part of resolution to CID 129 as in document 11-20/0786r3. </w:t>
            </w:r>
          </w:p>
        </w:tc>
      </w:tr>
    </w:tbl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after="160"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the first paragraph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32.2.3 (PHY CONFIG_VECTOR)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53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textAlignment w:val="auto"/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32.2.3 PHY CONFIG_VECTOR</w:t>
      </w:r>
    </w:p>
    <w:p>
      <w:pPr>
        <w:numPr>
          <w:ilvl w:val="0"/>
          <w:numId w:val="0"/>
        </w:numPr>
        <w:spacing w:after="160" w:line="256" w:lineRule="auto"/>
        <w:ind w:leftChars="0"/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 xml:space="preserve">The PHYCONFIG_VECTOR carried in a PHY-CONFIG.request primitive for the NGV PHY contains an OPERATING_CHANNEL parameter, which identifies the </w:t>
      </w:r>
      <w:r>
        <w:rPr>
          <w:rFonts w:hint="eastAsia" w:eastAsia="宋体" w:cs="Times New Roman"/>
          <w:color w:val="auto"/>
          <w:sz w:val="18"/>
          <w:szCs w:val="18"/>
          <w:lang w:val="en-US" w:eastAsia="zh-CN"/>
        </w:rPr>
        <w:t>OCB primary</w:t>
      </w:r>
      <w:r>
        <w:rPr>
          <w:rFonts w:hint="eastAsia" w:eastAsia="宋体" w:cs="Times New Roman"/>
          <w:color w:val="FF000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trike/>
          <w:dstrike w:val="0"/>
          <w:color w:val="FF0000"/>
          <w:sz w:val="18"/>
          <w:szCs w:val="18"/>
          <w:lang w:eastAsia="zh-CN"/>
        </w:rPr>
        <w:t xml:space="preserve">operating or primary &lt;TBD&gt;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 xml:space="preserve">channel. </w:t>
      </w:r>
      <w:r>
        <w:rPr>
          <w:rFonts w:hint="default" w:ascii="Times New Roman" w:hAnsi="Times New Roman" w:eastAsia="宋体" w:cs="Times New Roman"/>
          <w:strike/>
          <w:dstrike w:val="0"/>
          <w:color w:val="FF0000"/>
          <w:sz w:val="18"/>
          <w:szCs w:val="18"/>
          <w:lang w:eastAsia="zh-CN"/>
        </w:rPr>
        <w:t>The PHY shall set dot11CurrentPrimaryChannel to the value of this parameter (TBD).</w:t>
      </w:r>
      <w:r>
        <w:rPr>
          <w:rFonts w:hint="eastAsia" w:eastAsia="宋体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trike w:val="0"/>
          <w:dstrike w:val="0"/>
          <w:color w:val="0070C0"/>
          <w:sz w:val="18"/>
          <w:szCs w:val="18"/>
          <w:u w:val="single"/>
          <w:lang w:eastAsia="zh-CN"/>
        </w:rPr>
        <w:t>The PHY shall set dot11CurrentPrimaryChannel to the value of this parameter</w:t>
      </w:r>
      <w:r>
        <w:rPr>
          <w:rFonts w:hint="eastAsia" w:eastAsia="宋体" w:cs="Times New Roman"/>
          <w:strike w:val="0"/>
          <w:dstrike w:val="0"/>
          <w:color w:val="0070C0"/>
          <w:sz w:val="18"/>
          <w:szCs w:val="18"/>
          <w:u w:val="single"/>
          <w:lang w:val="en-US" w:eastAsia="zh-CN"/>
        </w:rPr>
        <w:t>.</w:t>
      </w:r>
    </w:p>
    <w:p>
      <w:pPr>
        <w:shd w:val="clear"/>
        <w:autoSpaceDE w:val="0"/>
        <w:autoSpaceDN w:val="0"/>
        <w:adjustRightInd w:val="0"/>
        <w:jc w:val="both"/>
        <w:rPr>
          <w:rFonts w:hint="default" w:eastAsia="宋体"/>
          <w:b/>
          <w:bCs/>
          <w:i/>
          <w:iCs/>
          <w:highlight w:val="none"/>
          <w:lang w:val="en-US" w:eastAsia="zh-CN"/>
        </w:rPr>
      </w:pPr>
      <w:r>
        <w:rPr>
          <w:rFonts w:hint="eastAsia" w:eastAsia="宋体"/>
          <w:b/>
          <w:bCs/>
          <w:i/>
          <w:iCs/>
          <w:highlight w:val="none"/>
          <w:lang w:val="en-US" w:eastAsia="zh-CN"/>
        </w:rPr>
        <w:t>......</w:t>
      </w:r>
    </w:p>
    <w:p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>
      <w:pPr>
        <w:rPr>
          <w:bCs/>
          <w:i/>
          <w:iCs/>
          <w:sz w:val="24"/>
          <w:szCs w:val="24"/>
          <w:highlight w:val="yellow"/>
          <w:lang w:eastAsia="ko-KR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Cs/>
          <w:i/>
          <w:iCs/>
          <w:sz w:val="24"/>
          <w:szCs w:val="24"/>
          <w:highlight w:val="yellow"/>
          <w:lang w:val="en-US" w:eastAsia="zh-CN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2" w:tblpY="306"/>
        <w:tblOverlap w:val="never"/>
        <w:tblW w:w="1051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textAlignment w:val="top"/>
              <w:rPr>
                <w:rFonts w:hint="default"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20"/>
              </w:tabs>
              <w:jc w:val="center"/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cs="Arial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textAlignment w:val="top"/>
              <w:rPr>
                <w:rFonts w:hint="default"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30.14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delete "(when FORMAT is NGV)". It is redundant because the first colum shows the FORMAT parameter.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30.20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According to Annex E of Draft P802.11md D3.0, both in the US and in Europe, ITS channel spacings for 5, 10, and 20 MHz are defined.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However, the last row in Table 32-2 NON_NGV only defines CBW_10 for 10 MHz.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If in Annex E.1 5, 10, and 20 MHz are supported in the ITS Band, Table 32-2 should define CBW_5, CBW_10, and CBW_20 for NON_NGV accordingly.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Add additional rows for FORMAT NON_NGV and CBW_5 and CBW_20 in Table 32-3.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Agree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partially with the comment that the current ITS regulation allows 20 MHz bandwidth. But in the current scope of 802.11bd, the group are only interested in the co-ex of NGV STA with non-NGV STA on 10 MHz bandwidth and the behavior of a NGV STA as a non-NGV STA on 10 MHz channel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. 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So it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s a better way to clarify the intention by defining the value of the parameter FORMAT as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NON_NGV_10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when 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it is contained in a non-NGV PPDU in the scope of 11bd.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Please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replace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NON_NGV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to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NON_NGV_10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through out the IEEE P802.11bd D0.3 spec.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31.44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"NON_NGV" format is not officially defined before this section.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Add a subsection similar to 19.1.4 (PPDU formats) in 802.11REVmd to define "NGV" and "NON_NGV" PPDU formats.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Agree in principle.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Please implement the proposed spec text modification as part of resolution to CID 1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30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as in document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11-20/0786r3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. </w:t>
            </w:r>
          </w:p>
        </w:tc>
      </w:tr>
    </w:tbl>
    <w:p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130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after="160"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add a new sub-clause 32.1.4 (PPDU Formats)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130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textAlignment w:val="auto"/>
        <w:rPr>
          <w:rFonts w:eastAsiaTheme="minorEastAsia"/>
          <w:b/>
          <w:color w:val="0070C0"/>
          <w:sz w:val="21"/>
          <w:szCs w:val="21"/>
          <w:u w:val="single"/>
          <w:lang w:eastAsia="zh-CN"/>
        </w:rPr>
      </w:pPr>
      <w:r>
        <w:rPr>
          <w:rFonts w:hint="eastAsia" w:eastAsiaTheme="minorEastAsia"/>
          <w:b/>
          <w:color w:val="0070C0"/>
          <w:sz w:val="21"/>
          <w:szCs w:val="21"/>
          <w:u w:val="single"/>
          <w:lang w:val="en-US" w:eastAsia="zh-CN"/>
        </w:rPr>
        <w:t>32.1.4 PPDU Formats</w:t>
      </w:r>
    </w:p>
    <w:p>
      <w:pPr>
        <w:spacing w:after="160" w:line="256" w:lineRule="auto"/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The structure of the PPDU transmitted by a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 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STA is determined by the TXVECTOR parameters as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defined in Table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-1 (TXVECTOR and RXVECTOR parameters).</w:t>
      </w:r>
    </w:p>
    <w:p>
      <w:pPr>
        <w:spacing w:after="160" w:line="256" w:lineRule="auto"/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In a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STA the FORMAT parameter determines the overall structure of the PPDU and can take one of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the following values:</w:t>
      </w:r>
    </w:p>
    <w:p>
      <w:pPr>
        <w:spacing w:after="160" w:line="256" w:lineRule="auto"/>
        <w:ind w:leftChars="100"/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—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Non-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format (NON_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</w:t>
      </w:r>
      <w:r>
        <w:rPr>
          <w:rFonts w:hint="eastAsia" w:eastAsia="宋体" w:cs="Times New Roman"/>
          <w:color w:val="0070C0"/>
          <w:sz w:val="18"/>
          <w:szCs w:val="18"/>
          <w:u w:val="single"/>
          <w:lang w:val="en-US" w:eastAsia="zh-CN"/>
        </w:rPr>
        <w:t>_10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), based on Clause 17 (Orthogonal frequency division multiplexing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(OFDM) PHY specification)</w:t>
      </w:r>
      <w:r>
        <w:rPr>
          <w:rFonts w:hint="eastAsia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with 10 MHz bandwidth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.</w:t>
      </w:r>
    </w:p>
    <w:p>
      <w:pPr>
        <w:spacing w:after="160" w:line="256" w:lineRule="auto"/>
        <w:ind w:leftChars="100"/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—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 xml:space="preserve"> 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format (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) as specified in Clause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(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 PHY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).</w:t>
      </w:r>
    </w:p>
    <w:p>
      <w:pPr>
        <w:spacing w:after="160" w:line="256" w:lineRule="auto"/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>NOTE—Required support for these formats is defined in 1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.1(Introduction) and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.1.1 (Introduction to 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NGV</w:t>
      </w:r>
      <w:r>
        <w:rPr>
          <w:rFonts w:hint="default" w:ascii="Times New Roman" w:hAnsi="Times New Roman" w:eastAsia="宋体" w:cs="Times New Roman"/>
          <w:color w:val="0070C0"/>
          <w:sz w:val="18"/>
          <w:szCs w:val="18"/>
          <w:u w:val="single"/>
          <w:lang w:eastAsia="zh-CN"/>
        </w:rPr>
        <w:t xml:space="preserve"> PHY)</w:t>
      </w:r>
      <w:r>
        <w:rPr>
          <w:rFonts w:hint="eastAsia" w:ascii="Times New Roman" w:hAnsi="Times New Roman" w:eastAsia="宋体" w:cs="Times New Roman"/>
          <w:color w:val="0070C0"/>
          <w:sz w:val="18"/>
          <w:szCs w:val="18"/>
          <w:u w:val="single"/>
          <w:lang w:val="en-US" w:eastAsia="zh-CN"/>
        </w:rPr>
        <w:t>.</w:t>
      </w:r>
    </w:p>
    <w:p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hint="eastAsia" w:eastAsia="宋体"/>
          <w:b/>
          <w:bCs/>
          <w:i/>
          <w:iCs/>
          <w:sz w:val="24"/>
          <w:szCs w:val="24"/>
          <w:highlight w:val="yellow"/>
          <w:lang w:val="en-US" w:eastAsia="zh-CN"/>
        </w:rPr>
        <w:t>130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4" w:tblpY="322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31.47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non-NGV should be all captal letter like NON-NGV as defined in Table 32-1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32.15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non-NGV should be all captal letter like NON-NGV to be consistent through the spec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</w:t>
            </w: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In some cases,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non-NGV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refers to the format of the PPDU with TXVECTOR/RXVECTOR parameter FORMAT equal to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NON-NGV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. Therefore the comment is not correct.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32.38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 Table 32-3--Mapping of the NGV PHY parameters for non-NGV operation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 NGV parameter "CHANNEL_WIDTH" should not be discarded but passed 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Change "Discareded" to "CHANNEL_WIDTH"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The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purpose of the mapping is for a NGV PHY to behave as Non-NGV PHY (as defined in Clause 17 on 5.9 GHz). The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parameter CHANNEL_WIDTH is defined in NGV PHY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,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but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it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s 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not defined in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Non-NGV PHY (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5.9 GHz operation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in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Clause 17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)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. Therefore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the parameter CHANNEL_WIDTH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should be discarded 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>for a NGV PHY to behave like Non-NGV PHY.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35.37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DCM is not indicated by uisng any signaling and is included in MCS.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Changed &lt;TBD&gt; to NGV MCS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cs="Arial" w:asciiTheme="minorAscii" w:hAnsiTheme="minorHAns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hAnsi="Arial" w:eastAsia="宋体" w:cs="Arial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宋体" w:asciiTheme="minorAsci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References:</w:t>
      </w:r>
    </w:p>
    <w:p>
      <w:pPr>
        <w:pStyle w:val="104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hint="eastAsia" w:eastAsia="宋体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>
        <w:rPr>
          <w:rFonts w:hint="eastAsia" w:eastAsia="宋体"/>
          <w:b/>
          <w:color w:val="000000"/>
          <w:sz w:val="28"/>
          <w:lang w:val="en-US" w:eastAsia="zh-CN"/>
        </w:rPr>
        <w:t>0.3</w:t>
      </w:r>
      <w:r>
        <w:rPr>
          <w:b/>
          <w:color w:val="000000"/>
          <w:sz w:val="28"/>
          <w:lang w:val="en-US" w:eastAsia="ko-KR"/>
        </w:rPr>
        <w:t xml:space="preserve">, </w:t>
      </w:r>
      <w:r>
        <w:rPr>
          <w:rFonts w:hint="eastAsia" w:eastAsia="宋体"/>
          <w:b/>
          <w:color w:val="000000"/>
          <w:sz w:val="28"/>
          <w:lang w:val="en-US" w:eastAsia="zh-CN"/>
        </w:rPr>
        <w:t>Apr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hint="eastAsia" w:eastAsia="宋体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576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8</w:t>
    </w:r>
    <w:r>
      <w:fldChar w:fldCharType="end"/>
    </w:r>
    <w:r>
      <w:tab/>
    </w:r>
    <w:r>
      <w:rPr>
        <w:rFonts w:hint="eastAsia" w:eastAsia="宋体"/>
        <w:lang w:eastAsia="zh-CN"/>
      </w:rPr>
      <w:t>Bo Sun</w:t>
    </w:r>
    <w:r>
      <w:rPr>
        <w:lang w:eastAsia="ko-KR"/>
      </w:rPr>
      <w:t xml:space="preserve"> (</w:t>
    </w:r>
    <w:r>
      <w:rPr>
        <w:rFonts w:hint="eastAsia" w:eastAsia="宋体"/>
        <w:lang w:eastAsia="zh-CN"/>
      </w:rPr>
      <w:t>ZTE</w:t>
    </w:r>
    <w:r>
      <w:rPr>
        <w:lang w:eastAsia="ko-KR"/>
      </w:rP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9360"/>
        <w:tab w:val="clear" w:pos="6480"/>
      </w:tabs>
    </w:pPr>
    <w:r>
      <w:rPr>
        <w:rFonts w:hint="eastAsia" w:eastAsia="宋体"/>
        <w:lang w:val="en-US" w:eastAsia="zh-CN"/>
      </w:rPr>
      <w:t>May</w:t>
    </w:r>
    <w:r>
      <w:rPr>
        <w:lang w:eastAsia="ko-KR"/>
      </w:rPr>
      <w:t xml:space="preserve"> 20</w:t>
    </w:r>
    <w:r>
      <w:rPr>
        <w:rFonts w:hint="eastAsia" w:eastAsia="宋体"/>
        <w:lang w:val="en-US" w:eastAsia="zh-CN"/>
      </w:rPr>
      <w:t>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20</w:t>
    </w:r>
    <w:r>
      <w:t>/</w:t>
    </w:r>
    <w:r>
      <w:rPr>
        <w:rFonts w:hint="eastAsia" w:eastAsia="宋体"/>
        <w:lang w:val="en-US" w:eastAsia="zh-CN"/>
      </w:rPr>
      <w:t>0786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rFonts w:hint="eastAsia" w:eastAsia="宋体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BB"/>
    <w:multiLevelType w:val="multilevel"/>
    <w:tmpl w:val="04C950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abstractNum w:abstractNumId="2">
    <w:nsid w:val="67491AA1"/>
    <w:multiLevelType w:val="multilevel"/>
    <w:tmpl w:val="67491AA1"/>
    <w:lvl w:ilvl="0" w:tentative="0">
      <w:start w:val="97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519"/>
    <w:rsid w:val="00054694"/>
    <w:rsid w:val="00054BB9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75C"/>
    <w:rsid w:val="002539AB"/>
    <w:rsid w:val="00255A8B"/>
    <w:rsid w:val="002569EA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AC1"/>
    <w:rsid w:val="003A6B04"/>
    <w:rsid w:val="003A74EB"/>
    <w:rsid w:val="003A7B64"/>
    <w:rsid w:val="003B03CE"/>
    <w:rsid w:val="003B0C59"/>
    <w:rsid w:val="003B1BDE"/>
    <w:rsid w:val="003B1D6F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5277"/>
    <w:rsid w:val="0074621F"/>
    <w:rsid w:val="007463FB"/>
    <w:rsid w:val="007468AA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1166F6"/>
    <w:rsid w:val="2E230872"/>
    <w:rsid w:val="2E435EF8"/>
    <w:rsid w:val="2ECF5747"/>
    <w:rsid w:val="2F2C5129"/>
    <w:rsid w:val="2F3D75CE"/>
    <w:rsid w:val="2F68173A"/>
    <w:rsid w:val="315318A8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9327D0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18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79"/>
    <w:unhideWhenUsed/>
    <w:qFormat/>
    <w:uiPriority w:val="99"/>
    <w:pPr>
      <w:spacing w:after="200"/>
    </w:pPr>
    <w:rPr>
      <w:rFonts w:ascii="Calibri" w:hAnsi="Calibri"/>
      <w:sz w:val="20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Balloon Text"/>
    <w:basedOn w:val="1"/>
    <w:link w:val="50"/>
    <w:qFormat/>
    <w:uiPriority w:val="0"/>
    <w:rPr>
      <w:rFonts w:ascii="Tahoma" w:hAnsi="Tahoma"/>
      <w:sz w:val="16"/>
      <w:szCs w:val="16"/>
    </w:r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annotation subject"/>
    <w:basedOn w:val="5"/>
    <w:next w:val="5"/>
    <w:link w:val="30"/>
    <w:qFormat/>
    <w:uiPriority w:val="0"/>
    <w:pPr>
      <w:spacing w:after="0"/>
    </w:pPr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16"/>
      <w:szCs w:val="16"/>
    </w:rPr>
  </w:style>
  <w:style w:type="character" w:customStyle="1" w:styleId="18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19">
    <w:name w:val="SC.10.323677"/>
    <w:qFormat/>
    <w:uiPriority w:val="99"/>
    <w:rPr>
      <w:color w:val="104490"/>
      <w:sz w:val="20"/>
      <w:szCs w:val="20"/>
      <w:u w:val="single"/>
    </w:rPr>
  </w:style>
  <w:style w:type="character" w:customStyle="1" w:styleId="20">
    <w:name w:val="SC.11.274500"/>
    <w:qFormat/>
    <w:uiPriority w:val="99"/>
    <w:rPr>
      <w:b/>
      <w:bCs/>
      <w:i/>
      <w:iCs/>
      <w:color w:val="000000"/>
      <w:sz w:val="22"/>
      <w:szCs w:val="22"/>
    </w:rPr>
  </w:style>
  <w:style w:type="character" w:customStyle="1" w:styleId="21">
    <w:name w:val="SC.7.319547"/>
    <w:qFormat/>
    <w:uiPriority w:val="99"/>
    <w:rPr>
      <w:color w:val="104490"/>
      <w:sz w:val="20"/>
      <w:szCs w:val="20"/>
      <w:u w:val="single"/>
    </w:rPr>
  </w:style>
  <w:style w:type="character" w:customStyle="1" w:styleId="22">
    <w:name w:val="SC.11.274473"/>
    <w:qFormat/>
    <w:uiPriority w:val="99"/>
    <w:rPr>
      <w:color w:val="000000"/>
      <w:sz w:val="18"/>
      <w:szCs w:val="18"/>
      <w:u w:val="single"/>
    </w:rPr>
  </w:style>
  <w:style w:type="character" w:customStyle="1" w:styleId="23">
    <w:name w:val="SC.9.192689"/>
    <w:qFormat/>
    <w:uiPriority w:val="99"/>
    <w:rPr>
      <w:color w:val="104490"/>
      <w:sz w:val="20"/>
      <w:szCs w:val="20"/>
      <w:u w:val="single"/>
    </w:rPr>
  </w:style>
  <w:style w:type="character" w:customStyle="1" w:styleId="24">
    <w:name w:val="SC.10.323592"/>
    <w:qFormat/>
    <w:uiPriority w:val="99"/>
    <w:rPr>
      <w:color w:val="000000"/>
      <w:sz w:val="18"/>
      <w:szCs w:val="18"/>
    </w:rPr>
  </w:style>
  <w:style w:type="character" w:customStyle="1" w:styleId="25">
    <w:name w:val="SC.12.319576"/>
    <w:qFormat/>
    <w:uiPriority w:val="99"/>
    <w:rPr>
      <w:strike/>
      <w:color w:val="000000"/>
      <w:sz w:val="20"/>
      <w:szCs w:val="20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SC.7.319546"/>
    <w:qFormat/>
    <w:uiPriority w:val="99"/>
    <w:rPr>
      <w:strike/>
      <w:color w:val="FF0000"/>
      <w:sz w:val="20"/>
      <w:szCs w:val="20"/>
    </w:rPr>
  </w:style>
  <w:style w:type="character" w:customStyle="1" w:styleId="28">
    <w:name w:val="SC.9.192683"/>
    <w:qFormat/>
    <w:uiPriority w:val="99"/>
    <w:rPr>
      <w:strike/>
      <w:color w:val="904410"/>
      <w:sz w:val="20"/>
      <w:szCs w:val="20"/>
    </w:rPr>
  </w:style>
  <w:style w:type="character" w:customStyle="1" w:styleId="29">
    <w:name w:val="SC.10.323589"/>
    <w:qFormat/>
    <w:uiPriority w:val="99"/>
    <w:rPr>
      <w:color w:val="000000"/>
      <w:sz w:val="20"/>
      <w:szCs w:val="20"/>
      <w:u w:val="single"/>
    </w:rPr>
  </w:style>
  <w:style w:type="character" w:customStyle="1" w:styleId="30">
    <w:name w:val="批注主题 Char"/>
    <w:link w:val="11"/>
    <w:qFormat/>
    <w:uiPriority w:val="0"/>
    <w:rPr>
      <w:rFonts w:ascii="Calibri" w:hAnsi="Calibri"/>
      <w:b/>
      <w:bCs/>
      <w:lang w:val="en-GB"/>
    </w:rPr>
  </w:style>
  <w:style w:type="character" w:customStyle="1" w:styleId="31">
    <w:name w:val="SC.10.323643"/>
    <w:qFormat/>
    <w:uiPriority w:val="99"/>
    <w:rPr>
      <w:color w:val="208A20"/>
      <w:sz w:val="20"/>
      <w:szCs w:val="20"/>
      <w:u w:val="single"/>
    </w:rPr>
  </w:style>
  <w:style w:type="character" w:customStyle="1" w:styleId="32">
    <w:name w:val="SC.9.192639"/>
    <w:qFormat/>
    <w:uiPriority w:val="99"/>
    <w:rPr>
      <w:i/>
      <w:iCs/>
      <w:color w:val="000000"/>
      <w:sz w:val="16"/>
      <w:szCs w:val="16"/>
      <w:u w:val="single"/>
    </w:rPr>
  </w:style>
  <w:style w:type="character" w:customStyle="1" w:styleId="33">
    <w:name w:val="SC.9.192516"/>
    <w:qFormat/>
    <w:uiPriority w:val="99"/>
    <w:rPr>
      <w:color w:val="000000"/>
      <w:sz w:val="20"/>
      <w:szCs w:val="20"/>
      <w:u w:val="single"/>
    </w:rPr>
  </w:style>
  <w:style w:type="character" w:customStyle="1" w:styleId="34">
    <w:name w:val="SC.4.204810"/>
    <w:qFormat/>
    <w:uiPriority w:val="99"/>
    <w:rPr>
      <w:color w:val="000000"/>
      <w:sz w:val="20"/>
      <w:szCs w:val="20"/>
    </w:rPr>
  </w:style>
  <w:style w:type="character" w:customStyle="1" w:styleId="35">
    <w:name w:val="SC.9.192528"/>
    <w:qFormat/>
    <w:uiPriority w:val="99"/>
    <w:rPr>
      <w:b/>
      <w:bCs/>
      <w:color w:val="000000"/>
      <w:sz w:val="20"/>
      <w:szCs w:val="20"/>
    </w:rPr>
  </w:style>
  <w:style w:type="character" w:customStyle="1" w:styleId="36">
    <w:name w:val="SC.8.278612"/>
    <w:qFormat/>
    <w:uiPriority w:val="99"/>
    <w:rPr>
      <w:strike/>
      <w:color w:val="000000"/>
      <w:sz w:val="20"/>
      <w:szCs w:val="20"/>
    </w:rPr>
  </w:style>
  <w:style w:type="character" w:customStyle="1" w:styleId="37">
    <w:name w:val="SC.13.303301"/>
    <w:qFormat/>
    <w:uiPriority w:val="99"/>
    <w:rPr>
      <w:color w:val="000000"/>
      <w:sz w:val="20"/>
      <w:szCs w:val="20"/>
    </w:rPr>
  </w:style>
  <w:style w:type="character" w:customStyle="1" w:styleId="38">
    <w:name w:val="SC.10.323681"/>
    <w:qFormat/>
    <w:uiPriority w:val="99"/>
    <w:rPr>
      <w:strike/>
      <w:color w:val="000000"/>
      <w:sz w:val="20"/>
      <w:szCs w:val="20"/>
    </w:rPr>
  </w:style>
  <w:style w:type="character" w:customStyle="1" w:styleId="39">
    <w:name w:val="SC.11.274506"/>
    <w:qFormat/>
    <w:uiPriority w:val="99"/>
    <w:rPr>
      <w:color w:val="000000"/>
      <w:sz w:val="20"/>
      <w:szCs w:val="20"/>
      <w:u w:val="single"/>
    </w:rPr>
  </w:style>
  <w:style w:type="character" w:customStyle="1" w:styleId="40">
    <w:name w:val="占位符文本1"/>
    <w:semiHidden/>
    <w:qFormat/>
    <w:uiPriority w:val="99"/>
    <w:rPr>
      <w:color w:val="808080"/>
    </w:rPr>
  </w:style>
  <w:style w:type="character" w:customStyle="1" w:styleId="41">
    <w:name w:val="SC.8.278585"/>
    <w:qFormat/>
    <w:uiPriority w:val="99"/>
    <w:rPr>
      <w:color w:val="000000"/>
      <w:sz w:val="20"/>
      <w:szCs w:val="20"/>
      <w:u w:val="single"/>
    </w:rPr>
  </w:style>
  <w:style w:type="character" w:customStyle="1" w:styleId="42">
    <w:name w:val="SC.9.192644"/>
    <w:qFormat/>
    <w:uiPriority w:val="99"/>
    <w:rPr>
      <w:i/>
      <w:iCs/>
      <w:color w:val="000000"/>
      <w:sz w:val="16"/>
      <w:szCs w:val="16"/>
    </w:rPr>
  </w:style>
  <w:style w:type="character" w:customStyle="1" w:styleId="43">
    <w:name w:val="SC.15.4050"/>
    <w:qFormat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44">
    <w:name w:val="SC.9.192742"/>
    <w:qFormat/>
    <w:uiPriority w:val="99"/>
    <w:rPr>
      <w:strike/>
      <w:color w:val="FF0000"/>
      <w:sz w:val="20"/>
      <w:szCs w:val="20"/>
    </w:rPr>
  </w:style>
  <w:style w:type="character" w:customStyle="1" w:styleId="45">
    <w:name w:val="fontstyle01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46">
    <w:name w:val="SC.4.204809"/>
    <w:qFormat/>
    <w:uiPriority w:val="99"/>
    <w:rPr>
      <w:b/>
      <w:bCs/>
      <w:color w:val="000000"/>
      <w:sz w:val="22"/>
      <w:szCs w:val="22"/>
    </w:rPr>
  </w:style>
  <w:style w:type="character" w:customStyle="1" w:styleId="47">
    <w:name w:val="SC.13.303114"/>
    <w:qFormat/>
    <w:uiPriority w:val="99"/>
    <w:rPr>
      <w:color w:val="000000"/>
      <w:sz w:val="22"/>
      <w:szCs w:val="22"/>
    </w:rPr>
  </w:style>
  <w:style w:type="character" w:customStyle="1" w:styleId="48">
    <w:name w:val="SC.13.303243"/>
    <w:qFormat/>
    <w:uiPriority w:val="99"/>
    <w:rPr>
      <w:color w:val="000000"/>
      <w:sz w:val="20"/>
      <w:szCs w:val="20"/>
    </w:rPr>
  </w:style>
  <w:style w:type="character" w:customStyle="1" w:styleId="49">
    <w:name w:val="SC.11.274443"/>
    <w:qFormat/>
    <w:uiPriority w:val="99"/>
    <w:rPr>
      <w:b/>
      <w:bCs/>
      <w:color w:val="000000"/>
      <w:sz w:val="22"/>
      <w:szCs w:val="22"/>
    </w:rPr>
  </w:style>
  <w:style w:type="character" w:customStyle="1" w:styleId="50">
    <w:name w:val="批注框文本 Char"/>
    <w:link w:val="7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1">
    <w:name w:val="SC.7.319505"/>
    <w:qFormat/>
    <w:uiPriority w:val="99"/>
    <w:rPr>
      <w:b/>
      <w:bCs/>
      <w:color w:val="000000"/>
      <w:sz w:val="22"/>
      <w:szCs w:val="22"/>
    </w:rPr>
  </w:style>
  <w:style w:type="character" w:customStyle="1" w:styleId="52">
    <w:name w:val="SC.10.323600"/>
    <w:qFormat/>
    <w:uiPriority w:val="99"/>
    <w:rPr>
      <w:b/>
      <w:bCs/>
      <w:color w:val="000000"/>
      <w:sz w:val="20"/>
      <w:szCs w:val="20"/>
    </w:rPr>
  </w:style>
  <w:style w:type="character" w:customStyle="1" w:styleId="53">
    <w:name w:val="SC.9.192579"/>
    <w:qFormat/>
    <w:uiPriority w:val="99"/>
    <w:rPr>
      <w:color w:val="000000"/>
      <w:sz w:val="20"/>
      <w:szCs w:val="20"/>
    </w:rPr>
  </w:style>
  <w:style w:type="character" w:customStyle="1" w:styleId="54">
    <w:name w:val="SC.15.4004"/>
    <w:qFormat/>
    <w:uiPriority w:val="99"/>
    <w:rPr>
      <w:b/>
      <w:bCs/>
      <w:color w:val="000000"/>
      <w:sz w:val="22"/>
      <w:szCs w:val="22"/>
    </w:rPr>
  </w:style>
  <w:style w:type="character" w:customStyle="1" w:styleId="55">
    <w:name w:val="SC.15.4062"/>
    <w:qFormat/>
    <w:uiPriority w:val="99"/>
    <w:rPr>
      <w:b/>
      <w:bCs/>
      <w:color w:val="000000"/>
      <w:sz w:val="28"/>
      <w:szCs w:val="28"/>
    </w:rPr>
  </w:style>
  <w:style w:type="character" w:customStyle="1" w:styleId="56">
    <w:name w:val="SC.12.319504"/>
    <w:qFormat/>
    <w:uiPriority w:val="99"/>
    <w:rPr>
      <w:b/>
      <w:bCs/>
      <w:i/>
      <w:iCs/>
      <w:color w:val="000000"/>
      <w:sz w:val="20"/>
      <w:szCs w:val="20"/>
    </w:rPr>
  </w:style>
  <w:style w:type="character" w:customStyle="1" w:styleId="57">
    <w:name w:val="SC.7.319501"/>
    <w:qFormat/>
    <w:uiPriority w:val="99"/>
    <w:rPr>
      <w:color w:val="000000"/>
      <w:sz w:val="20"/>
      <w:szCs w:val="20"/>
    </w:rPr>
  </w:style>
  <w:style w:type="character" w:customStyle="1" w:styleId="58">
    <w:name w:val="SC.8.278544"/>
    <w:qFormat/>
    <w:uiPriority w:val="99"/>
    <w:rPr>
      <w:color w:val="000000"/>
      <w:sz w:val="20"/>
      <w:szCs w:val="20"/>
    </w:rPr>
  </w:style>
  <w:style w:type="character" w:customStyle="1" w:styleId="59">
    <w:name w:val="IEEEStds Level 4 Header Char Char"/>
    <w:link w:val="60"/>
    <w:qFormat/>
    <w:uiPriority w:val="0"/>
    <w:rPr>
      <w:rFonts w:ascii="Arial" w:hAnsi="Arial" w:eastAsia="MS Mincho"/>
      <w:b/>
      <w:snapToGrid w:val="0"/>
    </w:rPr>
  </w:style>
  <w:style w:type="paragraph" w:customStyle="1" w:styleId="60">
    <w:name w:val="IEEEStds Level 4 Header"/>
    <w:basedOn w:val="1"/>
    <w:next w:val="1"/>
    <w:link w:val="5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61">
    <w:name w:val="SC.9.192656"/>
    <w:qFormat/>
    <w:uiPriority w:val="9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62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3">
    <w:name w:val="SC.10.323725"/>
    <w:qFormat/>
    <w:uiPriority w:val="99"/>
    <w:rPr>
      <w:strike/>
      <w:color w:val="000000"/>
    </w:rPr>
  </w:style>
  <w:style w:type="character" w:customStyle="1" w:styleId="64">
    <w:name w:val="SC.9.192632"/>
    <w:qFormat/>
    <w:uiPriority w:val="99"/>
    <w:rPr>
      <w:strike/>
      <w:color w:val="000000"/>
      <w:sz w:val="20"/>
      <w:szCs w:val="20"/>
    </w:rPr>
  </w:style>
  <w:style w:type="character" w:customStyle="1" w:styleId="65">
    <w:name w:val="SC.4.204813"/>
    <w:qFormat/>
    <w:uiPriority w:val="99"/>
    <w:rPr>
      <w:color w:val="000000"/>
      <w:sz w:val="20"/>
      <w:szCs w:val="20"/>
      <w:u w:val="single"/>
    </w:rPr>
  </w:style>
  <w:style w:type="character" w:customStyle="1" w:styleId="66">
    <w:name w:val="SC.13.303254"/>
    <w:qFormat/>
    <w:uiPriority w:val="99"/>
    <w:rPr>
      <w:b/>
      <w:bCs/>
      <w:color w:val="000000"/>
      <w:sz w:val="20"/>
      <w:szCs w:val="20"/>
    </w:rPr>
  </w:style>
  <w:style w:type="character" w:customStyle="1" w:styleId="67">
    <w:name w:val="SC.11.274496"/>
    <w:qFormat/>
    <w:uiPriority w:val="99"/>
    <w:rPr>
      <w:color w:val="000000"/>
      <w:sz w:val="20"/>
      <w:szCs w:val="20"/>
      <w:u w:val="single"/>
    </w:rPr>
  </w:style>
  <w:style w:type="character" w:customStyle="1" w:styleId="68">
    <w:name w:val="SC.9.192654"/>
    <w:qFormat/>
    <w:uiPriority w:val="99"/>
    <w:rPr>
      <w:strike/>
      <w:color w:val="FF0000"/>
      <w:sz w:val="20"/>
      <w:szCs w:val="20"/>
    </w:rPr>
  </w:style>
  <w:style w:type="character" w:customStyle="1" w:styleId="69">
    <w:name w:val="SC.10.323607"/>
    <w:qFormat/>
    <w:uiPriority w:val="99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70">
    <w:name w:val="highlight"/>
    <w:basedOn w:val="14"/>
    <w:qFormat/>
    <w:uiPriority w:val="0"/>
  </w:style>
  <w:style w:type="character" w:customStyle="1" w:styleId="71">
    <w:name w:val="SC.10.323680"/>
    <w:qFormat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72">
    <w:name w:val="SC.10.323703"/>
    <w:qFormat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73">
    <w:name w:val="SC.11.274497"/>
    <w:qFormat/>
    <w:uiPriority w:val="99"/>
    <w:rPr>
      <w:color w:val="000000"/>
      <w:sz w:val="20"/>
      <w:szCs w:val="20"/>
    </w:rPr>
  </w:style>
  <w:style w:type="character" w:customStyle="1" w:styleId="74">
    <w:name w:val="SC.10.323729"/>
    <w:qFormat/>
    <w:uiPriority w:val="99"/>
    <w:rPr>
      <w:strike/>
      <w:color w:val="FF0000"/>
      <w:sz w:val="20"/>
      <w:szCs w:val="20"/>
    </w:rPr>
  </w:style>
  <w:style w:type="character" w:customStyle="1" w:styleId="75">
    <w:name w:val="SC.11.274446"/>
    <w:qFormat/>
    <w:uiPriority w:val="99"/>
    <w:rPr>
      <w:b/>
      <w:bCs/>
      <w:color w:val="000000"/>
      <w:sz w:val="20"/>
      <w:szCs w:val="20"/>
    </w:rPr>
  </w:style>
  <w:style w:type="character" w:customStyle="1" w:styleId="76">
    <w:name w:val="SC.15.4028"/>
    <w:qFormat/>
    <w:uiPriority w:val="99"/>
    <w:rPr>
      <w:color w:val="000000"/>
    </w:rPr>
  </w:style>
  <w:style w:type="character" w:customStyle="1" w:styleId="77">
    <w:name w:val="SC.3.4062"/>
    <w:qFormat/>
    <w:uiPriority w:val="99"/>
    <w:rPr>
      <w:b/>
      <w:bCs/>
      <w:color w:val="000000"/>
      <w:sz w:val="20"/>
      <w:szCs w:val="20"/>
    </w:rPr>
  </w:style>
  <w:style w:type="character" w:customStyle="1" w:styleId="78">
    <w:name w:val="SC.12.319574"/>
    <w:qFormat/>
    <w:uiPriority w:val="99"/>
    <w:rPr>
      <w:color w:val="000000"/>
      <w:sz w:val="20"/>
      <w:szCs w:val="20"/>
      <w:u w:val="single"/>
    </w:rPr>
  </w:style>
  <w:style w:type="character" w:customStyle="1" w:styleId="79">
    <w:name w:val="批注文字 Char"/>
    <w:link w:val="5"/>
    <w:qFormat/>
    <w:uiPriority w:val="99"/>
    <w:rPr>
      <w:rFonts w:ascii="Calibri" w:hAnsi="Calibri"/>
    </w:rPr>
  </w:style>
  <w:style w:type="paragraph" w:customStyle="1" w:styleId="80">
    <w:name w:val="SP.10.200716"/>
    <w:basedOn w:val="81"/>
    <w:next w:val="81"/>
    <w:qFormat/>
    <w:uiPriority w:val="99"/>
    <w:rPr>
      <w:color w:val="auto"/>
    </w:rPr>
  </w:style>
  <w:style w:type="paragraph" w:customStyle="1" w:styleId="8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algun Gothic" w:cs="Times New Roman"/>
      <w:color w:val="000000"/>
      <w:sz w:val="24"/>
      <w:szCs w:val="24"/>
      <w:lang w:val="en-US" w:eastAsia="ko-KR" w:bidi="ar-SA"/>
    </w:rPr>
  </w:style>
  <w:style w:type="paragraph" w:customStyle="1" w:styleId="82">
    <w:name w:val="SP.4.65537"/>
    <w:basedOn w:val="81"/>
    <w:next w:val="81"/>
    <w:qFormat/>
    <w:uiPriority w:val="99"/>
    <w:rPr>
      <w:color w:val="auto"/>
    </w:rPr>
  </w:style>
  <w:style w:type="paragraph" w:customStyle="1" w:styleId="83">
    <w:name w:val="SP.9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4">
    <w:name w:val="SP.13.282633"/>
    <w:basedOn w:val="81"/>
    <w:next w:val="81"/>
    <w:qFormat/>
    <w:uiPriority w:val="99"/>
    <w:rPr>
      <w:color w:val="auto"/>
    </w:rPr>
  </w:style>
  <w:style w:type="paragraph" w:customStyle="1" w:styleId="85">
    <w:name w:val="SP.10.6561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6">
    <w:name w:val="SP.10.151562"/>
    <w:basedOn w:val="81"/>
    <w:next w:val="81"/>
    <w:qFormat/>
    <w:uiPriority w:val="99"/>
    <w:rPr>
      <w:color w:val="auto"/>
    </w:rPr>
  </w:style>
  <w:style w:type="paragraph" w:customStyle="1" w:styleId="87">
    <w:name w:val="SP.8.147457"/>
    <w:basedOn w:val="81"/>
    <w:next w:val="81"/>
    <w:qFormat/>
    <w:uiPriority w:val="99"/>
    <w:rPr>
      <w:color w:val="auto"/>
    </w:rPr>
  </w:style>
  <w:style w:type="paragraph" w:customStyle="1" w:styleId="88">
    <w:name w:val="H5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89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90">
    <w:name w:val="SP.9.208903"/>
    <w:basedOn w:val="81"/>
    <w:next w:val="81"/>
    <w:qFormat/>
    <w:uiPriority w:val="99"/>
    <w:rPr>
      <w:color w:val="auto"/>
    </w:rPr>
  </w:style>
  <w:style w:type="paragraph" w:customStyle="1" w:styleId="91">
    <w:name w:val="SP.10.655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2">
    <w:name w:val="SP.4.65574"/>
    <w:basedOn w:val="81"/>
    <w:next w:val="81"/>
    <w:qFormat/>
    <w:uiPriority w:val="99"/>
    <w:rPr>
      <w:color w:val="auto"/>
    </w:rPr>
  </w:style>
  <w:style w:type="paragraph" w:customStyle="1" w:styleId="93">
    <w:name w:val="SP.11.311323"/>
    <w:basedOn w:val="81"/>
    <w:next w:val="81"/>
    <w:qFormat/>
    <w:uiPriority w:val="99"/>
    <w:rPr>
      <w:color w:val="auto"/>
    </w:rPr>
  </w:style>
  <w:style w:type="paragraph" w:customStyle="1" w:styleId="94">
    <w:name w:val="SP.10.65537"/>
    <w:basedOn w:val="81"/>
    <w:next w:val="81"/>
    <w:qFormat/>
    <w:uiPriority w:val="99"/>
    <w:rPr>
      <w:color w:val="auto"/>
    </w:rPr>
  </w:style>
  <w:style w:type="paragraph" w:customStyle="1" w:styleId="95">
    <w:name w:val="SP.11.307227"/>
    <w:basedOn w:val="81"/>
    <w:next w:val="81"/>
    <w:qFormat/>
    <w:uiPriority w:val="99"/>
    <w:rPr>
      <w:color w:val="auto"/>
    </w:rPr>
  </w:style>
  <w:style w:type="paragraph" w:customStyle="1" w:styleId="96">
    <w:name w:val="SP.9.11062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7">
    <w:name w:val="SP.10.155658"/>
    <w:basedOn w:val="81"/>
    <w:next w:val="81"/>
    <w:qFormat/>
    <w:uiPriority w:val="99"/>
    <w:rPr>
      <w:color w:val="auto"/>
    </w:rPr>
  </w:style>
  <w:style w:type="paragraph" w:customStyle="1" w:styleId="98">
    <w:name w:val="SP.9.2949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9">
    <w:name w:val="SP.11.307211"/>
    <w:basedOn w:val="81"/>
    <w:next w:val="81"/>
    <w:qFormat/>
    <w:uiPriority w:val="99"/>
    <w:rPr>
      <w:color w:val="auto"/>
    </w:rPr>
  </w:style>
  <w:style w:type="paragraph" w:customStyle="1" w:styleId="100">
    <w:name w:val="SP.10.155687"/>
    <w:basedOn w:val="81"/>
    <w:next w:val="81"/>
    <w:qFormat/>
    <w:uiPriority w:val="99"/>
    <w:rPr>
      <w:color w:val="auto"/>
    </w:rPr>
  </w:style>
  <w:style w:type="paragraph" w:customStyle="1" w:styleId="101">
    <w:name w:val="SP.13.282649"/>
    <w:basedOn w:val="81"/>
    <w:next w:val="81"/>
    <w:qFormat/>
    <w:uiPriority w:val="99"/>
    <w:rPr>
      <w:color w:val="auto"/>
    </w:rPr>
  </w:style>
  <w:style w:type="paragraph" w:customStyle="1" w:styleId="102">
    <w:name w:val="SP.12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03">
    <w:name w:val="SP.10.151591"/>
    <w:basedOn w:val="81"/>
    <w:next w:val="81"/>
    <w:qFormat/>
    <w:uiPriority w:val="99"/>
    <w:rPr>
      <w:color w:val="auto"/>
    </w:rPr>
  </w:style>
  <w:style w:type="paragraph" w:customStyle="1" w:styleId="104">
    <w:name w:val="列出段落1"/>
    <w:basedOn w:val="1"/>
    <w:qFormat/>
    <w:uiPriority w:val="34"/>
    <w:pPr>
      <w:ind w:left="800" w:leftChars="400"/>
    </w:pPr>
  </w:style>
  <w:style w:type="paragraph" w:customStyle="1" w:styleId="105">
    <w:name w:val="SP.9.208900"/>
    <w:basedOn w:val="81"/>
    <w:next w:val="81"/>
    <w:qFormat/>
    <w:uiPriority w:val="99"/>
    <w:rPr>
      <w:color w:val="auto"/>
    </w:rPr>
  </w:style>
  <w:style w:type="paragraph" w:customStyle="1" w:styleId="106">
    <w:name w:val="SP.11.225308"/>
    <w:basedOn w:val="81"/>
    <w:next w:val="81"/>
    <w:qFormat/>
    <w:uiPriority w:val="99"/>
    <w:rPr>
      <w:color w:val="auto"/>
    </w:rPr>
  </w:style>
  <w:style w:type="paragraph" w:customStyle="1" w:styleId="107">
    <w:name w:val="SP.9.221210"/>
    <w:basedOn w:val="81"/>
    <w:next w:val="81"/>
    <w:qFormat/>
    <w:uiPriority w:val="99"/>
    <w:rPr>
      <w:color w:val="auto"/>
    </w:rPr>
  </w:style>
  <w:style w:type="paragraph" w:customStyle="1" w:styleId="108">
    <w:name w:val="SP.11.307205"/>
    <w:basedOn w:val="81"/>
    <w:next w:val="81"/>
    <w:qFormat/>
    <w:uiPriority w:val="99"/>
    <w:rPr>
      <w:color w:val="auto"/>
    </w:rPr>
  </w:style>
  <w:style w:type="paragraph" w:customStyle="1" w:styleId="109">
    <w:name w:val="SP.9.208934"/>
    <w:basedOn w:val="81"/>
    <w:next w:val="81"/>
    <w:qFormat/>
    <w:uiPriority w:val="99"/>
    <w:rPr>
      <w:color w:val="auto"/>
    </w:rPr>
  </w:style>
  <w:style w:type="paragraph" w:customStyle="1" w:styleId="110">
    <w:name w:val="SP.12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1">
    <w:name w:val="SP.9.1106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2">
    <w:name w:val="SP.10.65565"/>
    <w:basedOn w:val="81"/>
    <w:next w:val="81"/>
    <w:qFormat/>
    <w:uiPriority w:val="99"/>
    <w:rPr>
      <w:color w:val="auto"/>
    </w:rPr>
  </w:style>
  <w:style w:type="paragraph" w:customStyle="1" w:styleId="113">
    <w:name w:val="SP.10.110632"/>
    <w:basedOn w:val="81"/>
    <w:next w:val="81"/>
    <w:qFormat/>
    <w:uiPriority w:val="99"/>
    <w:rPr>
      <w:color w:val="auto"/>
    </w:rPr>
  </w:style>
  <w:style w:type="paragraph" w:customStyle="1" w:styleId="114">
    <w:name w:val="SP.10.319527"/>
    <w:basedOn w:val="81"/>
    <w:next w:val="81"/>
    <w:qFormat/>
    <w:uiPriority w:val="99"/>
    <w:rPr>
      <w:color w:val="auto"/>
    </w:rPr>
  </w:style>
  <w:style w:type="paragraph" w:customStyle="1" w:styleId="115">
    <w:name w:val="TableTitle a"/>
    <w:next w:val="11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11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117">
    <w:name w:val="SP.13.2089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8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19">
    <w:name w:val="SP.15.3196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0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121">
    <w:name w:val="SP.7.94231"/>
    <w:basedOn w:val="81"/>
    <w:next w:val="81"/>
    <w:qFormat/>
    <w:uiPriority w:val="99"/>
    <w:rPr>
      <w:color w:val="auto"/>
    </w:rPr>
  </w:style>
  <w:style w:type="paragraph" w:customStyle="1" w:styleId="12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123">
    <w:name w:val="SP.10.200705"/>
    <w:basedOn w:val="81"/>
    <w:next w:val="81"/>
    <w:qFormat/>
    <w:uiPriority w:val="99"/>
    <w:rPr>
      <w:color w:val="auto"/>
    </w:rPr>
  </w:style>
  <w:style w:type="paragraph" w:customStyle="1" w:styleId="124">
    <w:name w:val="SP.8.147466"/>
    <w:basedOn w:val="81"/>
    <w:next w:val="81"/>
    <w:qFormat/>
    <w:uiPriority w:val="99"/>
    <w:rPr>
      <w:color w:val="auto"/>
    </w:rPr>
  </w:style>
  <w:style w:type="paragraph" w:customStyle="1" w:styleId="125">
    <w:name w:val="SP.9.221188"/>
    <w:basedOn w:val="81"/>
    <w:next w:val="81"/>
    <w:qFormat/>
    <w:uiPriority w:val="99"/>
    <w:rPr>
      <w:color w:val="auto"/>
    </w:rPr>
  </w:style>
  <w:style w:type="paragraph" w:customStyle="1" w:styleId="126">
    <w:name w:val="TableTitle"/>
    <w:next w:val="11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27">
    <w:name w:val="SP.9.29495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8">
    <w:name w:val="SP.11.311301"/>
    <w:basedOn w:val="81"/>
    <w:next w:val="81"/>
    <w:qFormat/>
    <w:uiPriority w:val="99"/>
    <w:rPr>
      <w:color w:val="auto"/>
    </w:rPr>
  </w:style>
  <w:style w:type="paragraph" w:customStyle="1" w:styleId="129">
    <w:name w:val="SP.10.155660"/>
    <w:basedOn w:val="81"/>
    <w:next w:val="81"/>
    <w:qFormat/>
    <w:uiPriority w:val="99"/>
    <w:rPr>
      <w:color w:val="auto"/>
    </w:rPr>
  </w:style>
  <w:style w:type="paragraph" w:customStyle="1" w:styleId="130">
    <w:name w:val="색상형 음영 - 강조색 11"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3.282660"/>
    <w:basedOn w:val="81"/>
    <w:next w:val="81"/>
    <w:qFormat/>
    <w:uiPriority w:val="99"/>
    <w:rPr>
      <w:color w:val="auto"/>
    </w:rPr>
  </w:style>
  <w:style w:type="paragraph" w:customStyle="1" w:styleId="132">
    <w:name w:val="SP.10.270375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33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134">
    <w:name w:val="SP.9.294924"/>
    <w:basedOn w:val="81"/>
    <w:next w:val="81"/>
    <w:qFormat/>
    <w:uiPriority w:val="99"/>
    <w:rPr>
      <w:color w:val="auto"/>
    </w:rPr>
  </w:style>
  <w:style w:type="paragraph" w:customStyle="1" w:styleId="135">
    <w:name w:val="SP.10.110649"/>
    <w:basedOn w:val="81"/>
    <w:next w:val="81"/>
    <w:qFormat/>
    <w:uiPriority w:val="99"/>
    <w:rPr>
      <w:color w:val="auto"/>
    </w:rPr>
  </w:style>
  <w:style w:type="paragraph" w:customStyle="1" w:styleId="136">
    <w:name w:val="SP.13.20893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7">
    <w:name w:val="SP.10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8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139">
    <w:name w:val="SP.10.15565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0">
    <w:name w:val="T3"/>
    <w:basedOn w:val="14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14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42">
    <w:name w:val="SP.9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3">
    <w:name w:val="SP.8.147495"/>
    <w:basedOn w:val="81"/>
    <w:next w:val="81"/>
    <w:qFormat/>
    <w:uiPriority w:val="99"/>
    <w:rPr>
      <w:color w:val="auto"/>
    </w:rPr>
  </w:style>
  <w:style w:type="paragraph" w:customStyle="1" w:styleId="144">
    <w:name w:val="SP.10.27034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45">
    <w:name w:val="T2"/>
    <w:basedOn w:val="141"/>
    <w:qFormat/>
    <w:uiPriority w:val="0"/>
    <w:pPr>
      <w:spacing w:after="240"/>
      <w:ind w:left="720" w:right="720"/>
    </w:pPr>
  </w:style>
  <w:style w:type="paragraph" w:customStyle="1" w:styleId="146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4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148">
    <w:name w:val="SP.10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9">
    <w:name w:val="SP.15.31963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0">
    <w:name w:val="SP.10.151592"/>
    <w:basedOn w:val="81"/>
    <w:next w:val="81"/>
    <w:qFormat/>
    <w:uiPriority w:val="99"/>
    <w:rPr>
      <w:color w:val="auto"/>
    </w:rPr>
  </w:style>
  <w:style w:type="paragraph" w:customStyle="1" w:styleId="151">
    <w:name w:val="SP.11.225285"/>
    <w:basedOn w:val="81"/>
    <w:next w:val="81"/>
    <w:qFormat/>
    <w:uiPriority w:val="99"/>
    <w:rPr>
      <w:color w:val="auto"/>
    </w:rPr>
  </w:style>
  <w:style w:type="paragraph" w:customStyle="1" w:styleId="152">
    <w:name w:val="SP.9.110597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3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paragraph" w:customStyle="1" w:styleId="154">
    <w:name w:val="SP.7.94232"/>
    <w:basedOn w:val="81"/>
    <w:next w:val="81"/>
    <w:qFormat/>
    <w:uiPriority w:val="99"/>
    <w:rPr>
      <w:color w:val="auto"/>
    </w:rPr>
  </w:style>
  <w:style w:type="paragraph" w:customStyle="1" w:styleId="155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6">
    <w:name w:val="SP.9.9011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57">
    <w:name w:val="SP.10.151553"/>
    <w:basedOn w:val="81"/>
    <w:next w:val="81"/>
    <w:qFormat/>
    <w:uiPriority w:val="99"/>
    <w:rPr>
      <w:color w:val="auto"/>
    </w:rPr>
  </w:style>
  <w:style w:type="paragraph" w:customStyle="1" w:styleId="158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9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60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161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162">
    <w:name w:val="SP.11.20892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3">
    <w:name w:val="SP.10.27037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4">
    <w:name w:val="SP.10.65546"/>
    <w:basedOn w:val="81"/>
    <w:next w:val="81"/>
    <w:qFormat/>
    <w:uiPriority w:val="99"/>
    <w:rPr>
      <w:color w:val="auto"/>
    </w:rPr>
  </w:style>
  <w:style w:type="paragraph" w:customStyle="1" w:styleId="165">
    <w:name w:val="SP.9.90150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6">
    <w:name w:val="SP.9.11063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7">
    <w:name w:val="SP.9.29491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8">
    <w:name w:val="SP.9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9">
    <w:name w:val="SP.13.2089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0">
    <w:name w:val="DL2"/>
    <w:qFormat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71">
    <w:name w:val="SP.10.20072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2">
    <w:name w:val="SP.4.65597"/>
    <w:basedOn w:val="81"/>
    <w:next w:val="81"/>
    <w:qFormat/>
    <w:uiPriority w:val="99"/>
    <w:rPr>
      <w:color w:val="auto"/>
    </w:rPr>
  </w:style>
  <w:style w:type="paragraph" w:customStyle="1" w:styleId="173">
    <w:name w:val="SP.15.31966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4">
    <w:name w:val="SP.9.29496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5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76">
    <w:name w:val="SP.10.2007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7">
    <w:name w:val="SP.11.311307"/>
    <w:basedOn w:val="81"/>
    <w:next w:val="81"/>
    <w:qFormat/>
    <w:uiPriority w:val="99"/>
    <w:rPr>
      <w:color w:val="auto"/>
    </w:rPr>
  </w:style>
  <w:style w:type="paragraph" w:customStyle="1" w:styleId="178">
    <w:name w:val="SP.13.208927"/>
    <w:basedOn w:val="81"/>
    <w:next w:val="81"/>
    <w:qFormat/>
    <w:uiPriority w:val="99"/>
    <w:rPr>
      <w:color w:val="auto"/>
    </w:rPr>
  </w:style>
  <w:style w:type="paragraph" w:customStyle="1" w:styleId="179">
    <w:name w:val="SP.7.94213"/>
    <w:basedOn w:val="81"/>
    <w:next w:val="81"/>
    <w:qFormat/>
    <w:uiPriority w:val="99"/>
    <w:rPr>
      <w:color w:val="auto"/>
    </w:rPr>
  </w:style>
  <w:style w:type="paragraph" w:customStyle="1" w:styleId="180">
    <w:name w:val="SP.10.319498"/>
    <w:basedOn w:val="81"/>
    <w:next w:val="81"/>
    <w:qFormat/>
    <w:uiPriority w:val="99"/>
    <w:rPr>
      <w:color w:val="auto"/>
    </w:rPr>
  </w:style>
  <w:style w:type="paragraph" w:customStyle="1" w:styleId="181">
    <w:name w:val="SP.10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2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83">
    <w:name w:val="SP.9.294913"/>
    <w:basedOn w:val="81"/>
    <w:next w:val="81"/>
    <w:qFormat/>
    <w:uiPriority w:val="99"/>
    <w:rPr>
      <w:color w:val="auto"/>
    </w:rPr>
  </w:style>
  <w:style w:type="paragraph" w:customStyle="1" w:styleId="184">
    <w:name w:val="SP.9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5">
    <w:name w:val="SP.11.307228"/>
    <w:basedOn w:val="81"/>
    <w:next w:val="81"/>
    <w:qFormat/>
    <w:uiPriority w:val="99"/>
    <w:rPr>
      <w:color w:val="auto"/>
    </w:rPr>
  </w:style>
  <w:style w:type="paragraph" w:customStyle="1" w:styleId="186">
    <w:name w:val="SP.11.225307"/>
    <w:basedOn w:val="81"/>
    <w:next w:val="81"/>
    <w:qFormat/>
    <w:uiPriority w:val="99"/>
    <w:rPr>
      <w:color w:val="auto"/>
    </w:rPr>
  </w:style>
  <w:style w:type="paragraph" w:customStyle="1" w:styleId="187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88">
    <w:name w:val="SP.7.94218"/>
    <w:basedOn w:val="81"/>
    <w:next w:val="81"/>
    <w:qFormat/>
    <w:uiPriority w:val="99"/>
    <w:rPr>
      <w:color w:val="auto"/>
    </w:rPr>
  </w:style>
  <w:style w:type="paragraph" w:customStyle="1" w:styleId="189">
    <w:name w:val="SP.10.155649"/>
    <w:basedOn w:val="81"/>
    <w:next w:val="81"/>
    <w:qFormat/>
    <w:uiPriority w:val="99"/>
    <w:rPr>
      <w:color w:val="auto"/>
    </w:rPr>
  </w:style>
  <w:style w:type="paragraph" w:customStyle="1" w:styleId="190">
    <w:name w:val="Acronym"/>
    <w:qFormat/>
    <w:uiPriority w:val="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91">
    <w:name w:val="SP.10.6557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92">
    <w:name w:val="SP.9.9015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93">
    <w:name w:val="SP.10.319489"/>
    <w:basedOn w:val="81"/>
    <w:next w:val="81"/>
    <w:qFormat/>
    <w:uiPriority w:val="99"/>
    <w:rPr>
      <w:color w:val="auto"/>
    </w:rPr>
  </w:style>
  <w:style w:type="paragraph" w:customStyle="1" w:styleId="194">
    <w:name w:val="SP.11.311324"/>
    <w:basedOn w:val="81"/>
    <w:next w:val="81"/>
    <w:qFormat/>
    <w:uiPriority w:val="99"/>
    <w:rPr>
      <w:color w:val="auto"/>
    </w:rPr>
  </w:style>
  <w:style w:type="paragraph" w:customStyle="1" w:styleId="195">
    <w:name w:val="书目1"/>
    <w:basedOn w:val="1"/>
    <w:next w:val="1"/>
    <w:unhideWhenUsed/>
    <w:qFormat/>
    <w:uiPriority w:val="37"/>
  </w:style>
  <w:style w:type="paragraph" w:customStyle="1" w:styleId="196">
    <w:name w:val="SP.10.110604"/>
    <w:basedOn w:val="81"/>
    <w:next w:val="81"/>
    <w:qFormat/>
    <w:uiPriority w:val="99"/>
    <w:rPr>
      <w:color w:val="auto"/>
    </w:rPr>
  </w:style>
  <w:style w:type="paragraph" w:customStyle="1" w:styleId="19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98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199">
    <w:name w:val="SP.9.2949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0">
    <w:name w:val="SP.13.209322"/>
    <w:basedOn w:val="81"/>
    <w:next w:val="81"/>
    <w:qFormat/>
    <w:uiPriority w:val="99"/>
    <w:rPr>
      <w:color w:val="auto"/>
    </w:rPr>
  </w:style>
  <w:style w:type="paragraph" w:customStyle="1" w:styleId="201">
    <w:name w:val="SP.12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2">
    <w:name w:val="SP.10.27034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03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204">
    <w:name w:val="SP.15.31976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5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宋体" w:cs="Arial"/>
      <w:color w:val="000000"/>
      <w:w w:val="0"/>
      <w:sz w:val="16"/>
      <w:szCs w:val="16"/>
      <w:lang w:val="en-US" w:eastAsia="en-US" w:bidi="ar-SA"/>
    </w:rPr>
  </w:style>
  <w:style w:type="paragraph" w:customStyle="1" w:styleId="206">
    <w:name w:val="SP.4.65575"/>
    <w:basedOn w:val="81"/>
    <w:next w:val="81"/>
    <w:qFormat/>
    <w:uiPriority w:val="99"/>
    <w:rPr>
      <w:color w:val="auto"/>
    </w:rPr>
  </w:style>
  <w:style w:type="paragraph" w:customStyle="1" w:styleId="207">
    <w:name w:val="SP.8.147468"/>
    <w:basedOn w:val="81"/>
    <w:next w:val="81"/>
    <w:qFormat/>
    <w:uiPriority w:val="99"/>
    <w:rPr>
      <w:color w:val="auto"/>
    </w:rPr>
  </w:style>
  <w:style w:type="paragraph" w:customStyle="1" w:styleId="208">
    <w:name w:val="修订1"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209">
    <w:name w:val="SP.10.65548"/>
    <w:basedOn w:val="81"/>
    <w:next w:val="81"/>
    <w:qFormat/>
    <w:uiPriority w:val="99"/>
    <w:rPr>
      <w:color w:val="auto"/>
    </w:rPr>
  </w:style>
  <w:style w:type="paragraph" w:customStyle="1" w:styleId="210">
    <w:name w:val="SP.11.20892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11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2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3">
    <w:name w:val="H4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14">
    <w:name w:val="SP.10.155688"/>
    <w:basedOn w:val="81"/>
    <w:next w:val="81"/>
    <w:qFormat/>
    <w:uiPriority w:val="99"/>
    <w:rPr>
      <w:color w:val="auto"/>
    </w:rPr>
  </w:style>
  <w:style w:type="paragraph" w:customStyle="1" w:styleId="215">
    <w:name w:val="H1"/>
    <w:next w:val="89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216">
    <w:name w:val="SP.10.20071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7">
    <w:name w:val="SP.10.110631"/>
    <w:basedOn w:val="81"/>
    <w:next w:val="81"/>
    <w:qFormat/>
    <w:uiPriority w:val="99"/>
    <w:rPr>
      <w:color w:val="auto"/>
    </w:rPr>
  </w:style>
  <w:style w:type="paragraph" w:customStyle="1" w:styleId="218">
    <w:name w:val="SP.15.31963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9">
    <w:name w:val="SP.12.22118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0">
    <w:name w:val="SP.9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1">
    <w:name w:val="SP.10.2007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2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223">
    <w:name w:val="H2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224">
    <w:name w:val="SP.9.9012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25">
    <w:name w:val="SP.13.20890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6">
    <w:name w:val="SP.8.147494"/>
    <w:basedOn w:val="81"/>
    <w:next w:val="81"/>
    <w:qFormat/>
    <w:uiPriority w:val="99"/>
    <w:rPr>
      <w:color w:val="auto"/>
    </w:rPr>
  </w:style>
  <w:style w:type="paragraph" w:customStyle="1" w:styleId="227">
    <w:name w:val="AH3"/>
    <w:next w:val="89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228">
    <w:name w:val="SP.12.22118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9">
    <w:name w:val="SP.12.221207"/>
    <w:basedOn w:val="81"/>
    <w:next w:val="81"/>
    <w:qFormat/>
    <w:uiPriority w:val="99"/>
    <w:rPr>
      <w:color w:val="auto"/>
    </w:rPr>
  </w:style>
  <w:style w:type="paragraph" w:customStyle="1" w:styleId="230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1">
    <w:name w:val="SP.13.208905"/>
    <w:basedOn w:val="81"/>
    <w:next w:val="81"/>
    <w:qFormat/>
    <w:uiPriority w:val="99"/>
    <w:rPr>
      <w:color w:val="auto"/>
    </w:rPr>
  </w:style>
  <w:style w:type="paragraph" w:customStyle="1" w:styleId="232">
    <w:name w:val="SP.10.319528"/>
    <w:basedOn w:val="81"/>
    <w:next w:val="81"/>
    <w:qFormat/>
    <w:uiPriority w:val="99"/>
    <w:rPr>
      <w:color w:val="auto"/>
    </w:rPr>
  </w:style>
  <w:style w:type="paragraph" w:customStyle="1" w:styleId="233">
    <w:name w:val="SP.10.65575"/>
    <w:basedOn w:val="81"/>
    <w:next w:val="81"/>
    <w:qFormat/>
    <w:uiPriority w:val="99"/>
    <w:rPr>
      <w:color w:val="auto"/>
    </w:rPr>
  </w:style>
  <w:style w:type="paragraph" w:customStyle="1" w:styleId="234">
    <w:name w:val="SP.9.294975"/>
    <w:basedOn w:val="81"/>
    <w:next w:val="81"/>
    <w:qFormat/>
    <w:uiPriority w:val="99"/>
    <w:rPr>
      <w:color w:val="auto"/>
    </w:rPr>
  </w:style>
  <w:style w:type="paragraph" w:customStyle="1" w:styleId="235">
    <w:name w:val="SP.9.208948"/>
    <w:basedOn w:val="81"/>
    <w:next w:val="81"/>
    <w:qFormat/>
    <w:uiPriority w:val="99"/>
    <w:rPr>
      <w:color w:val="auto"/>
    </w:rPr>
  </w:style>
  <w:style w:type="paragraph" w:customStyle="1" w:styleId="236">
    <w:name w:val="SP.9.221185"/>
    <w:basedOn w:val="81"/>
    <w:next w:val="81"/>
    <w:qFormat/>
    <w:uiPriority w:val="99"/>
    <w:rPr>
      <w:color w:val="auto"/>
    </w:rPr>
  </w:style>
  <w:style w:type="paragraph" w:customStyle="1" w:styleId="237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8">
    <w:name w:val="SP.9.90119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9">
    <w:name w:val="H3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40">
    <w:name w:val="SP.9.2212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1">
    <w:name w:val="Body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242">
    <w:name w:val="SP.9.208906"/>
    <w:basedOn w:val="81"/>
    <w:next w:val="81"/>
    <w:qFormat/>
    <w:uiPriority w:val="99"/>
    <w:rPr>
      <w:color w:val="auto"/>
    </w:rPr>
  </w:style>
  <w:style w:type="paragraph" w:customStyle="1" w:styleId="243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2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245">
    <w:name w:val="SP.9.11059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6">
    <w:name w:val="SP.9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7">
    <w:name w:val="SP.11.20890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248">
    <w:name w:val="fontstyle21"/>
    <w:qFormat/>
    <w:uiPriority w:val="0"/>
    <w:rPr>
      <w:rFonts w:hint="default" w:ascii="TimesNewRomanPS-ItalicMT" w:hAnsi="TimesNewRomanPS-ItalicMT"/>
      <w:i/>
      <w:iCs/>
      <w:color w:val="000000"/>
      <w:sz w:val="18"/>
      <w:szCs w:val="18"/>
    </w:rPr>
  </w:style>
  <w:style w:type="character" w:customStyle="1" w:styleId="249">
    <w:name w:val="fontstyle31"/>
    <w:qFormat/>
    <w:uiPriority w:val="0"/>
    <w:rPr>
      <w:rFonts w:hint="default" w:ascii="SymbolMT" w:hAnsi="Symbo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D4FC5-815D-4BF6-975D-7F25711EC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2241</Words>
  <Characters>12775</Characters>
  <Lines>106</Lines>
  <Paragraphs>29</Paragraphs>
  <TotalTime>10</TotalTime>
  <ScaleCrop>false</ScaleCrop>
  <LinksUpToDate>false</LinksUpToDate>
  <CharactersWithSpaces>14987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2019-11-13T18:26:00Z</dcterms:created>
  <dcterms:modified xsi:type="dcterms:W3CDTF">2020-05-26T15:06:47Z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