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rFonts w:hint="default" w:eastAsia="宋体"/>
                <w:lang w:val="en-US" w:eastAsia="zh-CN"/>
              </w:rPr>
            </w:pPr>
            <w:r>
              <w:rPr>
                <w:lang w:eastAsia="ko-KR"/>
              </w:rPr>
              <w:t>Comment Resolutions for 11</w:t>
            </w:r>
            <w:r>
              <w:rPr>
                <w:rFonts w:hint="eastAsia" w:eastAsia="宋体"/>
                <w:lang w:val="en-US" w:eastAsia="zh-CN"/>
              </w:rPr>
              <w:t>bd</w:t>
            </w:r>
            <w:r>
              <w:rPr>
                <w:lang w:eastAsia="ko-KR"/>
              </w:rPr>
              <w:t xml:space="preserve"> D</w:t>
            </w:r>
            <w:r>
              <w:rPr>
                <w:rFonts w:hint="eastAsia" w:eastAsia="宋体"/>
                <w:lang w:val="en-US" w:eastAsia="zh-CN"/>
              </w:rPr>
              <w:t>0.3</w:t>
            </w:r>
            <w:r>
              <w:rPr>
                <w:lang w:eastAsia="ko-KR"/>
              </w:rPr>
              <w:t xml:space="preserve"> PHY Service Interface Section </w:t>
            </w:r>
            <w:r>
              <w:rPr>
                <w:rFonts w:hint="eastAsia" w:eastAsia="宋体"/>
                <w:lang w:val="en-US" w:eastAsia="zh-CN"/>
              </w:rPr>
              <w:t>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5</w:t>
            </w:r>
            <w:r>
              <w:rPr>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hint="eastAsia" w:eastAsia="宋体"/>
          <w:sz w:val="20"/>
          <w:lang w:val="en-US" w:eastAsia="zh-CN"/>
        </w:rPr>
        <w:t xml:space="preserve">24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related to PHY Service Interface </w:t>
      </w:r>
      <w:r>
        <w:rPr>
          <w:sz w:val="20"/>
          <w:lang w:eastAsia="ko-KR"/>
        </w:rPr>
        <w:t>of IEEE P802.11</w:t>
      </w:r>
      <w:r>
        <w:rPr>
          <w:rFonts w:hint="eastAsia" w:eastAsia="宋体"/>
          <w:sz w:val="20"/>
          <w:lang w:val="en-US" w:eastAsia="zh-CN"/>
        </w:rPr>
        <w:t>bd</w:t>
      </w:r>
      <w:r>
        <w:rPr>
          <w:sz w:val="20"/>
          <w:lang w:eastAsia="ko-KR"/>
        </w:rPr>
        <w:t xml:space="preserve"> D</w:t>
      </w:r>
      <w:r>
        <w:rPr>
          <w:rFonts w:hint="eastAsia" w:eastAsia="宋体"/>
          <w:sz w:val="20"/>
          <w:lang w:val="en-US" w:eastAsia="zh-CN"/>
        </w:rPr>
        <w:t>0.3 (unapproved)</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bd</w:t>
      </w:r>
      <w:r>
        <w:rPr>
          <w:rFonts w:hint="eastAsia" w:eastAsia="宋体"/>
          <w:sz w:val="20"/>
          <w:lang w:eastAsia="zh-CN"/>
        </w:rPr>
        <w:t xml:space="preserve"> D</w:t>
      </w:r>
      <w:r>
        <w:rPr>
          <w:rFonts w:hint="eastAsia" w:eastAsia="宋体"/>
          <w:sz w:val="20"/>
          <w:lang w:val="en-US" w:eastAsia="zh-CN"/>
        </w:rPr>
        <w:t>0.3</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w:t>
      </w:r>
      <w:r>
        <w:rPr>
          <w:rFonts w:hint="eastAsia" w:eastAsia="宋体"/>
          <w:sz w:val="20"/>
          <w:lang w:val="en-US" w:eastAsia="zh-CN"/>
        </w:rPr>
        <w:t>bd</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4"/>
        <w:numPr>
          <w:ilvl w:val="0"/>
          <w:numId w:val="1"/>
        </w:numPr>
        <w:ind w:leftChars="0"/>
        <w:rPr>
          <w:sz w:val="20"/>
        </w:rPr>
      </w:pPr>
      <w:r>
        <w:rPr>
          <w:rFonts w:hint="eastAsia" w:eastAsia="宋体"/>
          <w:sz w:val="20"/>
          <w:lang w:eastAsia="zh-CN"/>
        </w:rPr>
        <w:t>CIDs:</w:t>
      </w:r>
      <w:r>
        <w:rPr>
          <w:rFonts w:eastAsia="宋体"/>
          <w:sz w:val="20"/>
          <w:lang w:eastAsia="zh-CN"/>
        </w:rPr>
        <w:t xml:space="preserve"> </w:t>
      </w:r>
      <w:r>
        <w:rPr>
          <w:rFonts w:hint="eastAsia" w:eastAsia="宋体"/>
          <w:sz w:val="20"/>
          <w:lang w:val="en-US" w:eastAsia="zh-CN"/>
        </w:rPr>
        <w:t xml:space="preserve">8, 10, 101, 102, 103, 104, 105, 124, 135, 126, 127, 129, 130, 187, 189, 190, </w:t>
      </w:r>
      <w:r>
        <w:rPr>
          <w:rFonts w:hint="eastAsia" w:eastAsia="宋体"/>
          <w:strike w:val="0"/>
          <w:dstrike w:val="0"/>
          <w:color w:val="auto"/>
          <w:sz w:val="20"/>
          <w:lang w:val="en-US" w:eastAsia="zh-CN"/>
        </w:rPr>
        <w:t>248,</w:t>
      </w:r>
      <w:r>
        <w:rPr>
          <w:rFonts w:hint="eastAsia" w:eastAsia="宋体"/>
          <w:sz w:val="20"/>
          <w:lang w:val="en-US" w:eastAsia="zh-CN"/>
        </w:rPr>
        <w:t xml:space="preserve"> 250, 251, 252, 253, 255, 257, 258 </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4"/>
        <w:numPr>
          <w:ilvl w:val="0"/>
          <w:numId w:val="2"/>
        </w:numPr>
        <w:spacing w:after="120"/>
        <w:ind w:leftChars="0"/>
        <w:jc w:val="both"/>
        <w:rPr>
          <w:rFonts w:eastAsia="宋体"/>
          <w:sz w:val="18"/>
          <w:szCs w:val="18"/>
          <w:lang w:eastAsia="zh-CN"/>
        </w:rPr>
      </w:pPr>
      <w:r>
        <w:rPr>
          <w:sz w:val="18"/>
          <w:szCs w:val="18"/>
        </w:rPr>
        <w:t>R0, comment resolutions initial draft.</w:t>
      </w:r>
    </w:p>
    <w:p>
      <w:pPr>
        <w:pStyle w:val="104"/>
        <w:numPr>
          <w:ilvl w:val="0"/>
          <w:numId w:val="2"/>
        </w:numPr>
        <w:spacing w:after="120"/>
        <w:ind w:leftChars="0"/>
        <w:jc w:val="both"/>
        <w:rPr>
          <w:rFonts w:eastAsia="宋体"/>
          <w:sz w:val="18"/>
          <w:szCs w:val="18"/>
          <w:lang w:eastAsia="zh-CN"/>
        </w:rPr>
      </w:pPr>
      <w:r>
        <w:rPr>
          <w:rFonts w:hint="eastAsia" w:eastAsia="宋体"/>
          <w:sz w:val="18"/>
          <w:szCs w:val="18"/>
          <w:lang w:val="en-US" w:eastAsia="zh-CN"/>
        </w:rPr>
        <w:t>R1, update resolutions to duplicated CIDs and update resolution to CID 258</w:t>
      </w:r>
      <w:bookmarkStart w:id="0" w:name="_GoBack"/>
      <w:bookmarkEnd w:id="0"/>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bd</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bd</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bd</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bd</w:t>
      </w:r>
      <w:r>
        <w:rPr>
          <w:b/>
          <w:bCs/>
          <w:i/>
          <w:iCs/>
          <w:lang w:eastAsia="ko-KR"/>
        </w:rPr>
        <w:t xml:space="preserve"> Editor: Editing instructions preceded by “TG</w:t>
      </w:r>
      <w:r>
        <w:rPr>
          <w:rFonts w:hint="eastAsia" w:eastAsia="宋体"/>
          <w:b/>
          <w:bCs/>
          <w:i/>
          <w:iCs/>
          <w:lang w:val="en-US" w:eastAsia="zh-CN"/>
        </w:rPr>
        <w:t>bd</w:t>
      </w:r>
      <w:r>
        <w:rPr>
          <w:b/>
          <w:bCs/>
          <w:i/>
          <w:iCs/>
          <w:lang w:eastAsia="ko-KR"/>
        </w:rPr>
        <w:t xml:space="preserve"> Editor” are instructions to the TG</w:t>
      </w:r>
      <w:r>
        <w:rPr>
          <w:rFonts w:hint="eastAsia" w:eastAsia="宋体"/>
          <w:b/>
          <w:bCs/>
          <w:i/>
          <w:iCs/>
          <w:lang w:val="en-US" w:eastAsia="zh-CN"/>
        </w:rPr>
        <w:t>bd</w:t>
      </w:r>
      <w:r>
        <w:rPr>
          <w:b/>
          <w:bCs/>
          <w:i/>
          <w:iCs/>
          <w:lang w:eastAsia="ko-KR"/>
        </w:rPr>
        <w:t xml:space="preserve"> editor to modify existing material in the TG</w:t>
      </w:r>
      <w:r>
        <w:rPr>
          <w:rFonts w:hint="eastAsia" w:eastAsia="宋体"/>
          <w:b/>
          <w:bCs/>
          <w:i/>
          <w:iCs/>
          <w:lang w:val="en-US" w:eastAsia="zh-CN"/>
        </w:rPr>
        <w:t>bd</w:t>
      </w:r>
      <w:r>
        <w:rPr>
          <w:b/>
          <w:bCs/>
          <w:i/>
          <w:iCs/>
          <w:lang w:eastAsia="ko-KR"/>
        </w:rPr>
        <w:t xml:space="preserve"> draft.  As a result of adopting the changes, the TG</w:t>
      </w:r>
      <w:r>
        <w:rPr>
          <w:rFonts w:hint="eastAsia" w:eastAsia="宋体"/>
          <w:b/>
          <w:bCs/>
          <w:i/>
          <w:iCs/>
          <w:lang w:val="en-US" w:eastAsia="zh-CN"/>
        </w:rPr>
        <w:t>bd</w:t>
      </w:r>
      <w:r>
        <w:rPr>
          <w:b/>
          <w:bCs/>
          <w:i/>
          <w:iCs/>
          <w:lang w:eastAsia="ko-KR"/>
        </w:rPr>
        <w:t xml:space="preserve"> editor will execute the instructions rather than copy them to the TG</w:t>
      </w:r>
      <w:r>
        <w:rPr>
          <w:rFonts w:hint="eastAsia" w:eastAsia="宋体"/>
          <w:b/>
          <w:bCs/>
          <w:i/>
          <w:iCs/>
          <w:lang w:val="en-US" w:eastAsia="zh-CN"/>
        </w:rPr>
        <w:t>bd</w:t>
      </w:r>
      <w:r>
        <w:rPr>
          <w:b/>
          <w:bCs/>
          <w:i/>
          <w:iCs/>
          <w:lang w:eastAsia="ko-KR"/>
        </w:rPr>
        <w:t xml:space="preserve"> Draft.</w:t>
      </w: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812"/>
        <w:gridCol w:w="2706"/>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r>
              <w:rPr>
                <w:rFonts w:hint="default" w:ascii="Arial" w:hAnsi="Arial" w:eastAsia="宋体" w:cs="Arial"/>
                <w:i w:val="0"/>
                <w:color w:val="000000"/>
                <w:kern w:val="0"/>
                <w:sz w:val="16"/>
                <w:szCs w:val="16"/>
                <w:u w:val="none"/>
                <w:lang w:val="en-US" w:eastAsia="zh-CN" w:bidi="ar"/>
              </w:rPr>
              <w:t>101</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25.33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"The NGV PHY data subcarriers are modulated using ..., 16-QAM DCM, 64-QAM, and 256-QAM." "16-QAM DCM" is not defined in 11bd.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Remove "16-QAM DCM"</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The addressed spec text in actually under sub-clause 32.1 (Introduction to NGV PHY). But the author of this resolution agrees on the comment that 16-QAM is not defined SFD or any approved proposal.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124</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25.33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"The NGV PHY data subcarriers are modulated using ..., 16-QAM DCM, 64-QAM, and 256-QAM." "16-QAM DCM" is not defined in 11bd. Need to remove the modulation.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"16-QAM DCM" from the modulation list.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101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248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27.24</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add NOTE</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For example, NOTE--The Length field of the L-SIG in NGV PPDUs is defined in Equation (32-8) using the TXTIME value defined by</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Equation (32-46).</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in principle on the comment. The proposed modification to the spec text is provided as part of this resolution. </w:t>
            </w:r>
          </w:p>
          <w:p>
            <w:pPr>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Please implement the proposed spec text modification as part of resolution to CID 247 as in document 11-20/0786r0.</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102</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Since LDPC is the only encoding method for data, FEC_CODING is not needed.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"FEC_CODING".</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FEC_CODING is not necessary since LDPC is the only coding scheme in 11bd.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Since LDPC is the only encoding method for data, FEC_CODING is not needed.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"FEC_CODING".</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187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If the FORMAT is NGV, then only LDPC coding for the data portion of a PPDU is allowed according to SFD.</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Hence, it is unneccessary to define a parameter "FEC Coding" that can take the values BCC_CODING and LDPC_CODING.</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parameter "FEC Coding" and row in Table 32-1</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FEC_CODING in the table. LDPC is the only mode to be indicated for data portion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103</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the MCS of NGV is defined from 0 to 10, need to update the MCS range.</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Update "TBD" to "10"</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126</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the MCS of NGV is defined from 0 to 10, need to update the MCS range. DCM is one of the modulation, no need extra row for DCM.</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Update "TBD" to "10", and Remove the row of "DCM&lt;TBD&gt;"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e.g. 0-9.  </w:t>
            </w:r>
          </w:p>
          <w:p>
            <w:pPr>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replace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TBD</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with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9</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and remove the row of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DCM &lt;TBD&gt;</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251</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fill TBD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TBD should be 10</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104</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28.42</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DCM is one of the modulation, no need extra row for DCM.</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"DCM&lt;TBD&gt;"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252</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28.42</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DCM in the table. DCM is one of MCS elements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We agreed that LDPC is the only coding scheme for data portion of 11bd PPDU, BCC does not need.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the related sentence for BCC in the FCE_CODING column in table 32-1.</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"POWERBOOST" is determined based on Modulation, no need to indicate in TXVECTOR.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"POWERBOOST" entry.</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rPr>
                <w:rFonts w:hint="default" w:eastAsia="宋体" w:cs="Times New Roman"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framework document (11-19/0497r7):</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and DCM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598784419"/>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#63]</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680654472"/>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#64]</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L-STF and L-LTF power boost and repeated NGV-LTF only apply to 11bd transmission using 10MHz bandwidth, one spatial stream and BPSK modulation.</w:t>
            </w:r>
          </w:p>
          <w:p>
            <w:pPr>
              <w:rPr>
                <w:rFonts w:hint="eastAsia" w:eastAsia="宋体" w:cs="Times New Roman" w:asciiTheme="minorHAnsi" w:hAnsiTheme="minorHAnsi"/>
                <w:b w:val="0"/>
                <w:bCs w:val="0"/>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851790448"/>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Jan20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[6]</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#77]</w:t>
            </w:r>
          </w:p>
          <w:p>
            <w:pPr>
              <w:textAlignment w:val="top"/>
              <w:rPr>
                <w:rFonts w:eastAsia="宋体" w:asciiTheme="minorHAnsi" w:hAnsiTheme="minorHAnsi"/>
                <w:color w:val="000000"/>
                <w:sz w:val="16"/>
                <w:szCs w:val="16"/>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Since power boost is clearly decided by MCS, Bandwidth and number of spatial streams, there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no need to define a TXVECTOR parameter for power boost.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"POWERBOOST" is determined based on Modulation, no need to indicate in TXVECTOR.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"POWERBOOST" entry.</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Refer to CID 105.</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29.43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The ''NUM_SS" is missing in Table 32-1.</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Add entires for "NUM_SS".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Agree in principle.  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 xml:space="preserve">framework document (11-19/0497r7): </w:t>
            </w:r>
          </w:p>
          <w:p>
            <w:pPr>
              <w:keepNext w:val="0"/>
              <w:keepLines w:val="0"/>
              <w:widowControl/>
              <w:suppressLineNumbers w:val="0"/>
              <w:jc w:val="both"/>
              <w:textAlignment w:val="top"/>
              <w:rPr>
                <w:rFonts w:hint="default"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11bd supports two spatial streams for unicast transmissions as an optional feature.</w:t>
            </w:r>
          </w:p>
          <w:p>
            <w:pPr>
              <w:keepNext w:val="0"/>
              <w:keepLines w:val="0"/>
              <w:widowControl/>
              <w:suppressLineNumbers w:val="0"/>
              <w:jc w:val="both"/>
              <w:textAlignment w:val="top"/>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492168495"/>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July19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[3]</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#26]</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The parameter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NUM_SS</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should be defined in the similar format as that defined in 11ac with max 2 spatial streams supported.</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implement the proposed spec text modification as part of resolution to CID 129 as in document 11-20/0786r0. </w:t>
            </w:r>
          </w:p>
        </w:tc>
      </w:tr>
    </w:tbl>
    <w:p>
      <w:pPr>
        <w:rPr>
          <w:b/>
          <w:bCs/>
          <w:i/>
          <w:iCs/>
          <w:lang w:eastAsia="ko-KR"/>
        </w:rPr>
      </w:pPr>
    </w:p>
    <w:p>
      <w:pPr>
        <w:rPr>
          <w:b/>
          <w:bCs/>
          <w:i/>
          <w:iCs/>
          <w:lang w:eastAsia="ko-KR"/>
        </w:rPr>
      </w:pPr>
    </w:p>
    <w:p>
      <w:pPr>
        <w:rPr>
          <w:b/>
          <w:bCs/>
          <w:i/>
          <w:iCs/>
          <w:lang w:eastAsia="ko-KR"/>
        </w:rPr>
      </w:pPr>
    </w:p>
    <w:p>
      <w:pPr>
        <w:rPr>
          <w:b/>
          <w:bCs/>
          <w:i/>
          <w:iCs/>
          <w:lang w:eastAsia="ko-KR"/>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48/129</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hint="eastAsia" w:eastAsia="宋体"/>
          <w:b/>
          <w:bCs/>
          <w:i/>
          <w:iCs/>
          <w:highlight w:val="yellow"/>
          <w:lang w:val="en-US" w:eastAsia="zh-CN"/>
        </w:rPr>
        <w:t>32.2.2</w:t>
      </w:r>
      <w:r>
        <w:rPr>
          <w:rFonts w:eastAsia="宋体"/>
          <w:b/>
          <w:bCs/>
          <w:i/>
          <w:iCs/>
          <w:highlight w:val="yellow"/>
          <w:lang w:eastAsia="zh-CN"/>
        </w:rPr>
        <w:t xml:space="preserve"> </w:t>
      </w:r>
      <w:r>
        <w:rPr>
          <w:rFonts w:hint="eastAsia" w:eastAsia="宋体"/>
          <w:b/>
          <w:bCs/>
          <w:i/>
          <w:iCs/>
          <w:highlight w:val="yellow"/>
          <w:lang w:val="en-US" w:eastAsia="zh-CN"/>
        </w:rPr>
        <w:t xml:space="preserve">(TXVECTOR and RXVECTOR parameters)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48 and 129 respectively</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hint="eastAsia" w:eastAsiaTheme="minorEastAsia"/>
          <w:b/>
          <w:sz w:val="21"/>
          <w:szCs w:val="21"/>
          <w:lang w:val="en-US" w:eastAsia="zh-CN"/>
        </w:rPr>
        <w:t>32.2.2</w:t>
      </w:r>
      <w:r>
        <w:rPr>
          <w:rFonts w:eastAsiaTheme="minorEastAsia"/>
          <w:b/>
          <w:sz w:val="21"/>
          <w:szCs w:val="21"/>
          <w:lang w:eastAsia="zh-CN"/>
        </w:rPr>
        <w:t xml:space="preserve"> </w:t>
      </w:r>
      <w:r>
        <w:rPr>
          <w:rFonts w:hint="eastAsia" w:eastAsiaTheme="minorEastAsia"/>
          <w:b/>
          <w:sz w:val="21"/>
          <w:szCs w:val="21"/>
          <w:lang w:val="en-US" w:eastAsia="zh-CN"/>
        </w:rPr>
        <w:t>TXVECTOR and RXVECTOR parameters</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spacing w:after="160" w:line="256" w:lineRule="auto"/>
        <w:jc w:val="center"/>
        <w:rPr>
          <w:rFonts w:hint="eastAsia" w:eastAsia="宋体" w:cs="Times New Roman"/>
          <w:b/>
          <w:bCs/>
          <w:color w:val="auto"/>
          <w:sz w:val="20"/>
          <w:szCs w:val="20"/>
          <w:lang w:val="en-US" w:eastAsia="zh-CN"/>
        </w:rPr>
      </w:pPr>
      <w:r>
        <w:rPr>
          <w:rFonts w:hint="eastAsia" w:eastAsia="宋体" w:cs="Times New Roman"/>
          <w:b/>
          <w:bCs/>
          <w:color w:val="auto"/>
          <w:sz w:val="20"/>
          <w:szCs w:val="20"/>
          <w:lang w:val="en-US" w:eastAsia="zh-CN"/>
        </w:rPr>
        <w:t>Table 32-1 -- TXVECTOR and RXVECTOR parameters</w:t>
      </w:r>
    </w:p>
    <w:tbl>
      <w:tblPr>
        <w:tblStyle w:val="13"/>
        <w:tblW w:w="9220" w:type="dxa"/>
        <w:jc w:val="center"/>
        <w:tblInd w:w="1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50"/>
        <w:gridCol w:w="2686"/>
        <w:gridCol w:w="5079"/>
        <w:gridCol w:w="503"/>
        <w:gridCol w:w="499"/>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535"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Parameter</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Condition</w:t>
            </w:r>
          </w:p>
        </w:tc>
        <w:tc>
          <w:tcPr>
            <w:tcW w:w="5079"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Value</w:t>
            </w:r>
          </w:p>
        </w:tc>
        <w:tc>
          <w:tcPr>
            <w:tcW w:w="503"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TXVECTOR</w:t>
            </w:r>
          </w:p>
        </w:tc>
        <w:tc>
          <w:tcPr>
            <w:tcW w:w="502" w:type="dxa"/>
            <w:gridSpan w:val="2"/>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RXVECTOR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w:t>
            </w:r>
          </w:p>
        </w:tc>
        <w:tc>
          <w:tcPr>
            <w:tcW w:w="5079"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19" w:hRule="atLeast"/>
          <w:jc w:val="center"/>
        </w:trPr>
        <w:tc>
          <w:tcPr>
            <w:tcW w:w="450" w:type="dxa"/>
            <w:vMerge w:val="restart"/>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right="113"/>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L-LENGTH</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FORMAT is NGV</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 xml:space="preserve">Not present. </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 xml:space="preserve">Note, the value of Length field of the L-SIG in an NGV PPDU is calculated as in Equation (32-8). </w:t>
            </w:r>
            <w:r>
              <w:rPr>
                <w:rFonts w:hint="default" w:ascii="Times New Roman" w:hAnsi="Times New Roman" w:eastAsia="宋体" w:cs="Times New Roman"/>
                <w:color w:val="auto"/>
                <w:sz w:val="16"/>
                <w:szCs w:val="16"/>
                <w:vertAlign w:val="baseline"/>
                <w:lang w:val="en-US" w:eastAsia="zh-CN"/>
              </w:rPr>
              <w:t xml:space="preserve"> </w:t>
            </w:r>
            <w:r>
              <w:rPr>
                <w:rFonts w:hint="default" w:ascii="Times New Roman" w:hAnsi="Times New Roman" w:eastAsia="宋体" w:cs="Times New Roman"/>
                <w:i/>
                <w:iCs/>
                <w:color w:val="auto"/>
                <w:sz w:val="16"/>
                <w:szCs w:val="16"/>
                <w:shd w:val="clear" w:fill="FFFF00"/>
                <w:vertAlign w:val="baseline"/>
                <w:lang w:val="en-US" w:eastAsia="zh-CN"/>
              </w:rPr>
              <w:t>[CID 248]</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N</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vMerge w:val="continue"/>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Otherwise</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Indicates the length of the PSDU in octets in the range of 1 to 4095. The value is used by the PHY to determine the number of octet transfers that occur between the MAC and the PHY.</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Y</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TimesNewRomanPSMT" w:cs="Times New Roman"/>
                <w:color w:val="auto"/>
                <w:sz w:val="16"/>
                <w:szCs w:val="16"/>
                <w:u w:val="none"/>
                <w:lang w:val="en-US" w:eastAsia="zh-CN"/>
              </w:rPr>
            </w:pPr>
            <w:r>
              <w:rPr>
                <w:rFonts w:hint="default" w:ascii="Times New Roman" w:hAnsi="Times New Roman" w:eastAsia="TimesNewRomanPSMT" w:cs="Times New Roman"/>
                <w:color w:val="auto"/>
                <w:sz w:val="16"/>
                <w:szCs w:val="16"/>
                <w:u w:val="none"/>
                <w:lang w:val="en-US" w:eastAsia="zh-CN"/>
              </w:rPr>
              <w:t>...</w:t>
            </w:r>
          </w:p>
        </w:tc>
        <w:tc>
          <w:tcPr>
            <w:tcW w:w="503" w:type="dxa"/>
            <w:vAlign w:val="center"/>
          </w:tcPr>
          <w:p>
            <w:pPr>
              <w:spacing w:beforeLines="0" w:afterLines="0"/>
              <w:jc w:val="center"/>
              <w:rPr>
                <w:rFonts w:hint="default" w:ascii="Times New Roman" w:hAnsi="Times New Roman" w:eastAsia="TimesNewRomanPSMT" w:cs="Times New Roman"/>
                <w:color w:val="auto"/>
                <w:sz w:val="16"/>
                <w:szCs w:val="16"/>
                <w:u w:val="none"/>
                <w:lang w:val="en-US" w:eastAsia="zh-CN"/>
              </w:rPr>
            </w:pPr>
          </w:p>
        </w:tc>
        <w:tc>
          <w:tcPr>
            <w:tcW w:w="502" w:type="dxa"/>
            <w:gridSpan w:val="2"/>
            <w:vAlign w:val="center"/>
          </w:tcPr>
          <w:p>
            <w:pPr>
              <w:spacing w:beforeLines="0" w:afterLines="0"/>
              <w:jc w:val="center"/>
              <w:rPr>
                <w:rFonts w:hint="default" w:ascii="Times New Roman" w:hAnsi="Times New Roman" w:eastAsia="TimesNewRomanPSMT" w:cs="Times New Roman"/>
                <w:color w:val="auto"/>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1" w:hRule="atLeast"/>
          <w:jc w:val="center"/>
        </w:trPr>
        <w:tc>
          <w:tcPr>
            <w:tcW w:w="450" w:type="dxa"/>
            <w:vMerge w:val="restart"/>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eastAsia" w:ascii="Times New Roman" w:hAnsi="Times New Roman" w:eastAsia="宋体" w:cs="Times New Roman"/>
                <w:color w:val="0070C0"/>
                <w:sz w:val="16"/>
                <w:szCs w:val="16"/>
                <w:u w:val="single"/>
                <w:vertAlign w:val="baseline"/>
                <w:lang w:val="en-US" w:eastAsia="zh-CN"/>
              </w:rPr>
              <w:t>MUM_STS</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FORMAT is NGV</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default" w:ascii="Times New Roman" w:hAnsi="Times New Roman" w:cs="Times New Roman"/>
                <w:color w:val="0070C0"/>
                <w:u w:val="single"/>
              </w:rPr>
            </w:pPr>
            <w:r>
              <w:rPr>
                <w:rFonts w:hint="default" w:ascii="Times New Roman" w:hAnsi="Times New Roman" w:cs="Times New Roman"/>
                <w:color w:val="0070C0"/>
                <w:u w:val="single"/>
              </w:rPr>
              <w:t>Indicates the number of spa</w:t>
            </w:r>
            <w:r>
              <w:rPr>
                <w:rFonts w:hint="eastAsia" w:eastAsia="宋体" w:cs="Times New Roman"/>
                <w:color w:val="0070C0"/>
                <w:u w:val="single"/>
                <w:lang w:val="en-US" w:eastAsia="zh-CN"/>
              </w:rPr>
              <w:t>tial</w:t>
            </w:r>
            <w:r>
              <w:rPr>
                <w:rFonts w:hint="default" w:ascii="Times New Roman" w:hAnsi="Times New Roman" w:cs="Times New Roman"/>
                <w:color w:val="0070C0"/>
                <w:u w:val="single"/>
              </w:rPr>
              <w:t xml:space="preserve"> streams.</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TimesNewRomanPSMT" w:cs="Times New Roman"/>
                <w:color w:val="0070C0"/>
                <w:sz w:val="16"/>
                <w:szCs w:val="16"/>
                <w:u w:val="single"/>
                <w:lang w:val="en-US" w:eastAsia="zh-CN"/>
              </w:rPr>
            </w:pPr>
            <w:r>
              <w:rPr>
                <w:rFonts w:hint="default" w:ascii="Times New Roman" w:hAnsi="Times New Roman" w:cs="Times New Roman"/>
                <w:color w:val="0070C0"/>
                <w:u w:val="single"/>
              </w:rPr>
              <w:t>Integer: range 1-</w:t>
            </w:r>
            <w:r>
              <w:rPr>
                <w:rFonts w:hint="eastAsia" w:ascii="Times New Roman" w:hAnsi="Times New Roman" w:eastAsia="宋体" w:cs="Times New Roman"/>
                <w:color w:val="0070C0"/>
                <w:u w:val="single"/>
                <w:lang w:val="en-US" w:eastAsia="zh-CN"/>
              </w:rPr>
              <w:t>2</w:t>
            </w:r>
            <w:r>
              <w:rPr>
                <w:rFonts w:hint="default" w:ascii="Times New Roman" w:hAnsi="Times New Roman" w:cs="Times New Roman"/>
                <w:color w:val="0070C0"/>
                <w:u w:val="single"/>
              </w:rPr>
              <w:t xml:space="preserve"> .</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TimesNewRomanPSMT" w:cs="Times New Roman"/>
                <w:color w:val="0070C0"/>
                <w:sz w:val="16"/>
                <w:szCs w:val="16"/>
                <w:u w:val="single"/>
                <w:lang w:val="en-US" w:eastAsia="zh-CN"/>
              </w:rPr>
            </w:pPr>
            <w:r>
              <w:rPr>
                <w:rFonts w:hint="eastAsia" w:ascii="Times New Roman" w:hAnsi="Times New Roman" w:eastAsia="TimesNewRomanPSMT" w:cs="Times New Roman"/>
                <w:color w:val="0070C0"/>
                <w:sz w:val="16"/>
                <w:szCs w:val="16"/>
                <w:u w:val="single"/>
                <w:lang w:val="en-US" w:eastAsia="zh-CN"/>
              </w:rPr>
              <w:t>Y</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TimesNewRomanPSMT" w:cs="Times New Roman"/>
                <w:color w:val="0070C0"/>
                <w:sz w:val="16"/>
                <w:szCs w:val="16"/>
                <w:u w:val="single"/>
                <w:lang w:val="en-US" w:eastAsia="zh-CN"/>
              </w:rPr>
            </w:pPr>
            <w:r>
              <w:rPr>
                <w:rFonts w:hint="default" w:ascii="Times New Roman" w:hAnsi="Times New Roman" w:eastAsia="TimesNewRomanPSMT" w:cs="Times New Roman"/>
                <w:color w:val="0070C0"/>
                <w:sz w:val="16"/>
                <w:szCs w:val="16"/>
                <w:u w:val="singl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2" w:hRule="atLeast"/>
          <w:jc w:val="center"/>
        </w:trPr>
        <w:tc>
          <w:tcPr>
            <w:tcW w:w="450" w:type="dxa"/>
            <w:vMerge w:val="continue"/>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0070C0"/>
                <w:sz w:val="16"/>
                <w:szCs w:val="16"/>
                <w:u w:val="single"/>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Otherwise</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Not present</w:t>
            </w:r>
            <w:r>
              <w:rPr>
                <w:rFonts w:hint="eastAsia" w:ascii="Times New Roman" w:hAnsi="Times New Roman" w:eastAsia="宋体" w:cs="Times New Roman"/>
                <w:color w:val="auto"/>
                <w:sz w:val="16"/>
                <w:szCs w:val="16"/>
                <w:u w:val="none"/>
                <w:vertAlign w:val="baseline"/>
                <w:lang w:val="en-US" w:eastAsia="zh-CN"/>
              </w:rPr>
              <w:t xml:space="preserve"> </w:t>
            </w:r>
            <w:r>
              <w:rPr>
                <w:rFonts w:hint="eastAsia" w:ascii="Times New Roman" w:hAnsi="Times New Roman" w:eastAsia="宋体" w:cs="Times New Roman"/>
                <w:i/>
                <w:iCs/>
                <w:color w:val="auto"/>
                <w:sz w:val="16"/>
                <w:szCs w:val="16"/>
                <w:u w:val="none"/>
                <w:shd w:val="clear" w:fill="FFFF00"/>
                <w:vertAlign w:val="baseline"/>
                <w:lang w:val="en-US" w:eastAsia="zh-CN"/>
              </w:rPr>
              <w:t>[CID 129]</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gridAfter w:val="1"/>
          <w:wAfter w:w="3" w:type="dxa"/>
          <w:trHeight w:val="105" w:hRule="atLeast"/>
          <w:jc w:val="center"/>
        </w:trPr>
        <w:tc>
          <w:tcPr>
            <w:tcW w:w="9217" w:type="dxa"/>
            <w:gridSpan w:val="5"/>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NOTE 1—In the “TXVECTOR” and “RXVECTOR” columns, the following apply:</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Y = Present;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N = Not present;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O = Optional;</w:t>
            </w:r>
          </w:p>
        </w:tc>
      </w:tr>
    </w:tbl>
    <w:p>
      <w:pPr>
        <w:spacing w:after="160" w:line="256" w:lineRule="auto"/>
        <w:rPr>
          <w:rFonts w:hint="default" w:eastAsia="宋体" w:cs="Times New Roman"/>
          <w:color w:val="auto"/>
          <w:sz w:val="20"/>
          <w:szCs w:val="20"/>
          <w:lang w:val="en-US" w:eastAsia="zh-CN"/>
        </w:rPr>
      </w:pP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48/129</w:t>
      </w:r>
      <w:r>
        <w:rPr>
          <w:rFonts w:eastAsia="宋体"/>
          <w:b/>
          <w:i/>
          <w:sz w:val="24"/>
          <w:highlight w:val="yellow"/>
          <w:lang w:val="en-US" w:eastAsia="zh-CN"/>
        </w:rPr>
        <w:t xml:space="preserve"> </w:t>
      </w:r>
      <w:r>
        <w:rPr>
          <w:bCs/>
          <w:i/>
          <w:iCs/>
          <w:sz w:val="24"/>
          <w:szCs w:val="24"/>
          <w:highlight w:val="yellow"/>
          <w:lang w:eastAsia="ko-KR"/>
        </w:rPr>
        <w:t>---------------------</w:t>
      </w:r>
    </w:p>
    <w:p>
      <w:pPr>
        <w:rPr>
          <w:b/>
          <w:bCs/>
          <w:i/>
          <w:iCs/>
          <w:lang w:eastAsia="ko-KR"/>
        </w:rPr>
      </w:pPr>
    </w:p>
    <w:p>
      <w:pPr>
        <w:rPr>
          <w:b/>
          <w:bCs/>
          <w:i/>
          <w:iCs/>
          <w:lang w:eastAsia="ko-KR"/>
        </w:rPr>
      </w:pP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r>
              <w:rPr>
                <w:rFonts w:hint="default" w:ascii="Arial" w:hAnsi="Arial" w:eastAsia="宋体" w:cs="Arial"/>
                <w:i w:val="0"/>
                <w:color w:val="000000"/>
                <w:kern w:val="0"/>
                <w:sz w:val="16"/>
                <w:szCs w:val="16"/>
                <w:u w:val="none"/>
                <w:lang w:val="en-US" w:eastAsia="zh-CN" w:bidi="ar"/>
              </w:rPr>
              <w:t>253</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29.54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complete the sentence correctly and properly. TBD should be OCB primary.</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on the comment in principle.   </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implement the proposed spec text modification as part of resolution to CID 129 as in document 11-20/0786r0. </w:t>
            </w:r>
          </w:p>
        </w:tc>
      </w:tr>
    </w:tbl>
    <w:p>
      <w:pPr>
        <w:rPr>
          <w:rFonts w:ascii="Arial" w:hAnsi="Arial" w:eastAsia="宋体" w:cs="Arial"/>
          <w:i/>
          <w:sz w:val="24"/>
          <w:highlight w:val="yellow"/>
          <w:u w:val="single"/>
          <w:lang w:eastAsia="zh-CN"/>
        </w:rPr>
      </w:pPr>
    </w:p>
    <w:p>
      <w:pPr>
        <w:rPr>
          <w:rFonts w:ascii="Arial" w:hAnsi="Arial" w:eastAsia="宋体" w:cs="Arial"/>
          <w:i/>
          <w:sz w:val="24"/>
          <w:highlight w:val="yellow"/>
          <w:u w:val="single"/>
          <w:lang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53</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implement the following modification to the first paragraph in </w:t>
      </w:r>
      <w:r>
        <w:rPr>
          <w:rFonts w:eastAsia="宋体"/>
          <w:b/>
          <w:bCs/>
          <w:i/>
          <w:iCs/>
          <w:highlight w:val="yellow"/>
          <w:lang w:eastAsia="zh-CN"/>
        </w:rPr>
        <w:t xml:space="preserve">sub-clause </w:t>
      </w:r>
      <w:r>
        <w:rPr>
          <w:rFonts w:hint="eastAsia" w:eastAsia="宋体"/>
          <w:b/>
          <w:bCs/>
          <w:i/>
          <w:iCs/>
          <w:highlight w:val="yellow"/>
          <w:lang w:val="en-US" w:eastAsia="zh-CN"/>
        </w:rPr>
        <w:t xml:space="preserve">32.2.3 (PHY CONFIG_VECTOR)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53</w:t>
      </w:r>
      <w:r>
        <w:rPr>
          <w:rFonts w:hint="eastAsia" w:eastAsia="宋体"/>
          <w:b/>
          <w:bCs/>
          <w:i/>
          <w:iCs/>
          <w:highlight w:val="yellow"/>
          <w:lang w:eastAsia="zh-CN"/>
        </w:rPr>
        <w:t>.</w:t>
      </w:r>
    </w:p>
    <w:p>
      <w:pPr>
        <w:rPr>
          <w:b/>
          <w:bCs/>
          <w:i/>
          <w:iCs/>
          <w:highlight w:val="yellow"/>
          <w:lang w:eastAsia="ko-KR"/>
        </w:rPr>
      </w:pPr>
    </w:p>
    <w:p>
      <w:pPr>
        <w:keepNext w:val="0"/>
        <w:keepLines w:val="0"/>
        <w:pageBreakBefore w:val="0"/>
        <w:widowControl/>
        <w:kinsoku/>
        <w:wordWrap/>
        <w:overflowPunct/>
        <w:topLinePunct w:val="0"/>
        <w:autoSpaceDE/>
        <w:autoSpaceDN/>
        <w:bidi w:val="0"/>
        <w:adjustRightInd/>
        <w:snapToGrid/>
        <w:spacing w:after="0" w:afterLines="100"/>
        <w:textAlignment w:val="auto"/>
        <w:rPr>
          <w:rFonts w:eastAsiaTheme="minorEastAsia"/>
          <w:b/>
          <w:sz w:val="21"/>
          <w:szCs w:val="21"/>
          <w:lang w:eastAsia="zh-CN"/>
        </w:rPr>
      </w:pPr>
      <w:r>
        <w:rPr>
          <w:rFonts w:hint="eastAsia" w:eastAsiaTheme="minorEastAsia"/>
          <w:b/>
          <w:sz w:val="21"/>
          <w:szCs w:val="21"/>
          <w:lang w:val="en-US" w:eastAsia="zh-CN"/>
        </w:rPr>
        <w:t>32.2.3 PHY CONFIG_VECTOR</w:t>
      </w:r>
    </w:p>
    <w:p>
      <w:pPr>
        <w:numPr>
          <w:ilvl w:val="0"/>
          <w:numId w:val="0"/>
        </w:numPr>
        <w:spacing w:after="160" w:line="256" w:lineRule="auto"/>
        <w:ind w:leftChars="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 xml:space="preserve">The PHYCONFIG_VECTOR carried in a PHY-CONFIG.request primitive for the NGV PHY contains an OPERATING_CHANNEL parameter, which identifies the </w:t>
      </w:r>
      <w:r>
        <w:rPr>
          <w:rFonts w:hint="eastAsia" w:eastAsia="宋体" w:cs="Times New Roman"/>
          <w:color w:val="auto"/>
          <w:sz w:val="18"/>
          <w:szCs w:val="18"/>
          <w:lang w:val="en-US" w:eastAsia="zh-CN"/>
        </w:rPr>
        <w:t>OCB primary</w:t>
      </w:r>
      <w:r>
        <w:rPr>
          <w:rFonts w:hint="eastAsia" w:eastAsia="宋体" w:cs="Times New Roman"/>
          <w:color w:val="FF0000"/>
          <w:sz w:val="18"/>
          <w:szCs w:val="18"/>
          <w:lang w:val="en-US" w:eastAsia="zh-CN"/>
        </w:rPr>
        <w:t xml:space="preserve"> </w:t>
      </w:r>
      <w:r>
        <w:rPr>
          <w:rFonts w:hint="default" w:ascii="Times New Roman" w:hAnsi="Times New Roman" w:eastAsia="宋体" w:cs="Times New Roman"/>
          <w:strike/>
          <w:dstrike w:val="0"/>
          <w:color w:val="FF0000"/>
          <w:sz w:val="18"/>
          <w:szCs w:val="18"/>
          <w:lang w:eastAsia="zh-CN"/>
        </w:rPr>
        <w:t xml:space="preserve">operating or primary &lt;TBD&gt; </w:t>
      </w:r>
      <w:r>
        <w:rPr>
          <w:rFonts w:hint="default" w:ascii="Times New Roman" w:hAnsi="Times New Roman" w:eastAsia="宋体" w:cs="Times New Roman"/>
          <w:color w:val="auto"/>
          <w:sz w:val="18"/>
          <w:szCs w:val="18"/>
          <w:lang w:eastAsia="zh-CN"/>
        </w:rPr>
        <w:t xml:space="preserve">channel. </w:t>
      </w:r>
      <w:r>
        <w:rPr>
          <w:rFonts w:hint="default" w:ascii="Times New Roman" w:hAnsi="Times New Roman" w:eastAsia="宋体" w:cs="Times New Roman"/>
          <w:strike/>
          <w:dstrike w:val="0"/>
          <w:color w:val="FF0000"/>
          <w:sz w:val="18"/>
          <w:szCs w:val="18"/>
          <w:lang w:eastAsia="zh-CN"/>
        </w:rPr>
        <w:t>The PHY shall set dot11CurrentPrimaryChannel to the value of this parameter (TBD).</w:t>
      </w:r>
      <w:r>
        <w:rPr>
          <w:rFonts w:hint="eastAsia" w:eastAsia="宋体" w:cs="Times New Roman"/>
          <w:color w:val="auto"/>
          <w:sz w:val="18"/>
          <w:szCs w:val="18"/>
          <w:lang w:val="en-US" w:eastAsia="zh-CN"/>
        </w:rPr>
        <w:t xml:space="preserve"> </w:t>
      </w:r>
      <w:r>
        <w:rPr>
          <w:rFonts w:hint="default" w:ascii="Times New Roman" w:hAnsi="Times New Roman" w:eastAsia="宋体" w:cs="Times New Roman"/>
          <w:strike w:val="0"/>
          <w:dstrike w:val="0"/>
          <w:color w:val="0070C0"/>
          <w:sz w:val="18"/>
          <w:szCs w:val="18"/>
          <w:u w:val="single"/>
          <w:lang w:eastAsia="zh-CN"/>
        </w:rPr>
        <w:t>The PHY shall set dot11CurrentPrimaryChannel to the value of this parameter</w:t>
      </w:r>
      <w:r>
        <w:rPr>
          <w:rFonts w:hint="eastAsia" w:eastAsia="宋体" w:cs="Times New Roman"/>
          <w:strike w:val="0"/>
          <w:dstrike w:val="0"/>
          <w:color w:val="0070C0"/>
          <w:sz w:val="18"/>
          <w:szCs w:val="18"/>
          <w:u w:val="single"/>
          <w:lang w:val="en-US" w:eastAsia="zh-CN"/>
        </w:rPr>
        <w:t>.</w:t>
      </w:r>
    </w:p>
    <w:p>
      <w:pPr>
        <w:shd w:val="clear"/>
        <w:autoSpaceDE w:val="0"/>
        <w:autoSpaceDN w:val="0"/>
        <w:adjustRightInd w:val="0"/>
        <w:jc w:val="both"/>
        <w:rPr>
          <w:rFonts w:hint="default" w:eastAsia="宋体"/>
          <w:b/>
          <w:bCs/>
          <w:i/>
          <w:iCs/>
          <w:highlight w:val="none"/>
          <w:lang w:val="en-US" w:eastAsia="zh-CN"/>
        </w:rPr>
      </w:pPr>
      <w:r>
        <w:rPr>
          <w:rFonts w:hint="eastAsia" w:eastAsia="宋体"/>
          <w:b/>
          <w:bCs/>
          <w:i/>
          <w:iCs/>
          <w:highlight w:val="none"/>
          <w:lang w:val="en-US" w:eastAsia="zh-CN"/>
        </w:rPr>
        <w:t>......</w:t>
      </w:r>
    </w:p>
    <w:p>
      <w:pPr>
        <w:autoSpaceDE w:val="0"/>
        <w:autoSpaceDN w:val="0"/>
        <w:adjustRightInd w:val="0"/>
        <w:jc w:val="both"/>
        <w:rPr>
          <w:b/>
          <w:bCs/>
          <w:i/>
          <w:iCs/>
          <w:highlight w:val="yellow"/>
          <w:lang w:eastAsia="ko-KR"/>
        </w:rPr>
      </w:pPr>
    </w:p>
    <w:p>
      <w:pPr>
        <w:rPr>
          <w:bCs/>
          <w:i/>
          <w:iCs/>
          <w:sz w:val="24"/>
          <w:szCs w:val="24"/>
          <w:highlight w:val="yellow"/>
          <w:lang w:eastAsia="ko-KR"/>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53</w:t>
      </w:r>
      <w:r>
        <w:rPr>
          <w:rFonts w:eastAsia="宋体"/>
          <w:b/>
          <w:i/>
          <w:sz w:val="24"/>
          <w:highlight w:val="yellow"/>
          <w:lang w:val="en-US" w:eastAsia="zh-CN"/>
        </w:rPr>
        <w:t xml:space="preserve"> </w:t>
      </w:r>
      <w:r>
        <w:rPr>
          <w:bCs/>
          <w:i/>
          <w:iCs/>
          <w:sz w:val="24"/>
          <w:szCs w:val="24"/>
          <w:highlight w:val="yellow"/>
          <w:lang w:eastAsia="ko-KR"/>
        </w:rPr>
        <w:t>---------------------</w:t>
      </w:r>
    </w:p>
    <w:p>
      <w:pPr>
        <w:rPr>
          <w:bCs/>
          <w:i/>
          <w:iCs/>
          <w:sz w:val="24"/>
          <w:szCs w:val="24"/>
          <w:highlight w:val="yellow"/>
          <w:lang w:val="en-US" w:eastAsia="zh-CN"/>
        </w:rPr>
      </w:pPr>
    </w:p>
    <w:p>
      <w:pPr>
        <w:rPr>
          <w:bCs/>
          <w:iCs/>
          <w:lang w:eastAsia="ko-KR"/>
        </w:rPr>
      </w:pPr>
    </w:p>
    <w:tbl>
      <w:tblPr>
        <w:tblStyle w:val="12"/>
        <w:tblpPr w:leftFromText="180" w:rightFromText="180" w:vertAnchor="text" w:horzAnchor="page" w:tblpX="1012" w:tblpY="306"/>
        <w:tblOverlap w:val="never"/>
        <w:tblW w:w="10510" w:type="dxa"/>
        <w:tblInd w:w="0" w:type="dxa"/>
        <w:tblLayout w:type="fixed"/>
        <w:tblCellMar>
          <w:top w:w="45" w:type="dxa"/>
          <w:left w:w="45" w:type="dxa"/>
          <w:bottom w:w="45" w:type="dxa"/>
          <w:right w:w="45" w:type="dxa"/>
        </w:tblCellMar>
      </w:tblPr>
      <w:tblGrid>
        <w:gridCol w:w="562"/>
        <w:gridCol w:w="545"/>
        <w:gridCol w:w="697"/>
        <w:gridCol w:w="2821"/>
        <w:gridCol w:w="2913"/>
        <w:gridCol w:w="2972"/>
      </w:tblGrid>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vAlign w:val="top"/>
          </w:tcPr>
          <w:p>
            <w:pPr>
              <w:jc w:val="center"/>
              <w:textAlignment w:val="top"/>
              <w:rPr>
                <w:rFonts w:hint="default" w:ascii="Arial" w:hAnsi="Arial" w:cs="Arial" w:eastAsiaTheme="minorEastAsia"/>
                <w:b/>
                <w:color w:val="000000"/>
                <w:sz w:val="16"/>
                <w:szCs w:val="16"/>
                <w:lang w:eastAsia="zh-CN"/>
              </w:rPr>
            </w:pPr>
            <w:r>
              <w:rPr>
                <w:rFonts w:hint="default" w:ascii="Arial" w:hAnsi="Arial" w:cs="Arial"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vAlign w:val="top"/>
          </w:tcPr>
          <w:p>
            <w:pPr>
              <w:tabs>
                <w:tab w:val="left" w:pos="720"/>
              </w:tabs>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cs="Arial" w:eastAsiaTheme="minorEastAsia"/>
                <w:b/>
                <w:sz w:val="16"/>
                <w:szCs w:val="16"/>
                <w:lang w:eastAsia="zh-CN"/>
              </w:rPr>
            </w:pPr>
            <w:r>
              <w:rPr>
                <w:rFonts w:hint="default" w:ascii="Arial" w:hAnsi="Arial" w:cs="Arial"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vAlign w:val="top"/>
          </w:tcPr>
          <w:p>
            <w:pPr>
              <w:jc w:val="center"/>
              <w:textAlignment w:val="top"/>
              <w:rPr>
                <w:rFonts w:hint="default" w:ascii="Arial" w:hAnsi="Arial" w:eastAsia="宋体" w:cs="Arial"/>
                <w:b/>
                <w:color w:val="000000"/>
                <w:sz w:val="16"/>
                <w:szCs w:val="16"/>
                <w:lang w:eastAsia="zh-CN"/>
              </w:rPr>
            </w:pPr>
            <w:r>
              <w:rPr>
                <w:rFonts w:hint="default" w:ascii="Arial" w:hAnsi="Arial" w:eastAsia="宋体" w:cs="Arial"/>
                <w:b/>
                <w:color w:val="000000"/>
                <w:sz w:val="16"/>
                <w:szCs w:val="16"/>
                <w:lang w:eastAsia="zh-CN"/>
              </w:rPr>
              <w:t>Resolution</w:t>
            </w: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30.14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delete "(when FORMAT is NGV)". It is redundant because the first colum shows the FORMAT parameter.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189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30.20</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According to Annex E of Draft P802.11md D3.0, both in the US and in Europe, ITS channel spacings for 5, 10, and 20 MHz are defined.</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However, the last row in Table 32-2 NON_NGV only defines CBW_10 for 10 MHz.</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If in Annex E.1 5, 10, and 20 MHz are supported in the ITS Band, Table 32-2 should define CBW_5, CBW_10, and CBW_20 for NON_NGV accordingly.</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Add additional rows for FORMAT NON_NGV and CBW_5 and CBW_20 in Table 32-3.</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Rejected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Reason:</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 xml:space="preserve">Even though in Annex E, 5 MHz bandwidth is listed as ITS channel spacing as in the US and the Europe regulation, in the scope of 11bd we only work on solutions for 10 MHz and 20 MHz bandwidth. And </w:t>
            </w:r>
            <w:r>
              <w:rPr>
                <w:rFonts w:hint="eastAsia" w:ascii="Calibri" w:hAnsi="Calibri" w:eastAsia="宋体" w:cs="Calibri"/>
                <w:b w:val="0"/>
                <w:bCs w:val="0"/>
                <w:color w:val="000000"/>
                <w:sz w:val="16"/>
                <w:szCs w:val="16"/>
                <w:u w:val="none"/>
                <w:lang w:val="en-US" w:eastAsia="zh-CN"/>
              </w:rPr>
              <w:t>with</w:t>
            </w:r>
            <w:r>
              <w:rPr>
                <w:rFonts w:hint="default" w:ascii="Calibri" w:hAnsi="Calibri" w:eastAsia="宋体" w:cs="Calibri"/>
                <w:b w:val="0"/>
                <w:bCs w:val="0"/>
                <w:color w:val="000000"/>
                <w:sz w:val="16"/>
                <w:szCs w:val="16"/>
                <w:u w:val="none"/>
                <w:lang w:val="en-US" w:eastAsia="zh-CN"/>
              </w:rPr>
              <w:t>in this scope, NON_NGV refers to OCB that work</w:t>
            </w:r>
            <w:r>
              <w:rPr>
                <w:rFonts w:hint="eastAsia" w:ascii="Calibri" w:hAnsi="Calibri" w:eastAsia="宋体" w:cs="Calibri"/>
                <w:b w:val="0"/>
                <w:bCs w:val="0"/>
                <w:color w:val="000000"/>
                <w:sz w:val="16"/>
                <w:szCs w:val="16"/>
                <w:u w:val="none"/>
                <w:lang w:val="en-US" w:eastAsia="zh-CN"/>
              </w:rPr>
              <w:t>s</w:t>
            </w:r>
            <w:r>
              <w:rPr>
                <w:rFonts w:hint="default" w:ascii="Calibri" w:hAnsi="Calibri" w:eastAsia="宋体" w:cs="Calibri"/>
                <w:b w:val="0"/>
                <w:bCs w:val="0"/>
                <w:color w:val="000000"/>
                <w:sz w:val="16"/>
                <w:szCs w:val="16"/>
                <w:u w:val="none"/>
                <w:lang w:val="en-US" w:eastAsia="zh-CN"/>
              </w:rPr>
              <w:t xml:space="preserve"> on ITS band with 10 MHz bandwidth.  </w:t>
            </w: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130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31.44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"NON_NGV" format is not officially defined before this section.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Add a subsection similar to 19.1.4 (PPDU formats) in 802.11REVmd to define "NGV" and "NON_NGV" PPDU formats.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Revised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Discussion:</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 xml:space="preserve">Agree in principle.  </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 xml:space="preserve">TGbd Editor: </w:t>
            </w:r>
          </w:p>
          <w:p>
            <w:pPr>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Please implement the proposed spec text modification as part of resolution to CID 1</w:t>
            </w:r>
            <w:r>
              <w:rPr>
                <w:rFonts w:hint="eastAsia" w:ascii="Calibri" w:hAnsi="Calibri" w:eastAsia="宋体" w:cs="Calibri"/>
                <w:b w:val="0"/>
                <w:bCs w:val="0"/>
                <w:color w:val="000000"/>
                <w:sz w:val="16"/>
                <w:szCs w:val="16"/>
                <w:u w:val="none"/>
                <w:lang w:val="en-US" w:eastAsia="zh-CN"/>
              </w:rPr>
              <w:t>30</w:t>
            </w:r>
            <w:r>
              <w:rPr>
                <w:rFonts w:hint="default" w:ascii="Calibri" w:hAnsi="Calibri" w:eastAsia="宋体" w:cs="Calibri"/>
                <w:b w:val="0"/>
                <w:bCs w:val="0"/>
                <w:color w:val="000000"/>
                <w:sz w:val="16"/>
                <w:szCs w:val="16"/>
                <w:u w:val="none"/>
                <w:lang w:val="en-US" w:eastAsia="zh-CN"/>
              </w:rPr>
              <w:t xml:space="preserve"> as in document 11-20/0786r0. </w:t>
            </w:r>
          </w:p>
        </w:tc>
      </w:tr>
    </w:tbl>
    <w:p>
      <w:pPr>
        <w:spacing w:after="160" w:line="256" w:lineRule="auto"/>
        <w:rPr>
          <w:rFonts w:eastAsia="宋体"/>
          <w:i/>
          <w:sz w:val="24"/>
          <w:highlight w:val="yellow"/>
          <w:lang w:val="en-US" w:eastAsia="zh-CN"/>
        </w:rPr>
      </w:pPr>
    </w:p>
    <w:p>
      <w:pPr>
        <w:spacing w:after="160" w:line="256" w:lineRule="auto"/>
        <w:rPr>
          <w:rFonts w:eastAsia="宋体"/>
          <w:i/>
          <w:sz w:val="24"/>
          <w:highlight w:val="yellow"/>
          <w:lang w:val="en-US"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hint="eastAsia" w:eastAsia="宋体"/>
          <w:b/>
          <w:i/>
          <w:sz w:val="24"/>
          <w:highlight w:val="yellow"/>
          <w:lang w:val="en-US" w:eastAsia="zh-CN"/>
        </w:rPr>
        <w:t>130</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implement the following modification to add a new sub-clause 32.1.4 (PPDU Formats)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hint="eastAsia" w:eastAsia="宋体"/>
          <w:b/>
          <w:bCs/>
          <w:i/>
          <w:iCs/>
          <w:highlight w:val="yellow"/>
          <w:lang w:val="en-US" w:eastAsia="zh-CN"/>
        </w:rPr>
        <w:t>130</w:t>
      </w:r>
      <w:r>
        <w:rPr>
          <w:rFonts w:hint="eastAsia" w:eastAsia="宋体"/>
          <w:b/>
          <w:bCs/>
          <w:i/>
          <w:iCs/>
          <w:highlight w:val="yellow"/>
          <w:lang w:eastAsia="zh-CN"/>
        </w:rPr>
        <w:t>.</w:t>
      </w:r>
    </w:p>
    <w:p>
      <w:pPr>
        <w:rPr>
          <w:b/>
          <w:bCs/>
          <w:i/>
          <w:iCs/>
          <w:highlight w:val="yellow"/>
          <w:lang w:eastAsia="ko-KR"/>
        </w:rPr>
      </w:pPr>
    </w:p>
    <w:p>
      <w:pPr>
        <w:keepNext w:val="0"/>
        <w:keepLines w:val="0"/>
        <w:pageBreakBefore w:val="0"/>
        <w:widowControl/>
        <w:kinsoku/>
        <w:wordWrap/>
        <w:overflowPunct/>
        <w:topLinePunct w:val="0"/>
        <w:autoSpaceDE/>
        <w:autoSpaceDN/>
        <w:bidi w:val="0"/>
        <w:adjustRightInd/>
        <w:snapToGrid/>
        <w:spacing w:after="0" w:afterLines="100"/>
        <w:textAlignment w:val="auto"/>
        <w:rPr>
          <w:rFonts w:eastAsiaTheme="minorEastAsia"/>
          <w:b/>
          <w:color w:val="0070C0"/>
          <w:sz w:val="21"/>
          <w:szCs w:val="21"/>
          <w:u w:val="single"/>
          <w:lang w:eastAsia="zh-CN"/>
        </w:rPr>
      </w:pPr>
      <w:r>
        <w:rPr>
          <w:rFonts w:hint="eastAsia" w:eastAsiaTheme="minorEastAsia"/>
          <w:b/>
          <w:color w:val="0070C0"/>
          <w:sz w:val="21"/>
          <w:szCs w:val="21"/>
          <w:u w:val="single"/>
          <w:lang w:val="en-US" w:eastAsia="zh-CN"/>
        </w:rPr>
        <w:t>32.1.4 PPDU Formats</w:t>
      </w:r>
    </w:p>
    <w:p>
      <w:pPr>
        <w:spacing w:after="160" w:line="256" w:lineRule="auto"/>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The structure of the PPDU transmitted by a</w:t>
      </w:r>
      <w:r>
        <w:rPr>
          <w:rFonts w:hint="eastAsia" w:ascii="Times New Roman" w:hAnsi="Times New Roman" w:eastAsia="宋体" w:cs="Times New Roman"/>
          <w:color w:val="0070C0"/>
          <w:sz w:val="18"/>
          <w:szCs w:val="18"/>
          <w:u w:val="single"/>
          <w:lang w:val="en-US" w:eastAsia="zh-CN"/>
        </w:rPr>
        <w:t>n NGV</w:t>
      </w:r>
      <w:r>
        <w:rPr>
          <w:rFonts w:hint="default" w:ascii="Times New Roman" w:hAnsi="Times New Roman" w:eastAsia="宋体" w:cs="Times New Roman"/>
          <w:color w:val="0070C0"/>
          <w:sz w:val="18"/>
          <w:szCs w:val="18"/>
          <w:u w:val="single"/>
          <w:lang w:eastAsia="zh-CN"/>
        </w:rPr>
        <w:t xml:space="preserve"> STA is determined by the TXVECTOR parameters as</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 xml:space="preserve">defined in Table </w:t>
      </w:r>
      <w:r>
        <w:rPr>
          <w:rFonts w:hint="eastAsia" w:ascii="Times New Roman" w:hAnsi="Times New Roman" w:eastAsia="宋体" w:cs="Times New Roman"/>
          <w:color w:val="0070C0"/>
          <w:sz w:val="18"/>
          <w:szCs w:val="18"/>
          <w:u w:val="single"/>
          <w:lang w:val="en-US" w:eastAsia="zh-CN"/>
        </w:rPr>
        <w:t>32</w:t>
      </w:r>
      <w:r>
        <w:rPr>
          <w:rFonts w:hint="default" w:ascii="Times New Roman" w:hAnsi="Times New Roman" w:eastAsia="宋体" w:cs="Times New Roman"/>
          <w:color w:val="0070C0"/>
          <w:sz w:val="18"/>
          <w:szCs w:val="18"/>
          <w:u w:val="single"/>
          <w:lang w:eastAsia="zh-CN"/>
        </w:rPr>
        <w:t>-1 (TXVECTOR and RXVECTOR parameters).</w:t>
      </w:r>
    </w:p>
    <w:p>
      <w:pPr>
        <w:spacing w:after="160" w:line="256" w:lineRule="auto"/>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 xml:space="preserve">In a </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STA the FORMAT parameter determines the overall structure of the PPDU and can take one of</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the following values:</w:t>
      </w:r>
    </w:p>
    <w:p>
      <w:pPr>
        <w:spacing w:after="160" w:line="256" w:lineRule="auto"/>
        <w:ind w:leftChars="100"/>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 xml:space="preserve">— </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Non-</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format (NON_</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based on Clause 17 (Orthogonal frequency division multiplexing</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(OFDM) PHY specification)</w:t>
      </w:r>
      <w:r>
        <w:rPr>
          <w:rFonts w:hint="eastAsia" w:eastAsia="宋体" w:cs="Times New Roman"/>
          <w:color w:val="0070C0"/>
          <w:sz w:val="18"/>
          <w:szCs w:val="18"/>
          <w:u w:val="single"/>
          <w:lang w:val="en-US" w:eastAsia="zh-CN"/>
        </w:rPr>
        <w:t xml:space="preserve"> with 10 MHz bandwidth</w:t>
      </w:r>
      <w:r>
        <w:rPr>
          <w:rFonts w:hint="default" w:ascii="Times New Roman" w:hAnsi="Times New Roman" w:eastAsia="宋体" w:cs="Times New Roman"/>
          <w:color w:val="0070C0"/>
          <w:sz w:val="18"/>
          <w:szCs w:val="18"/>
          <w:u w:val="single"/>
          <w:lang w:eastAsia="zh-CN"/>
        </w:rPr>
        <w:t>.</w:t>
      </w:r>
    </w:p>
    <w:p>
      <w:pPr>
        <w:spacing w:after="160" w:line="256" w:lineRule="auto"/>
        <w:ind w:leftChars="100"/>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 xml:space="preserve">— </w:t>
      </w:r>
      <w:r>
        <w:rPr>
          <w:rFonts w:hint="eastAsia" w:ascii="Times New Roman" w:hAnsi="Times New Roman" w:eastAsia="宋体" w:cs="Times New Roman"/>
          <w:color w:val="0070C0"/>
          <w:sz w:val="18"/>
          <w:szCs w:val="18"/>
          <w:u w:val="single"/>
          <w:lang w:val="en-US" w:eastAsia="zh-CN"/>
        </w:rPr>
        <w:t xml:space="preserve"> NGV</w:t>
      </w:r>
      <w:r>
        <w:rPr>
          <w:rFonts w:hint="default" w:ascii="Times New Roman" w:hAnsi="Times New Roman" w:eastAsia="宋体" w:cs="Times New Roman"/>
          <w:color w:val="0070C0"/>
          <w:sz w:val="18"/>
          <w:szCs w:val="18"/>
          <w:u w:val="single"/>
          <w:lang w:eastAsia="zh-CN"/>
        </w:rPr>
        <w:t xml:space="preserve"> format (</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as specified in Clause </w:t>
      </w:r>
      <w:r>
        <w:rPr>
          <w:rFonts w:hint="eastAsia" w:ascii="Times New Roman" w:hAnsi="Times New Roman" w:eastAsia="宋体" w:cs="Times New Roman"/>
          <w:color w:val="0070C0"/>
          <w:sz w:val="18"/>
          <w:szCs w:val="18"/>
          <w:u w:val="single"/>
          <w:lang w:val="en-US" w:eastAsia="zh-CN"/>
        </w:rPr>
        <w:t>32</w:t>
      </w:r>
      <w:r>
        <w:rPr>
          <w:rFonts w:hint="default" w:ascii="Times New Roman" w:hAnsi="Times New Roman" w:eastAsia="宋体" w:cs="Times New Roman"/>
          <w:color w:val="0070C0"/>
          <w:sz w:val="18"/>
          <w:szCs w:val="18"/>
          <w:u w:val="single"/>
          <w:lang w:eastAsia="zh-CN"/>
        </w:rPr>
        <w:t xml:space="preserve"> (</w:t>
      </w:r>
      <w:r>
        <w:rPr>
          <w:rFonts w:hint="eastAsia" w:ascii="Times New Roman" w:hAnsi="Times New Roman" w:eastAsia="宋体" w:cs="Times New Roman"/>
          <w:color w:val="0070C0"/>
          <w:sz w:val="18"/>
          <w:szCs w:val="18"/>
          <w:u w:val="single"/>
          <w:lang w:val="en-US" w:eastAsia="zh-CN"/>
        </w:rPr>
        <w:t>NGV PHY</w:t>
      </w:r>
      <w:r>
        <w:rPr>
          <w:rFonts w:hint="default" w:ascii="Times New Roman" w:hAnsi="Times New Roman" w:eastAsia="宋体" w:cs="Times New Roman"/>
          <w:color w:val="0070C0"/>
          <w:sz w:val="18"/>
          <w:szCs w:val="18"/>
          <w:u w:val="single"/>
          <w:lang w:eastAsia="zh-CN"/>
        </w:rPr>
        <w:t>).</w:t>
      </w:r>
    </w:p>
    <w:p>
      <w:pPr>
        <w:spacing w:after="160" w:line="256" w:lineRule="auto"/>
        <w:rPr>
          <w:rFonts w:hint="default" w:ascii="Times New Roman" w:hAnsi="Times New Roman" w:eastAsia="宋体" w:cs="Times New Roman"/>
          <w:color w:val="0070C0"/>
          <w:sz w:val="18"/>
          <w:szCs w:val="18"/>
          <w:u w:val="single"/>
          <w:lang w:val="en-US" w:eastAsia="zh-CN"/>
        </w:rPr>
      </w:pPr>
      <w:r>
        <w:rPr>
          <w:rFonts w:hint="default" w:ascii="Times New Roman" w:hAnsi="Times New Roman" w:eastAsia="宋体" w:cs="Times New Roman"/>
          <w:color w:val="0070C0"/>
          <w:sz w:val="18"/>
          <w:szCs w:val="18"/>
          <w:u w:val="single"/>
          <w:lang w:eastAsia="zh-CN"/>
        </w:rPr>
        <w:t>NOTE—Required support for these formats is defined in 1</w:t>
      </w:r>
      <w:r>
        <w:rPr>
          <w:rFonts w:hint="eastAsia" w:ascii="Times New Roman" w:hAnsi="Times New Roman" w:eastAsia="宋体" w:cs="Times New Roman"/>
          <w:color w:val="0070C0"/>
          <w:sz w:val="18"/>
          <w:szCs w:val="18"/>
          <w:u w:val="single"/>
          <w:lang w:val="en-US" w:eastAsia="zh-CN"/>
        </w:rPr>
        <w:t>7</w:t>
      </w:r>
      <w:r>
        <w:rPr>
          <w:rFonts w:hint="default" w:ascii="Times New Roman" w:hAnsi="Times New Roman" w:eastAsia="宋体" w:cs="Times New Roman"/>
          <w:color w:val="0070C0"/>
          <w:sz w:val="18"/>
          <w:szCs w:val="18"/>
          <w:u w:val="single"/>
          <w:lang w:eastAsia="zh-CN"/>
        </w:rPr>
        <w:t xml:space="preserve">.1(Introduction) and </w:t>
      </w:r>
      <w:r>
        <w:rPr>
          <w:rFonts w:hint="eastAsia" w:ascii="Times New Roman" w:hAnsi="Times New Roman" w:eastAsia="宋体" w:cs="Times New Roman"/>
          <w:color w:val="0070C0"/>
          <w:sz w:val="18"/>
          <w:szCs w:val="18"/>
          <w:u w:val="single"/>
          <w:lang w:val="en-US" w:eastAsia="zh-CN"/>
        </w:rPr>
        <w:t>32</w:t>
      </w:r>
      <w:r>
        <w:rPr>
          <w:rFonts w:hint="default" w:ascii="Times New Roman" w:hAnsi="Times New Roman" w:eastAsia="宋体" w:cs="Times New Roman"/>
          <w:color w:val="0070C0"/>
          <w:sz w:val="18"/>
          <w:szCs w:val="18"/>
          <w:u w:val="single"/>
          <w:lang w:eastAsia="zh-CN"/>
        </w:rPr>
        <w:t xml:space="preserve">.1.1 (Introduction to </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PHY)</w:t>
      </w:r>
      <w:r>
        <w:rPr>
          <w:rFonts w:hint="eastAsia" w:ascii="Times New Roman" w:hAnsi="Times New Roman" w:eastAsia="宋体" w:cs="Times New Roman"/>
          <w:color w:val="0070C0"/>
          <w:sz w:val="18"/>
          <w:szCs w:val="18"/>
          <w:u w:val="single"/>
          <w:lang w:val="en-US" w:eastAsia="zh-CN"/>
        </w:rPr>
        <w:t>.</w:t>
      </w:r>
    </w:p>
    <w:p>
      <w:pPr>
        <w:autoSpaceDE w:val="0"/>
        <w:autoSpaceDN w:val="0"/>
        <w:adjustRightInd w:val="0"/>
        <w:jc w:val="both"/>
        <w:rPr>
          <w:b/>
          <w:bCs/>
          <w:i/>
          <w:iCs/>
          <w:highlight w:val="yellow"/>
          <w:lang w:eastAsia="ko-KR"/>
        </w:rPr>
      </w:pPr>
    </w:p>
    <w:p>
      <w:pPr>
        <w:autoSpaceDE w:val="0"/>
        <w:autoSpaceDN w:val="0"/>
        <w:adjustRightInd w:val="0"/>
        <w:jc w:val="both"/>
        <w:rPr>
          <w:b/>
          <w:bCs/>
          <w:i/>
          <w:iCs/>
          <w:highlight w:val="yellow"/>
          <w:lang w:eastAsia="ko-KR"/>
        </w:rPr>
      </w:pP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hint="eastAsia" w:eastAsia="宋体"/>
          <w:b/>
          <w:bCs/>
          <w:i/>
          <w:iCs/>
          <w:sz w:val="24"/>
          <w:szCs w:val="24"/>
          <w:highlight w:val="yellow"/>
          <w:lang w:val="en-US" w:eastAsia="zh-CN"/>
        </w:rPr>
        <w:t>130</w:t>
      </w:r>
      <w:r>
        <w:rPr>
          <w:rFonts w:eastAsia="宋体"/>
          <w:b/>
          <w:i/>
          <w:sz w:val="24"/>
          <w:highlight w:val="yellow"/>
          <w:lang w:val="en-US" w:eastAsia="zh-CN"/>
        </w:rPr>
        <w:t xml:space="preserve"> </w:t>
      </w:r>
      <w:r>
        <w:rPr>
          <w:bCs/>
          <w:i/>
          <w:iCs/>
          <w:sz w:val="24"/>
          <w:szCs w:val="24"/>
          <w:highlight w:val="yellow"/>
          <w:lang w:eastAsia="ko-KR"/>
        </w:rPr>
        <w:t>---------------------</w:t>
      </w:r>
    </w:p>
    <w:p>
      <w:pPr>
        <w:rPr>
          <w:b/>
          <w:color w:val="000000"/>
          <w:sz w:val="28"/>
          <w:lang w:val="en-US" w:eastAsia="ko-KR"/>
        </w:rPr>
      </w:pPr>
    </w:p>
    <w:p>
      <w:pPr>
        <w:rPr>
          <w:b/>
          <w:color w:val="000000"/>
          <w:sz w:val="28"/>
          <w:lang w:val="en-US" w:eastAsia="ko-KR"/>
        </w:rPr>
      </w:pPr>
    </w:p>
    <w:p>
      <w:pPr>
        <w:rPr>
          <w:bCs/>
          <w:iCs/>
          <w:lang w:eastAsia="ko-KR"/>
        </w:rPr>
      </w:pPr>
    </w:p>
    <w:tbl>
      <w:tblPr>
        <w:tblStyle w:val="12"/>
        <w:tblpPr w:leftFromText="180" w:rightFromText="180" w:vertAnchor="text" w:horzAnchor="page" w:tblpX="1014" w:tblpY="322"/>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31.47</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non-NGV should be all captal letter like NON-NGV as defined in Table 32-1</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32.15</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non-NGV should be all captal letter like NON-NGV to be consistent through the spec</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eastAsia" w:ascii="Calibri" w:hAnsi="Calibri" w:eastAsia="宋体" w:cs="Calibri"/>
                <w:b/>
                <w:bCs/>
                <w:color w:val="000000"/>
                <w:sz w:val="16"/>
                <w:szCs w:val="16"/>
                <w:u w:val="single"/>
                <w:lang w:val="en-US" w:eastAsia="zh-CN"/>
              </w:rPr>
              <w:t>Rejecte</w:t>
            </w:r>
            <w:r>
              <w:rPr>
                <w:rFonts w:hint="default" w:ascii="Calibri" w:hAnsi="Calibri" w:eastAsia="宋体" w:cs="Calibri"/>
                <w:b/>
                <w:bCs/>
                <w:color w:val="000000"/>
                <w:sz w:val="16"/>
                <w:szCs w:val="16"/>
                <w:u w:val="single"/>
                <w:lang w:val="en-US" w:eastAsia="zh-CN"/>
              </w:rPr>
              <w:t>d</w:t>
            </w:r>
          </w:p>
          <w:p>
            <w:pPr>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eastAsia" w:ascii="Calibri" w:hAnsi="Calibri" w:eastAsia="宋体" w:cs="Calibri"/>
                <w:b/>
                <w:bCs/>
                <w:color w:val="000000"/>
                <w:sz w:val="16"/>
                <w:szCs w:val="16"/>
                <w:u w:val="single"/>
                <w:lang w:val="en-US" w:eastAsia="zh-CN"/>
              </w:rPr>
              <w:t>Reason</w:t>
            </w:r>
            <w:r>
              <w:rPr>
                <w:rFonts w:hint="default" w:ascii="Calibri" w:hAnsi="Calibri" w:eastAsia="宋体" w:cs="Calibri"/>
                <w:b/>
                <w:bCs/>
                <w:color w:val="000000"/>
                <w:sz w:val="16"/>
                <w:szCs w:val="16"/>
                <w:u w:val="single"/>
                <w:lang w:val="en-US" w:eastAsia="zh-CN"/>
              </w:rPr>
              <w:t>:</w:t>
            </w:r>
          </w:p>
          <w:p>
            <w:pPr>
              <w:textAlignment w:val="top"/>
              <w:rPr>
                <w:rFonts w:hint="default" w:ascii="Calibri" w:hAnsi="Calibri" w:eastAsia="宋体" w:cs="Calibri"/>
                <w:color w:val="000000"/>
                <w:sz w:val="16"/>
                <w:szCs w:val="16"/>
                <w:lang w:val="en-US" w:eastAsia="zh-CN"/>
              </w:rPr>
            </w:pPr>
            <w:r>
              <w:rPr>
                <w:rFonts w:hint="eastAsia" w:ascii="Calibri" w:hAnsi="Calibri" w:eastAsia="宋体" w:cs="Calibri"/>
                <w:b w:val="0"/>
                <w:bCs w:val="0"/>
                <w:color w:val="000000"/>
                <w:sz w:val="16"/>
                <w:szCs w:val="16"/>
                <w:u w:val="none"/>
                <w:lang w:val="en-US" w:eastAsia="zh-CN"/>
              </w:rPr>
              <w:t xml:space="preserve">In some cases, non-NGV refer to the format of the PPDU with TXVECTOR/RXVECTOR parameter FORMAT equal to </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NON-NGV</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 xml:space="preserve">. Therefore the comment is not correct.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190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32.38</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In Table 32-3--Mapping of the NGV PHY parameters for non-NGV operation</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the NGV parameter "CHANNEL_WIDTH" should not be discarded but passed 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Change "Discareded" to "CHANNEL_WIDTH"</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Rejected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Discussion:</w:t>
            </w:r>
          </w:p>
          <w:p>
            <w:pPr>
              <w:textAlignment w:val="top"/>
              <w:rPr>
                <w:rFonts w:hint="default" w:ascii="Calibri" w:hAnsi="Calibri" w:eastAsia="宋体" w:cs="Calibri"/>
                <w:color w:val="000000"/>
                <w:sz w:val="16"/>
                <w:szCs w:val="16"/>
                <w:lang w:val="en-US" w:eastAsia="zh-CN"/>
              </w:rPr>
            </w:pPr>
            <w:r>
              <w:rPr>
                <w:rFonts w:hint="default" w:ascii="Calibri" w:hAnsi="Calibri" w:eastAsia="宋体" w:cs="Calibri"/>
                <w:b w:val="0"/>
                <w:bCs w:val="0"/>
                <w:color w:val="000000"/>
                <w:sz w:val="16"/>
                <w:szCs w:val="16"/>
                <w:u w:val="none"/>
                <w:lang w:val="en-US" w:eastAsia="zh-CN"/>
              </w:rPr>
              <w:t xml:space="preserve">The </w:t>
            </w:r>
            <w:r>
              <w:rPr>
                <w:rFonts w:hint="eastAsia" w:ascii="Calibri" w:hAnsi="Calibri" w:eastAsia="宋体" w:cs="Calibri"/>
                <w:b w:val="0"/>
                <w:bCs w:val="0"/>
                <w:color w:val="000000"/>
                <w:sz w:val="16"/>
                <w:szCs w:val="16"/>
                <w:u w:val="none"/>
                <w:lang w:val="en-US" w:eastAsia="zh-CN"/>
              </w:rPr>
              <w:t xml:space="preserve">purpose of the mapping is for a NGV PHY to behave as Non-NGV PHY (as defined in Clause 17 on 5.9 GHz). The </w:t>
            </w:r>
            <w:r>
              <w:rPr>
                <w:rFonts w:hint="default" w:ascii="Calibri" w:hAnsi="Calibri" w:eastAsia="宋体" w:cs="Calibri"/>
                <w:b w:val="0"/>
                <w:bCs w:val="0"/>
                <w:color w:val="000000"/>
                <w:sz w:val="16"/>
                <w:szCs w:val="16"/>
                <w:u w:val="none"/>
                <w:lang w:val="en-US" w:eastAsia="zh-CN"/>
              </w:rPr>
              <w:t>parameter CHANNEL_WIDTH is defined in NGV PHY</w:t>
            </w:r>
            <w:r>
              <w:rPr>
                <w:rFonts w:hint="eastAsia" w:ascii="Calibri" w:hAnsi="Calibri" w:eastAsia="宋体" w:cs="Calibri"/>
                <w:b w:val="0"/>
                <w:bCs w:val="0"/>
                <w:color w:val="000000"/>
                <w:sz w:val="16"/>
                <w:szCs w:val="16"/>
                <w:u w:val="none"/>
                <w:lang w:val="en-US" w:eastAsia="zh-CN"/>
              </w:rPr>
              <w:t>,</w:t>
            </w:r>
            <w:r>
              <w:rPr>
                <w:rFonts w:hint="default" w:ascii="Calibri" w:hAnsi="Calibri" w:eastAsia="宋体" w:cs="Calibri"/>
                <w:b w:val="0"/>
                <w:bCs w:val="0"/>
                <w:color w:val="000000"/>
                <w:sz w:val="16"/>
                <w:szCs w:val="16"/>
                <w:u w:val="none"/>
                <w:lang w:val="en-US" w:eastAsia="zh-CN"/>
              </w:rPr>
              <w:t xml:space="preserve"> but </w:t>
            </w:r>
            <w:r>
              <w:rPr>
                <w:rFonts w:hint="eastAsia" w:ascii="Calibri" w:hAnsi="Calibri" w:eastAsia="宋体" w:cs="Calibri"/>
                <w:b w:val="0"/>
                <w:bCs w:val="0"/>
                <w:color w:val="000000"/>
                <w:sz w:val="16"/>
                <w:szCs w:val="16"/>
                <w:u w:val="none"/>
                <w:lang w:val="en-US" w:eastAsia="zh-CN"/>
              </w:rPr>
              <w:t>it</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 xml:space="preserve">s </w:t>
            </w:r>
            <w:r>
              <w:rPr>
                <w:rFonts w:hint="default" w:ascii="Calibri" w:hAnsi="Calibri" w:eastAsia="宋体" w:cs="Calibri"/>
                <w:b w:val="0"/>
                <w:bCs w:val="0"/>
                <w:color w:val="000000"/>
                <w:sz w:val="16"/>
                <w:szCs w:val="16"/>
                <w:u w:val="none"/>
                <w:lang w:val="en-US" w:eastAsia="zh-CN"/>
              </w:rPr>
              <w:t>not defined in</w:t>
            </w:r>
            <w:r>
              <w:rPr>
                <w:rFonts w:hint="eastAsia" w:ascii="Calibri" w:hAnsi="Calibri" w:eastAsia="宋体" w:cs="Calibri"/>
                <w:b w:val="0"/>
                <w:bCs w:val="0"/>
                <w:color w:val="000000"/>
                <w:sz w:val="16"/>
                <w:szCs w:val="16"/>
                <w:u w:val="none"/>
                <w:lang w:val="en-US" w:eastAsia="zh-CN"/>
              </w:rPr>
              <w:t xml:space="preserve"> Non-NGV PHY (</w:t>
            </w:r>
            <w:r>
              <w:rPr>
                <w:rFonts w:hint="default" w:ascii="Calibri" w:hAnsi="Calibri" w:eastAsia="宋体" w:cs="Calibri"/>
                <w:b w:val="0"/>
                <w:bCs w:val="0"/>
                <w:color w:val="000000"/>
                <w:sz w:val="16"/>
                <w:szCs w:val="16"/>
                <w:u w:val="none"/>
                <w:lang w:val="en-US" w:eastAsia="zh-CN"/>
              </w:rPr>
              <w:t xml:space="preserve">5.9 GHz operation </w:t>
            </w:r>
            <w:r>
              <w:rPr>
                <w:rFonts w:hint="eastAsia" w:ascii="Calibri" w:hAnsi="Calibri" w:eastAsia="宋体" w:cs="Calibri"/>
                <w:b w:val="0"/>
                <w:bCs w:val="0"/>
                <w:color w:val="000000"/>
                <w:sz w:val="16"/>
                <w:szCs w:val="16"/>
                <w:u w:val="none"/>
                <w:lang w:val="en-US" w:eastAsia="zh-CN"/>
              </w:rPr>
              <w:t>in</w:t>
            </w:r>
            <w:r>
              <w:rPr>
                <w:rFonts w:hint="default" w:ascii="Calibri" w:hAnsi="Calibri" w:eastAsia="宋体" w:cs="Calibri"/>
                <w:b w:val="0"/>
                <w:bCs w:val="0"/>
                <w:color w:val="000000"/>
                <w:sz w:val="16"/>
                <w:szCs w:val="16"/>
                <w:u w:val="none"/>
                <w:lang w:val="en-US" w:eastAsia="zh-CN"/>
              </w:rPr>
              <w:t xml:space="preserve"> Clause 17</w:t>
            </w:r>
            <w:r>
              <w:rPr>
                <w:rFonts w:hint="eastAsia" w:ascii="Calibri" w:hAnsi="Calibri" w:eastAsia="宋体" w:cs="Calibri"/>
                <w:b w:val="0"/>
                <w:bCs w:val="0"/>
                <w:color w:val="000000"/>
                <w:sz w:val="16"/>
                <w:szCs w:val="16"/>
                <w:u w:val="none"/>
                <w:lang w:val="en-US" w:eastAsia="zh-CN"/>
              </w:rPr>
              <w:t>)</w:t>
            </w:r>
            <w:r>
              <w:rPr>
                <w:rFonts w:hint="default" w:ascii="Calibri" w:hAnsi="Calibri" w:eastAsia="宋体" w:cs="Calibri"/>
                <w:b w:val="0"/>
                <w:bCs w:val="0"/>
                <w:color w:val="000000"/>
                <w:sz w:val="16"/>
                <w:szCs w:val="16"/>
                <w:u w:val="none"/>
                <w:lang w:val="en-US" w:eastAsia="zh-CN"/>
              </w:rPr>
              <w:t>. Therefore</w:t>
            </w:r>
            <w:r>
              <w:rPr>
                <w:rFonts w:hint="eastAsia" w:ascii="Calibri" w:hAnsi="Calibri" w:eastAsia="宋体" w:cs="Calibri"/>
                <w:b w:val="0"/>
                <w:bCs w:val="0"/>
                <w:color w:val="000000"/>
                <w:sz w:val="16"/>
                <w:szCs w:val="16"/>
                <w:u w:val="none"/>
                <w:lang w:val="en-US" w:eastAsia="zh-CN"/>
              </w:rPr>
              <w:t xml:space="preserve"> the parameter CHANNEL_WIDTH</w:t>
            </w:r>
            <w:r>
              <w:rPr>
                <w:rFonts w:hint="default" w:ascii="Calibri" w:hAnsi="Calibri" w:eastAsia="宋体" w:cs="Calibri"/>
                <w:b w:val="0"/>
                <w:bCs w:val="0"/>
                <w:color w:val="000000"/>
                <w:sz w:val="16"/>
                <w:szCs w:val="16"/>
                <w:u w:val="none"/>
                <w:lang w:val="en-US" w:eastAsia="zh-CN"/>
              </w:rPr>
              <w:t xml:space="preserve"> should be discarded </w:t>
            </w:r>
            <w:r>
              <w:rPr>
                <w:rFonts w:hint="eastAsia" w:ascii="Calibri" w:hAnsi="Calibri" w:eastAsia="宋体" w:cs="Calibri"/>
                <w:b w:val="0"/>
                <w:bCs w:val="0"/>
                <w:color w:val="000000"/>
                <w:sz w:val="16"/>
                <w:szCs w:val="16"/>
                <w:u w:val="none"/>
                <w:lang w:val="en-US" w:eastAsia="zh-CN"/>
              </w:rPr>
              <w:t>for a NGV PHY to behave like Non-NGV PHY.</w:t>
            </w:r>
            <w:r>
              <w:rPr>
                <w:rFonts w:hint="default" w:ascii="Calibri" w:hAnsi="Calibri" w:eastAsia="宋体" w:cs="Calibri"/>
                <w:b w:val="0"/>
                <w:bCs w:val="0"/>
                <w:color w:val="000000"/>
                <w:sz w:val="16"/>
                <w:szCs w:val="16"/>
                <w:u w:val="none"/>
                <w:lang w:val="en-US" w:eastAsia="zh-CN"/>
              </w:rPr>
              <w:t xml:space="preserve">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10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35.37</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DCM is not indicated by uisng any signaling and is included in MCS.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Changed &lt;TBD&gt; to NGV MCS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p>
        </w:tc>
        <w:tc>
          <w:tcPr>
            <w:tcW w:w="2972" w:type="dxa"/>
            <w:tcBorders>
              <w:top w:val="single" w:color="auto" w:sz="4" w:space="0"/>
              <w:left w:val="single" w:color="auto" w:sz="4" w:space="0"/>
              <w:bottom w:val="single" w:color="auto" w:sz="4" w:space="0"/>
              <w:right w:val="single" w:color="auto" w:sz="4" w:space="0"/>
            </w:tcBorders>
            <w:vAlign w:val="top"/>
          </w:tcPr>
          <w:p>
            <w:pPr>
              <w:textAlignment w:val="top"/>
              <w:rPr>
                <w:rFonts w:eastAsia="宋体" w:asciiTheme="minorHAnsi" w:hAnsiTheme="minorHAnsi"/>
                <w:color w:val="000000"/>
                <w:sz w:val="16"/>
                <w:szCs w:val="16"/>
                <w:lang w:val="en-US" w:eastAsia="zh-CN"/>
              </w:rPr>
            </w:pPr>
          </w:p>
        </w:tc>
      </w:tr>
    </w:tbl>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4"/>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bd</w:t>
      </w:r>
      <w:r>
        <w:rPr>
          <w:b/>
          <w:color w:val="000000"/>
          <w:sz w:val="28"/>
          <w:lang w:val="en-US" w:eastAsia="ko-KR"/>
        </w:rPr>
        <w:t>/D</w:t>
      </w:r>
      <w:r>
        <w:rPr>
          <w:rFonts w:hint="eastAsia" w:eastAsia="宋体"/>
          <w:b/>
          <w:color w:val="000000"/>
          <w:sz w:val="28"/>
          <w:lang w:val="en-US" w:eastAsia="zh-CN"/>
        </w:rPr>
        <w:t>0.3</w:t>
      </w:r>
      <w:r>
        <w:rPr>
          <w:b/>
          <w:color w:val="000000"/>
          <w:sz w:val="28"/>
          <w:lang w:val="en-US" w:eastAsia="ko-KR"/>
        </w:rPr>
        <w:t xml:space="preserve">, </w:t>
      </w:r>
      <w:r>
        <w:rPr>
          <w:rFonts w:hint="eastAsia" w:eastAsia="宋体"/>
          <w:b/>
          <w:color w:val="000000"/>
          <w:sz w:val="28"/>
          <w:lang w:val="en-US" w:eastAsia="zh-CN"/>
        </w:rPr>
        <w:t>Apr</w:t>
      </w:r>
      <w:r>
        <w:rPr>
          <w:b/>
          <w:color w:val="000000"/>
          <w:sz w:val="28"/>
          <w:lang w:val="en-US" w:eastAsia="ko-KR"/>
        </w:rPr>
        <w:t xml:space="preserve"> 20</w:t>
      </w:r>
      <w:r>
        <w:rPr>
          <w:rFonts w:hint="eastAsia" w:eastAsia="宋体"/>
          <w:b/>
          <w:color w:val="000000"/>
          <w:sz w:val="28"/>
          <w:lang w:val="en-US" w:eastAsia="zh-CN"/>
        </w:rPr>
        <w:t>20</w:t>
      </w:r>
      <w:r>
        <w:rPr>
          <w:b/>
          <w:color w:val="000000"/>
          <w:sz w:val="28"/>
          <w:lang w:val="en-US" w:eastAsia="ko-KR"/>
        </w:rPr>
        <w:t>.</w:t>
      </w: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May</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0786</w:t>
    </w:r>
    <w:r>
      <w:rPr>
        <w:lang w:eastAsia="ko-KR"/>
      </w:rPr>
      <w:t>r</w:t>
    </w:r>
    <w:r>
      <w:rPr>
        <w:lang w:eastAsia="ko-KR"/>
      </w:rP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2">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54950F8"/>
    <w:rsid w:val="054F2645"/>
    <w:rsid w:val="057C0CE8"/>
    <w:rsid w:val="05A32C1A"/>
    <w:rsid w:val="06642D5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1FC6A27"/>
    <w:rsid w:val="12C54052"/>
    <w:rsid w:val="13431FC7"/>
    <w:rsid w:val="13C50920"/>
    <w:rsid w:val="13E47455"/>
    <w:rsid w:val="14AD7334"/>
    <w:rsid w:val="14BB4381"/>
    <w:rsid w:val="14E07B7A"/>
    <w:rsid w:val="15247BF2"/>
    <w:rsid w:val="159C3C9E"/>
    <w:rsid w:val="16092C6D"/>
    <w:rsid w:val="16E9636C"/>
    <w:rsid w:val="16F81540"/>
    <w:rsid w:val="17090632"/>
    <w:rsid w:val="17496EA3"/>
    <w:rsid w:val="17A37E85"/>
    <w:rsid w:val="181F1226"/>
    <w:rsid w:val="18423B78"/>
    <w:rsid w:val="18445D29"/>
    <w:rsid w:val="18926ADF"/>
    <w:rsid w:val="18C76212"/>
    <w:rsid w:val="193519F0"/>
    <w:rsid w:val="193C50A2"/>
    <w:rsid w:val="19950B4D"/>
    <w:rsid w:val="1A7402B8"/>
    <w:rsid w:val="1C2911C9"/>
    <w:rsid w:val="1C54016E"/>
    <w:rsid w:val="1CEB2BB4"/>
    <w:rsid w:val="1D42065A"/>
    <w:rsid w:val="1E5B5EC7"/>
    <w:rsid w:val="1E86774A"/>
    <w:rsid w:val="1ED9269A"/>
    <w:rsid w:val="1F83199D"/>
    <w:rsid w:val="1F8B7688"/>
    <w:rsid w:val="202D7F8E"/>
    <w:rsid w:val="20391AAD"/>
    <w:rsid w:val="20A6591C"/>
    <w:rsid w:val="21023199"/>
    <w:rsid w:val="210353C2"/>
    <w:rsid w:val="210E4C06"/>
    <w:rsid w:val="211704E4"/>
    <w:rsid w:val="22D639BC"/>
    <w:rsid w:val="22F84D04"/>
    <w:rsid w:val="23875C75"/>
    <w:rsid w:val="249F5D31"/>
    <w:rsid w:val="24D233C7"/>
    <w:rsid w:val="256D73B8"/>
    <w:rsid w:val="25DA238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2C5129"/>
    <w:rsid w:val="2F3D75CE"/>
    <w:rsid w:val="2F68173A"/>
    <w:rsid w:val="315318A8"/>
    <w:rsid w:val="320423E4"/>
    <w:rsid w:val="32C87632"/>
    <w:rsid w:val="34705317"/>
    <w:rsid w:val="347F7CF7"/>
    <w:rsid w:val="34C9587F"/>
    <w:rsid w:val="35724E58"/>
    <w:rsid w:val="357F367C"/>
    <w:rsid w:val="36380D3C"/>
    <w:rsid w:val="367D6861"/>
    <w:rsid w:val="36FB6958"/>
    <w:rsid w:val="37BA657C"/>
    <w:rsid w:val="37D44B9F"/>
    <w:rsid w:val="37EA7372"/>
    <w:rsid w:val="381964F7"/>
    <w:rsid w:val="385015A0"/>
    <w:rsid w:val="38973D20"/>
    <w:rsid w:val="39E61E72"/>
    <w:rsid w:val="3A730EC7"/>
    <w:rsid w:val="3AE34418"/>
    <w:rsid w:val="3BCD2CC4"/>
    <w:rsid w:val="3BDC6EBD"/>
    <w:rsid w:val="3C1465BE"/>
    <w:rsid w:val="3C8F31E7"/>
    <w:rsid w:val="3DDE27ED"/>
    <w:rsid w:val="3E355975"/>
    <w:rsid w:val="3E4B5B9C"/>
    <w:rsid w:val="3E933AC8"/>
    <w:rsid w:val="3EC563EC"/>
    <w:rsid w:val="3F443DDD"/>
    <w:rsid w:val="3F74173F"/>
    <w:rsid w:val="3FB30281"/>
    <w:rsid w:val="3FD93A6C"/>
    <w:rsid w:val="409A077F"/>
    <w:rsid w:val="409B0F67"/>
    <w:rsid w:val="40A66AF8"/>
    <w:rsid w:val="41EA282C"/>
    <w:rsid w:val="41F37324"/>
    <w:rsid w:val="42377A2A"/>
    <w:rsid w:val="42DC07B8"/>
    <w:rsid w:val="42E7145B"/>
    <w:rsid w:val="43F96AEC"/>
    <w:rsid w:val="449E18B5"/>
    <w:rsid w:val="44F26AFA"/>
    <w:rsid w:val="452A514F"/>
    <w:rsid w:val="454631F5"/>
    <w:rsid w:val="4549473E"/>
    <w:rsid w:val="454C66FB"/>
    <w:rsid w:val="45945252"/>
    <w:rsid w:val="47431825"/>
    <w:rsid w:val="47670C42"/>
    <w:rsid w:val="489111CF"/>
    <w:rsid w:val="489F752B"/>
    <w:rsid w:val="48E21C2E"/>
    <w:rsid w:val="4AA2162A"/>
    <w:rsid w:val="4C142F61"/>
    <w:rsid w:val="4D001B6A"/>
    <w:rsid w:val="4D0F515E"/>
    <w:rsid w:val="4D335CEB"/>
    <w:rsid w:val="4D7748BB"/>
    <w:rsid w:val="4E3F7CAD"/>
    <w:rsid w:val="4F4C27A5"/>
    <w:rsid w:val="4FC5464D"/>
    <w:rsid w:val="506F51DD"/>
    <w:rsid w:val="50AB5CA9"/>
    <w:rsid w:val="510E151A"/>
    <w:rsid w:val="51603505"/>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BC50D5"/>
    <w:rsid w:val="58D55DCD"/>
    <w:rsid w:val="591068CC"/>
    <w:rsid w:val="592C1673"/>
    <w:rsid w:val="595C23AE"/>
    <w:rsid w:val="59A761E4"/>
    <w:rsid w:val="5A0D34A7"/>
    <w:rsid w:val="5A912175"/>
    <w:rsid w:val="5B22769E"/>
    <w:rsid w:val="5BA62D1A"/>
    <w:rsid w:val="5C5A4DEE"/>
    <w:rsid w:val="5CAE4041"/>
    <w:rsid w:val="5CBA71E1"/>
    <w:rsid w:val="5CDA24E4"/>
    <w:rsid w:val="5CF11829"/>
    <w:rsid w:val="5D684D0C"/>
    <w:rsid w:val="5E9C6CB5"/>
    <w:rsid w:val="5EEA4C36"/>
    <w:rsid w:val="5EEF7EF4"/>
    <w:rsid w:val="60370D10"/>
    <w:rsid w:val="61993042"/>
    <w:rsid w:val="61CD7DCD"/>
    <w:rsid w:val="62302D4D"/>
    <w:rsid w:val="63427CB4"/>
    <w:rsid w:val="646303D2"/>
    <w:rsid w:val="64A06F63"/>
    <w:rsid w:val="65290234"/>
    <w:rsid w:val="65963BA6"/>
    <w:rsid w:val="66672CEC"/>
    <w:rsid w:val="668218A5"/>
    <w:rsid w:val="66FC6E91"/>
    <w:rsid w:val="676C0F88"/>
    <w:rsid w:val="677B560E"/>
    <w:rsid w:val="67E20130"/>
    <w:rsid w:val="680B0DBE"/>
    <w:rsid w:val="689327D0"/>
    <w:rsid w:val="69EC7FFA"/>
    <w:rsid w:val="6A3C62E9"/>
    <w:rsid w:val="6AB073F5"/>
    <w:rsid w:val="6B963D88"/>
    <w:rsid w:val="6BE25AF2"/>
    <w:rsid w:val="6BEC0EB1"/>
    <w:rsid w:val="6C5E6FB5"/>
    <w:rsid w:val="6C6C089A"/>
    <w:rsid w:val="6E832BB1"/>
    <w:rsid w:val="6EFB189E"/>
    <w:rsid w:val="6F5949F9"/>
    <w:rsid w:val="6F7A66D4"/>
    <w:rsid w:val="6F8C06A5"/>
    <w:rsid w:val="701E3F75"/>
    <w:rsid w:val="709E2CC5"/>
    <w:rsid w:val="70C32939"/>
    <w:rsid w:val="710E4D9D"/>
    <w:rsid w:val="71EE04DA"/>
    <w:rsid w:val="72957BE9"/>
    <w:rsid w:val="72A71B60"/>
    <w:rsid w:val="72E52DCC"/>
    <w:rsid w:val="73356360"/>
    <w:rsid w:val="7357784D"/>
    <w:rsid w:val="73DC2C08"/>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63093E"/>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qFormat/>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3</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2020-05-22T16:14:27Z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