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2262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2790"/>
        <w:gridCol w:w="1620"/>
        <w:gridCol w:w="2178"/>
      </w:tblGrid>
      <w:tr w:rsidR="00CA09B2" w14:paraId="5666AFA6" w14:textId="77777777">
        <w:trPr>
          <w:trHeight w:val="485"/>
          <w:jc w:val="center"/>
        </w:trPr>
        <w:tc>
          <w:tcPr>
            <w:tcW w:w="9576" w:type="dxa"/>
            <w:gridSpan w:val="5"/>
            <w:vAlign w:val="center"/>
          </w:tcPr>
          <w:p w14:paraId="124E06C7" w14:textId="21164E84" w:rsidR="00CA09B2" w:rsidRDefault="00B34409">
            <w:pPr>
              <w:pStyle w:val="T2"/>
            </w:pPr>
            <w:r w:rsidRPr="00B34409">
              <w:t>Resolution</w:t>
            </w:r>
            <w:r>
              <w:t xml:space="preserve"> </w:t>
            </w:r>
            <w:r w:rsidRPr="00B34409">
              <w:t>Clause</w:t>
            </w:r>
            <w:r>
              <w:t xml:space="preserve"> </w:t>
            </w:r>
            <w:r w:rsidRPr="00B34409">
              <w:t>3</w:t>
            </w:r>
            <w:r>
              <w:t>.</w:t>
            </w:r>
            <w:r w:rsidRPr="00B34409">
              <w:t>2</w:t>
            </w:r>
            <w:r>
              <w:t xml:space="preserve"> </w:t>
            </w:r>
            <w:r>
              <w:br/>
            </w:r>
            <w:r w:rsidRPr="00B34409">
              <w:t>CIDs</w:t>
            </w:r>
            <w:r>
              <w:t xml:space="preserve">: </w:t>
            </w:r>
            <w:r w:rsidRPr="00B34409">
              <w:t>2</w:t>
            </w:r>
            <w:r>
              <w:t xml:space="preserve">, </w:t>
            </w:r>
            <w:r w:rsidRPr="00B34409">
              <w:t>3</w:t>
            </w:r>
            <w:r>
              <w:t xml:space="preserve">, </w:t>
            </w:r>
            <w:r w:rsidRPr="00B34409">
              <w:t>30</w:t>
            </w:r>
            <w:r>
              <w:t xml:space="preserve">, </w:t>
            </w:r>
            <w:r w:rsidRPr="00B34409">
              <w:t>52</w:t>
            </w:r>
            <w:r>
              <w:t xml:space="preserve">, </w:t>
            </w:r>
            <w:r w:rsidRPr="00B34409">
              <w:t>53</w:t>
            </w:r>
            <w:r>
              <w:t xml:space="preserve">, </w:t>
            </w:r>
            <w:r w:rsidRPr="00B34409">
              <w:t>54</w:t>
            </w:r>
            <w:r>
              <w:t xml:space="preserve">, </w:t>
            </w:r>
            <w:r w:rsidRPr="00B34409">
              <w:t>173</w:t>
            </w:r>
            <w:r>
              <w:t xml:space="preserve">, </w:t>
            </w:r>
            <w:r w:rsidRPr="00B34409">
              <w:t>210</w:t>
            </w:r>
            <w:r>
              <w:t xml:space="preserve">, </w:t>
            </w:r>
            <w:r w:rsidRPr="00B34409">
              <w:t>211</w:t>
            </w:r>
            <w:r>
              <w:t xml:space="preserve">, </w:t>
            </w:r>
            <w:r w:rsidRPr="00B34409">
              <w:t>212</w:t>
            </w:r>
            <w:r>
              <w:t xml:space="preserve">, and </w:t>
            </w:r>
            <w:r w:rsidRPr="00B34409">
              <w:t>213</w:t>
            </w:r>
          </w:p>
        </w:tc>
      </w:tr>
      <w:tr w:rsidR="00CA09B2" w14:paraId="470A6390" w14:textId="77777777">
        <w:trPr>
          <w:trHeight w:val="359"/>
          <w:jc w:val="center"/>
        </w:trPr>
        <w:tc>
          <w:tcPr>
            <w:tcW w:w="9576" w:type="dxa"/>
            <w:gridSpan w:val="5"/>
            <w:vAlign w:val="center"/>
          </w:tcPr>
          <w:p w14:paraId="3C6D455A" w14:textId="38F55B47" w:rsidR="00CA09B2" w:rsidRDefault="00CA09B2">
            <w:pPr>
              <w:pStyle w:val="T2"/>
              <w:ind w:left="0"/>
              <w:rPr>
                <w:sz w:val="20"/>
              </w:rPr>
            </w:pPr>
            <w:r>
              <w:rPr>
                <w:sz w:val="20"/>
              </w:rPr>
              <w:t>Date:</w:t>
            </w:r>
            <w:r>
              <w:rPr>
                <w:b w:val="0"/>
                <w:sz w:val="20"/>
              </w:rPr>
              <w:t xml:space="preserve">  </w:t>
            </w:r>
            <w:r w:rsidR="008B0E87">
              <w:rPr>
                <w:b w:val="0"/>
                <w:sz w:val="20"/>
              </w:rPr>
              <w:t>2020</w:t>
            </w:r>
            <w:r>
              <w:rPr>
                <w:b w:val="0"/>
                <w:sz w:val="20"/>
              </w:rPr>
              <w:t>-</w:t>
            </w:r>
            <w:r w:rsidR="008B0E87">
              <w:rPr>
                <w:b w:val="0"/>
                <w:sz w:val="20"/>
              </w:rPr>
              <w:t>05</w:t>
            </w:r>
            <w:r>
              <w:rPr>
                <w:b w:val="0"/>
                <w:sz w:val="20"/>
              </w:rPr>
              <w:t>-</w:t>
            </w:r>
            <w:r w:rsidR="008B0E87">
              <w:rPr>
                <w:b w:val="0"/>
                <w:sz w:val="20"/>
              </w:rPr>
              <w:t>12</w:t>
            </w:r>
          </w:p>
        </w:tc>
      </w:tr>
      <w:tr w:rsidR="00CA09B2" w14:paraId="6313103C" w14:textId="77777777">
        <w:trPr>
          <w:cantSplit/>
          <w:jc w:val="center"/>
        </w:trPr>
        <w:tc>
          <w:tcPr>
            <w:tcW w:w="9576" w:type="dxa"/>
            <w:gridSpan w:val="5"/>
            <w:vAlign w:val="center"/>
          </w:tcPr>
          <w:p w14:paraId="749A6B4B" w14:textId="77777777" w:rsidR="00CA09B2" w:rsidRDefault="00CA09B2">
            <w:pPr>
              <w:pStyle w:val="T2"/>
              <w:spacing w:after="0"/>
              <w:ind w:left="0" w:right="0"/>
              <w:jc w:val="left"/>
              <w:rPr>
                <w:sz w:val="20"/>
              </w:rPr>
            </w:pPr>
            <w:r>
              <w:rPr>
                <w:sz w:val="20"/>
              </w:rPr>
              <w:t>Author(s):</w:t>
            </w:r>
          </w:p>
        </w:tc>
      </w:tr>
      <w:tr w:rsidR="00CA09B2" w14:paraId="6238D077" w14:textId="77777777" w:rsidTr="008B0E87">
        <w:trPr>
          <w:jc w:val="center"/>
        </w:trPr>
        <w:tc>
          <w:tcPr>
            <w:tcW w:w="1368" w:type="dxa"/>
            <w:vAlign w:val="center"/>
          </w:tcPr>
          <w:p w14:paraId="6D62AE87" w14:textId="77777777" w:rsidR="00CA09B2" w:rsidRDefault="00CA09B2">
            <w:pPr>
              <w:pStyle w:val="T2"/>
              <w:spacing w:after="0"/>
              <w:ind w:left="0" w:right="0"/>
              <w:jc w:val="left"/>
              <w:rPr>
                <w:sz w:val="20"/>
              </w:rPr>
            </w:pPr>
            <w:r>
              <w:rPr>
                <w:sz w:val="20"/>
              </w:rPr>
              <w:t>Name</w:t>
            </w:r>
          </w:p>
        </w:tc>
        <w:tc>
          <w:tcPr>
            <w:tcW w:w="1620" w:type="dxa"/>
            <w:vAlign w:val="center"/>
          </w:tcPr>
          <w:p w14:paraId="7DCE5DFC" w14:textId="77777777" w:rsidR="00CA09B2" w:rsidRDefault="0062440B">
            <w:pPr>
              <w:pStyle w:val="T2"/>
              <w:spacing w:after="0"/>
              <w:ind w:left="0" w:right="0"/>
              <w:jc w:val="left"/>
              <w:rPr>
                <w:sz w:val="20"/>
              </w:rPr>
            </w:pPr>
            <w:r>
              <w:rPr>
                <w:sz w:val="20"/>
              </w:rPr>
              <w:t>Affiliation</w:t>
            </w:r>
          </w:p>
        </w:tc>
        <w:tc>
          <w:tcPr>
            <w:tcW w:w="2790" w:type="dxa"/>
            <w:vAlign w:val="center"/>
          </w:tcPr>
          <w:p w14:paraId="70F890F1" w14:textId="77777777" w:rsidR="00CA09B2" w:rsidRDefault="00CA09B2">
            <w:pPr>
              <w:pStyle w:val="T2"/>
              <w:spacing w:after="0"/>
              <w:ind w:left="0" w:right="0"/>
              <w:jc w:val="left"/>
              <w:rPr>
                <w:sz w:val="20"/>
              </w:rPr>
            </w:pPr>
            <w:r>
              <w:rPr>
                <w:sz w:val="20"/>
              </w:rPr>
              <w:t>Address</w:t>
            </w:r>
          </w:p>
        </w:tc>
        <w:tc>
          <w:tcPr>
            <w:tcW w:w="1620" w:type="dxa"/>
            <w:vAlign w:val="center"/>
          </w:tcPr>
          <w:p w14:paraId="0ADD6C42" w14:textId="77777777" w:rsidR="00CA09B2" w:rsidRDefault="00CA09B2">
            <w:pPr>
              <w:pStyle w:val="T2"/>
              <w:spacing w:after="0"/>
              <w:ind w:left="0" w:right="0"/>
              <w:jc w:val="left"/>
              <w:rPr>
                <w:sz w:val="20"/>
              </w:rPr>
            </w:pPr>
            <w:r>
              <w:rPr>
                <w:sz w:val="20"/>
              </w:rPr>
              <w:t>Phone</w:t>
            </w:r>
          </w:p>
        </w:tc>
        <w:tc>
          <w:tcPr>
            <w:tcW w:w="2178" w:type="dxa"/>
            <w:vAlign w:val="center"/>
          </w:tcPr>
          <w:p w14:paraId="6B8ED972" w14:textId="77777777" w:rsidR="00CA09B2" w:rsidRDefault="00CA09B2">
            <w:pPr>
              <w:pStyle w:val="T2"/>
              <w:spacing w:after="0"/>
              <w:ind w:left="0" w:right="0"/>
              <w:jc w:val="left"/>
              <w:rPr>
                <w:sz w:val="20"/>
              </w:rPr>
            </w:pPr>
            <w:r>
              <w:rPr>
                <w:sz w:val="20"/>
              </w:rPr>
              <w:t>email</w:t>
            </w:r>
          </w:p>
        </w:tc>
      </w:tr>
      <w:tr w:rsidR="008B0E87" w14:paraId="403B238A" w14:textId="77777777" w:rsidTr="008B0E87">
        <w:trPr>
          <w:jc w:val="center"/>
        </w:trPr>
        <w:tc>
          <w:tcPr>
            <w:tcW w:w="1368" w:type="dxa"/>
          </w:tcPr>
          <w:p w14:paraId="5B513AC5" w14:textId="41653659" w:rsidR="008B0E87" w:rsidRPr="008B0E87" w:rsidRDefault="008B0E87" w:rsidP="008B0E87">
            <w:pPr>
              <w:pStyle w:val="T2"/>
              <w:spacing w:after="0"/>
              <w:ind w:left="0" w:right="0"/>
              <w:rPr>
                <w:b w:val="0"/>
                <w:bCs/>
                <w:sz w:val="20"/>
              </w:rPr>
            </w:pPr>
            <w:r w:rsidRPr="008B0E87">
              <w:rPr>
                <w:b w:val="0"/>
                <w:bCs/>
                <w:sz w:val="20"/>
              </w:rPr>
              <w:t xml:space="preserve">Joseph </w:t>
            </w:r>
            <w:r>
              <w:rPr>
                <w:b w:val="0"/>
                <w:bCs/>
                <w:sz w:val="20"/>
              </w:rPr>
              <w:t>L</w:t>
            </w:r>
            <w:r w:rsidRPr="008B0E87">
              <w:rPr>
                <w:b w:val="0"/>
                <w:bCs/>
                <w:sz w:val="20"/>
              </w:rPr>
              <w:t>EVY</w:t>
            </w:r>
          </w:p>
        </w:tc>
        <w:tc>
          <w:tcPr>
            <w:tcW w:w="1620" w:type="dxa"/>
          </w:tcPr>
          <w:p w14:paraId="56488B2E" w14:textId="4F4CC8A8" w:rsidR="008B0E87" w:rsidRPr="008B0E87" w:rsidRDefault="008B0E87" w:rsidP="008B0E87">
            <w:pPr>
              <w:pStyle w:val="T2"/>
              <w:spacing w:after="0"/>
              <w:ind w:left="0" w:right="0"/>
              <w:rPr>
                <w:b w:val="0"/>
                <w:bCs/>
                <w:sz w:val="20"/>
              </w:rPr>
            </w:pPr>
            <w:r w:rsidRPr="008B0E87">
              <w:rPr>
                <w:b w:val="0"/>
                <w:bCs/>
                <w:sz w:val="20"/>
              </w:rPr>
              <w:t>InterDigital, Inc.</w:t>
            </w:r>
          </w:p>
        </w:tc>
        <w:tc>
          <w:tcPr>
            <w:tcW w:w="2790" w:type="dxa"/>
          </w:tcPr>
          <w:p w14:paraId="381047F7" w14:textId="70F4A2BF" w:rsidR="008B0E87" w:rsidRDefault="008B0E87" w:rsidP="008B0E87">
            <w:pPr>
              <w:pStyle w:val="T2"/>
              <w:spacing w:after="0"/>
              <w:ind w:left="0" w:right="0"/>
              <w:rPr>
                <w:b w:val="0"/>
                <w:sz w:val="20"/>
              </w:rPr>
            </w:pPr>
            <w:r>
              <w:rPr>
                <w:b w:val="0"/>
                <w:sz w:val="20"/>
              </w:rPr>
              <w:t>111 W 35</w:t>
            </w:r>
            <w:r w:rsidRPr="008B0E87">
              <w:rPr>
                <w:b w:val="0"/>
                <w:sz w:val="20"/>
                <w:vertAlign w:val="superscript"/>
              </w:rPr>
              <w:t>th</w:t>
            </w:r>
            <w:r>
              <w:rPr>
                <w:b w:val="0"/>
                <w:sz w:val="20"/>
              </w:rPr>
              <w:t xml:space="preserve"> St., NY, New York</w:t>
            </w:r>
          </w:p>
        </w:tc>
        <w:tc>
          <w:tcPr>
            <w:tcW w:w="1620" w:type="dxa"/>
          </w:tcPr>
          <w:p w14:paraId="63A5A9EB" w14:textId="6B313307" w:rsidR="008B0E87" w:rsidRDefault="008B0E87" w:rsidP="008B0E87">
            <w:pPr>
              <w:pStyle w:val="T2"/>
              <w:spacing w:after="0"/>
              <w:ind w:left="0" w:right="0"/>
              <w:rPr>
                <w:b w:val="0"/>
                <w:sz w:val="20"/>
              </w:rPr>
            </w:pPr>
            <w:r>
              <w:rPr>
                <w:b w:val="0"/>
                <w:sz w:val="20"/>
              </w:rPr>
              <w:t>+1 631.622.4239</w:t>
            </w:r>
          </w:p>
        </w:tc>
        <w:tc>
          <w:tcPr>
            <w:tcW w:w="2178" w:type="dxa"/>
          </w:tcPr>
          <w:p w14:paraId="65747862" w14:textId="6F776D61" w:rsidR="008B0E87" w:rsidRDefault="008B0E87" w:rsidP="008B0E87">
            <w:pPr>
              <w:pStyle w:val="T2"/>
              <w:spacing w:after="0"/>
              <w:ind w:left="0" w:right="0"/>
              <w:rPr>
                <w:b w:val="0"/>
                <w:sz w:val="16"/>
              </w:rPr>
            </w:pPr>
            <w:r>
              <w:rPr>
                <w:b w:val="0"/>
                <w:sz w:val="16"/>
              </w:rPr>
              <w:t>joseph.levy@interdigital.com</w:t>
            </w:r>
          </w:p>
        </w:tc>
      </w:tr>
      <w:tr w:rsidR="00CA09B2" w14:paraId="139AE196" w14:textId="77777777" w:rsidTr="008B0E87">
        <w:trPr>
          <w:jc w:val="center"/>
        </w:trPr>
        <w:tc>
          <w:tcPr>
            <w:tcW w:w="1368" w:type="dxa"/>
            <w:vAlign w:val="center"/>
          </w:tcPr>
          <w:p w14:paraId="38A24E5B" w14:textId="77777777" w:rsidR="00CA09B2" w:rsidRDefault="00CA09B2">
            <w:pPr>
              <w:pStyle w:val="T2"/>
              <w:spacing w:after="0"/>
              <w:ind w:left="0" w:right="0"/>
              <w:rPr>
                <w:b w:val="0"/>
                <w:sz w:val="20"/>
              </w:rPr>
            </w:pPr>
          </w:p>
        </w:tc>
        <w:tc>
          <w:tcPr>
            <w:tcW w:w="1620" w:type="dxa"/>
            <w:vAlign w:val="center"/>
          </w:tcPr>
          <w:p w14:paraId="45A4CCD4" w14:textId="77777777" w:rsidR="00CA09B2" w:rsidRDefault="00CA09B2">
            <w:pPr>
              <w:pStyle w:val="T2"/>
              <w:spacing w:after="0"/>
              <w:ind w:left="0" w:right="0"/>
              <w:rPr>
                <w:b w:val="0"/>
                <w:sz w:val="20"/>
              </w:rPr>
            </w:pPr>
          </w:p>
        </w:tc>
        <w:tc>
          <w:tcPr>
            <w:tcW w:w="2790" w:type="dxa"/>
            <w:vAlign w:val="center"/>
          </w:tcPr>
          <w:p w14:paraId="5E52BDB3" w14:textId="77777777" w:rsidR="00CA09B2" w:rsidRDefault="00CA09B2">
            <w:pPr>
              <w:pStyle w:val="T2"/>
              <w:spacing w:after="0"/>
              <w:ind w:left="0" w:right="0"/>
              <w:rPr>
                <w:b w:val="0"/>
                <w:sz w:val="20"/>
              </w:rPr>
            </w:pPr>
          </w:p>
        </w:tc>
        <w:tc>
          <w:tcPr>
            <w:tcW w:w="1620" w:type="dxa"/>
            <w:vAlign w:val="center"/>
          </w:tcPr>
          <w:p w14:paraId="27447051" w14:textId="77777777" w:rsidR="00CA09B2" w:rsidRDefault="00CA09B2">
            <w:pPr>
              <w:pStyle w:val="T2"/>
              <w:spacing w:after="0"/>
              <w:ind w:left="0" w:right="0"/>
              <w:rPr>
                <w:b w:val="0"/>
                <w:sz w:val="20"/>
              </w:rPr>
            </w:pPr>
          </w:p>
        </w:tc>
        <w:tc>
          <w:tcPr>
            <w:tcW w:w="2178" w:type="dxa"/>
            <w:vAlign w:val="center"/>
          </w:tcPr>
          <w:p w14:paraId="0795A9AC" w14:textId="77777777" w:rsidR="00CA09B2" w:rsidRDefault="00CA09B2">
            <w:pPr>
              <w:pStyle w:val="T2"/>
              <w:spacing w:after="0"/>
              <w:ind w:left="0" w:right="0"/>
              <w:rPr>
                <w:b w:val="0"/>
                <w:sz w:val="16"/>
              </w:rPr>
            </w:pPr>
          </w:p>
        </w:tc>
      </w:tr>
      <w:tr w:rsidR="00CA09B2" w14:paraId="1CC4B36B" w14:textId="77777777" w:rsidTr="008B0E87">
        <w:trPr>
          <w:jc w:val="center"/>
        </w:trPr>
        <w:tc>
          <w:tcPr>
            <w:tcW w:w="1368" w:type="dxa"/>
            <w:vAlign w:val="center"/>
          </w:tcPr>
          <w:p w14:paraId="37CCF083" w14:textId="77777777" w:rsidR="00CA09B2" w:rsidRDefault="00CA09B2">
            <w:pPr>
              <w:pStyle w:val="T2"/>
              <w:spacing w:after="0"/>
              <w:ind w:left="0" w:right="0"/>
              <w:rPr>
                <w:b w:val="0"/>
                <w:sz w:val="20"/>
              </w:rPr>
            </w:pPr>
          </w:p>
        </w:tc>
        <w:tc>
          <w:tcPr>
            <w:tcW w:w="1620" w:type="dxa"/>
            <w:vAlign w:val="center"/>
          </w:tcPr>
          <w:p w14:paraId="4C33B432" w14:textId="77777777" w:rsidR="00CA09B2" w:rsidRDefault="00CA09B2">
            <w:pPr>
              <w:pStyle w:val="T2"/>
              <w:spacing w:after="0"/>
              <w:ind w:left="0" w:right="0"/>
              <w:rPr>
                <w:b w:val="0"/>
                <w:sz w:val="20"/>
              </w:rPr>
            </w:pPr>
          </w:p>
        </w:tc>
        <w:tc>
          <w:tcPr>
            <w:tcW w:w="2790" w:type="dxa"/>
            <w:vAlign w:val="center"/>
          </w:tcPr>
          <w:p w14:paraId="7694BD80" w14:textId="77777777" w:rsidR="00CA09B2" w:rsidRDefault="00CA09B2">
            <w:pPr>
              <w:pStyle w:val="T2"/>
              <w:spacing w:after="0"/>
              <w:ind w:left="0" w:right="0"/>
              <w:rPr>
                <w:b w:val="0"/>
                <w:sz w:val="20"/>
              </w:rPr>
            </w:pPr>
          </w:p>
        </w:tc>
        <w:tc>
          <w:tcPr>
            <w:tcW w:w="1620" w:type="dxa"/>
            <w:vAlign w:val="center"/>
          </w:tcPr>
          <w:p w14:paraId="4336C173" w14:textId="77777777" w:rsidR="00CA09B2" w:rsidRDefault="00CA09B2">
            <w:pPr>
              <w:pStyle w:val="T2"/>
              <w:spacing w:after="0"/>
              <w:ind w:left="0" w:right="0"/>
              <w:rPr>
                <w:b w:val="0"/>
                <w:sz w:val="20"/>
              </w:rPr>
            </w:pPr>
          </w:p>
        </w:tc>
        <w:tc>
          <w:tcPr>
            <w:tcW w:w="2178" w:type="dxa"/>
            <w:vAlign w:val="center"/>
          </w:tcPr>
          <w:p w14:paraId="26A82CA0" w14:textId="77777777" w:rsidR="00CA09B2" w:rsidRDefault="00CA09B2">
            <w:pPr>
              <w:pStyle w:val="T2"/>
              <w:spacing w:after="0"/>
              <w:ind w:left="0" w:right="0"/>
              <w:rPr>
                <w:b w:val="0"/>
                <w:sz w:val="16"/>
              </w:rPr>
            </w:pPr>
          </w:p>
        </w:tc>
      </w:tr>
    </w:tbl>
    <w:p w14:paraId="4123D9AD" w14:textId="77777777" w:rsidR="00CA09B2" w:rsidRDefault="002A5B66">
      <w:pPr>
        <w:pStyle w:val="T1"/>
        <w:spacing w:after="120"/>
        <w:rPr>
          <w:sz w:val="22"/>
        </w:rPr>
      </w:pPr>
      <w:r>
        <w:rPr>
          <w:noProof/>
        </w:rPr>
        <w:pict w14:anchorId="389337BC">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6D802C86" w14:textId="77777777" w:rsidR="0029020B" w:rsidRPr="00030F5C" w:rsidRDefault="0029020B">
                  <w:pPr>
                    <w:pStyle w:val="T1"/>
                    <w:spacing w:after="120"/>
                    <w:rPr>
                      <w:lang w:val="fr-FR"/>
                    </w:rPr>
                  </w:pPr>
                  <w:r w:rsidRPr="00030F5C">
                    <w:rPr>
                      <w:lang w:val="fr-FR"/>
                    </w:rPr>
                    <w:t>Abstract</w:t>
                  </w:r>
                </w:p>
                <w:p w14:paraId="69390A96" w14:textId="36537D3A" w:rsidR="0029020B" w:rsidRPr="00030F5C" w:rsidRDefault="00030F5C">
                  <w:pPr>
                    <w:jc w:val="both"/>
                    <w:rPr>
                      <w:lang w:val="en-US"/>
                    </w:rPr>
                  </w:pPr>
                  <w:r>
                    <w:rPr>
                      <w:lang w:val="en-US"/>
                    </w:rPr>
                    <w:t xml:space="preserve">This </w:t>
                  </w:r>
                  <w:r w:rsidR="0029020B" w:rsidRPr="00030F5C">
                    <w:rPr>
                      <w:lang w:val="en-US"/>
                    </w:rPr>
                    <w:t xml:space="preserve">document </w:t>
                  </w:r>
                  <w:r>
                    <w:rPr>
                      <w:lang w:val="en-US"/>
                    </w:rPr>
                    <w:t xml:space="preserve">provides proposed comment resolutions for </w:t>
                  </w:r>
                  <w:r w:rsidR="007018B2">
                    <w:rPr>
                      <w:lang w:val="en-US"/>
                    </w:rPr>
                    <w:t>some comments</w:t>
                  </w:r>
                  <w:r w:rsidR="00652B05">
                    <w:rPr>
                      <w:lang w:val="en-US"/>
                    </w:rPr>
                    <w:t xml:space="preserve"> submitted in response to the 802.11 TGbd D0.3 </w:t>
                  </w:r>
                  <w:r w:rsidR="00B8488B">
                    <w:rPr>
                      <w:lang w:val="en-US"/>
                    </w:rPr>
                    <w:t>internal</w:t>
                  </w:r>
                  <w:r w:rsidR="00D22E9D">
                    <w:rPr>
                      <w:lang w:val="en-US"/>
                    </w:rPr>
                    <w:t xml:space="preserve"> </w:t>
                  </w:r>
                  <w:r w:rsidR="00652B05">
                    <w:rPr>
                      <w:lang w:val="en-US"/>
                    </w:rPr>
                    <w:t>comment collection.</w:t>
                  </w:r>
                  <w:r w:rsidR="00D22E9D">
                    <w:rPr>
                      <w:lang w:val="en-US"/>
                    </w:rPr>
                    <w:t xml:space="preserve">  CIDs: </w:t>
                  </w:r>
                  <w:r w:rsidR="00D22E9D" w:rsidRPr="00B34409">
                    <w:t>2</w:t>
                  </w:r>
                  <w:r w:rsidR="00D22E9D">
                    <w:t xml:space="preserve">, </w:t>
                  </w:r>
                  <w:r w:rsidR="00D22E9D" w:rsidRPr="00B34409">
                    <w:t>3</w:t>
                  </w:r>
                  <w:r w:rsidR="00D22E9D">
                    <w:t xml:space="preserve">, </w:t>
                  </w:r>
                  <w:r w:rsidR="00D22E9D" w:rsidRPr="00B34409">
                    <w:t>30</w:t>
                  </w:r>
                  <w:r w:rsidR="00D22E9D">
                    <w:t xml:space="preserve">, </w:t>
                  </w:r>
                  <w:r w:rsidR="00D22E9D" w:rsidRPr="00B34409">
                    <w:t>52</w:t>
                  </w:r>
                  <w:r w:rsidR="00D22E9D">
                    <w:t xml:space="preserve">, </w:t>
                  </w:r>
                  <w:r w:rsidR="00D22E9D" w:rsidRPr="00B34409">
                    <w:t>53</w:t>
                  </w:r>
                  <w:r w:rsidR="00D22E9D">
                    <w:t xml:space="preserve">, </w:t>
                  </w:r>
                  <w:r w:rsidR="00D22E9D" w:rsidRPr="00B34409">
                    <w:t>54</w:t>
                  </w:r>
                  <w:r w:rsidR="00D22E9D">
                    <w:t xml:space="preserve">, </w:t>
                  </w:r>
                  <w:r w:rsidR="00D22E9D" w:rsidRPr="00B34409">
                    <w:t>173</w:t>
                  </w:r>
                  <w:r w:rsidR="00D22E9D">
                    <w:t xml:space="preserve">, </w:t>
                  </w:r>
                  <w:r w:rsidR="00D22E9D" w:rsidRPr="00B34409">
                    <w:t>210</w:t>
                  </w:r>
                  <w:r w:rsidR="00D22E9D">
                    <w:t xml:space="preserve">, </w:t>
                  </w:r>
                  <w:r w:rsidR="00D22E9D" w:rsidRPr="00B34409">
                    <w:t>211</w:t>
                  </w:r>
                  <w:r w:rsidR="00D22E9D">
                    <w:t xml:space="preserve">, </w:t>
                  </w:r>
                  <w:r w:rsidR="00D22E9D" w:rsidRPr="00B34409">
                    <w:t>212</w:t>
                  </w:r>
                  <w:r w:rsidR="00D22E9D">
                    <w:t xml:space="preserve">, and </w:t>
                  </w:r>
                  <w:r w:rsidR="00D22E9D" w:rsidRPr="00B34409">
                    <w:t>213</w:t>
                  </w:r>
                  <w:r w:rsidR="00652B05">
                    <w:rPr>
                      <w:lang w:val="en-US"/>
                    </w:rPr>
                    <w:t xml:space="preserve"> </w:t>
                  </w:r>
                  <w:r w:rsidR="00D22E9D">
                    <w:rPr>
                      <w:lang w:val="en-US"/>
                    </w:rPr>
                    <w:t>are addressed.</w:t>
                  </w:r>
                </w:p>
              </w:txbxContent>
            </v:textbox>
          </v:shape>
        </w:pict>
      </w:r>
    </w:p>
    <w:p w14:paraId="18F27176" w14:textId="04E9E2E1" w:rsidR="005814C9" w:rsidRDefault="00CA09B2">
      <w:r>
        <w:br w:type="page"/>
      </w:r>
      <w:r w:rsidR="008D595C">
        <w:lastRenderedPageBreak/>
        <w:t xml:space="preserve">The comments are </w:t>
      </w:r>
      <w:r w:rsidR="0016140B">
        <w:t xml:space="preserve">available in: </w:t>
      </w:r>
      <w:hyperlink r:id="rId10" w:history="1">
        <w:r w:rsidR="0016140B" w:rsidRPr="000B5E7E">
          <w:rPr>
            <w:rStyle w:val="Hyperlink"/>
          </w:rPr>
          <w:t>https://mentor.ieee.org/802.11/dcn/20/11-20-0701-01-00bd-tgbd-d0-3-comments.xlsx</w:t>
        </w:r>
      </w:hyperlink>
      <w:r w:rsidR="004C2290">
        <w:t>.</w:t>
      </w:r>
      <w:r w:rsidR="008D595C">
        <w:t xml:space="preserve"> </w:t>
      </w:r>
      <w:r w:rsidR="005814C9">
        <w:t>The proposed resolutions are grouped by clause, page and line number.</w:t>
      </w:r>
    </w:p>
    <w:p w14:paraId="5B3DABB7" w14:textId="77777777" w:rsidR="005814C9" w:rsidRDefault="005814C9"/>
    <w:p w14:paraId="368F17BB" w14:textId="3B7CFC56" w:rsidR="005724DE" w:rsidRPr="00ED7D55" w:rsidRDefault="005724DE" w:rsidP="005724DE">
      <w:pPr>
        <w:keepNext/>
        <w:rPr>
          <w:b/>
          <w:bCs/>
        </w:rPr>
      </w:pPr>
      <w:r>
        <w:rPr>
          <w:b/>
          <w:bCs/>
        </w:rPr>
        <w:t>CIDs for</w:t>
      </w:r>
      <w:r w:rsidRPr="00ED7D55">
        <w:rPr>
          <w:b/>
          <w:bCs/>
        </w:rPr>
        <w:t xml:space="preserve"> Clause 3.2, Page 13, line </w:t>
      </w:r>
      <w:r w:rsidR="00E61498">
        <w:rPr>
          <w:b/>
          <w:bCs/>
        </w:rPr>
        <w:t>07</w:t>
      </w:r>
      <w:r w:rsidRPr="00ED7D55">
        <w:rPr>
          <w:b/>
          <w:bCs/>
        </w:rPr>
        <w: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010"/>
        <w:gridCol w:w="2790"/>
        <w:gridCol w:w="4320"/>
      </w:tblGrid>
      <w:tr w:rsidR="002A5B66" w:rsidRPr="00AA6B72" w14:paraId="31C2D430" w14:textId="77777777" w:rsidTr="002A5B66">
        <w:trPr>
          <w:trHeight w:val="422"/>
        </w:trPr>
        <w:tc>
          <w:tcPr>
            <w:tcW w:w="608" w:type="dxa"/>
            <w:tcBorders>
              <w:bottom w:val="single" w:sz="4" w:space="0" w:color="auto"/>
            </w:tcBorders>
            <w:shd w:val="clear" w:color="auto" w:fill="auto"/>
          </w:tcPr>
          <w:p w14:paraId="2A8E4171" w14:textId="77777777" w:rsidR="005724DE" w:rsidRPr="00AA6B72" w:rsidRDefault="005724DE" w:rsidP="002A5B66">
            <w:pPr>
              <w:keepNext/>
            </w:pPr>
            <w:r>
              <w:t>CID</w:t>
            </w:r>
          </w:p>
        </w:tc>
        <w:tc>
          <w:tcPr>
            <w:tcW w:w="3010" w:type="dxa"/>
            <w:tcBorders>
              <w:bottom w:val="single" w:sz="4" w:space="0" w:color="auto"/>
            </w:tcBorders>
            <w:shd w:val="clear" w:color="auto" w:fill="auto"/>
          </w:tcPr>
          <w:p w14:paraId="2E716418" w14:textId="77777777" w:rsidR="005724DE" w:rsidRPr="00AA6B72" w:rsidRDefault="005724DE" w:rsidP="002A5B66">
            <w:pPr>
              <w:keepNext/>
            </w:pPr>
            <w:r>
              <w:t xml:space="preserve">Comment </w:t>
            </w:r>
          </w:p>
        </w:tc>
        <w:tc>
          <w:tcPr>
            <w:tcW w:w="2790" w:type="dxa"/>
            <w:tcBorders>
              <w:bottom w:val="single" w:sz="4" w:space="0" w:color="auto"/>
            </w:tcBorders>
            <w:shd w:val="clear" w:color="auto" w:fill="auto"/>
          </w:tcPr>
          <w:p w14:paraId="4F19B09A" w14:textId="77777777" w:rsidR="005724DE" w:rsidRPr="00AA6B72" w:rsidRDefault="005724DE" w:rsidP="002A5B66">
            <w:pPr>
              <w:keepNext/>
            </w:pPr>
            <w:r>
              <w:t>Proposed Change</w:t>
            </w:r>
          </w:p>
        </w:tc>
        <w:tc>
          <w:tcPr>
            <w:tcW w:w="4320" w:type="dxa"/>
            <w:tcBorders>
              <w:bottom w:val="single" w:sz="4" w:space="0" w:color="auto"/>
            </w:tcBorders>
            <w:shd w:val="clear" w:color="auto" w:fill="auto"/>
          </w:tcPr>
          <w:p w14:paraId="2798F384" w14:textId="77777777" w:rsidR="005724DE" w:rsidRPr="00AA6B72" w:rsidRDefault="005724DE" w:rsidP="002A5B66">
            <w:pPr>
              <w:keepNext/>
            </w:pPr>
            <w:r>
              <w:t>Proposed Resolution</w:t>
            </w:r>
          </w:p>
        </w:tc>
      </w:tr>
      <w:tr w:rsidR="002A5B66" w:rsidRPr="00105CFA" w14:paraId="5176935B" w14:textId="77777777" w:rsidTr="002A5B66">
        <w:trPr>
          <w:trHeight w:val="2762"/>
        </w:trPr>
        <w:tc>
          <w:tcPr>
            <w:tcW w:w="608" w:type="dxa"/>
            <w:tcBorders>
              <w:top w:val="single" w:sz="4" w:space="0" w:color="auto"/>
              <w:bottom w:val="single" w:sz="4" w:space="0" w:color="auto"/>
              <w:right w:val="single" w:sz="4" w:space="0" w:color="auto"/>
            </w:tcBorders>
            <w:shd w:val="clear" w:color="auto" w:fill="auto"/>
            <w:hideMark/>
          </w:tcPr>
          <w:p w14:paraId="1A5308FC" w14:textId="4412E2E5" w:rsidR="00E61498" w:rsidRPr="002A5B66" w:rsidRDefault="00E61498" w:rsidP="002A5B66">
            <w:pPr>
              <w:keepNext/>
              <w:rPr>
                <w:lang w:val="en-US"/>
              </w:rPr>
            </w:pPr>
            <w:r w:rsidRPr="002A5B66">
              <w:rPr>
                <w:rFonts w:ascii="Arial" w:hAnsi="Arial" w:cs="Arial"/>
                <w:sz w:val="20"/>
              </w:rPr>
              <w:t>2</w:t>
            </w:r>
          </w:p>
        </w:tc>
        <w:tc>
          <w:tcPr>
            <w:tcW w:w="3010" w:type="dxa"/>
            <w:tcBorders>
              <w:top w:val="single" w:sz="4" w:space="0" w:color="auto"/>
              <w:left w:val="single" w:sz="4" w:space="0" w:color="auto"/>
              <w:bottom w:val="single" w:sz="4" w:space="0" w:color="auto"/>
              <w:right w:val="single" w:sz="4" w:space="0" w:color="auto"/>
            </w:tcBorders>
            <w:shd w:val="clear" w:color="auto" w:fill="auto"/>
            <w:hideMark/>
          </w:tcPr>
          <w:p w14:paraId="7E8C7353" w14:textId="223D8D3F" w:rsidR="00E61498" w:rsidRPr="002A5B66" w:rsidRDefault="00E61498" w:rsidP="002A5B66">
            <w:pPr>
              <w:keepNext/>
              <w:rPr>
                <w:rFonts w:ascii="Arial" w:hAnsi="Arial" w:cs="Arial"/>
                <w:sz w:val="20"/>
                <w:lang w:val="en-US"/>
              </w:rPr>
            </w:pPr>
            <w:r w:rsidRPr="002A5B66">
              <w:rPr>
                <w:rFonts w:ascii="Arial" w:hAnsi="Arial" w:cs="Arial"/>
                <w:sz w:val="20"/>
              </w:rPr>
              <w:t>NGV transmission needs to be added to the list of 20 MHz mask PHY PPDUs and 20 MHZ PHY PPDUs</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6D3137CD" w14:textId="47512C40" w:rsidR="00E61498" w:rsidRPr="002A5B66" w:rsidRDefault="00E61498" w:rsidP="002A5B66">
            <w:pPr>
              <w:keepNext/>
              <w:rPr>
                <w:lang w:val="en-US"/>
              </w:rPr>
            </w:pPr>
            <w:r w:rsidRPr="002A5B66">
              <w:rPr>
                <w:rFonts w:ascii="Arial" w:hAnsi="Arial" w:cs="Arial"/>
                <w:sz w:val="20"/>
              </w:rPr>
              <w:t>Need a contribution to add the NGV transmissions to the 2 paragraphs related to 20 MHZ mask PHY PPDUs and 20 MHz PHY PPDUs.</w:t>
            </w:r>
          </w:p>
        </w:tc>
        <w:tc>
          <w:tcPr>
            <w:tcW w:w="4320" w:type="dxa"/>
            <w:tcBorders>
              <w:top w:val="single" w:sz="4" w:space="0" w:color="auto"/>
              <w:left w:val="single" w:sz="4" w:space="0" w:color="auto"/>
              <w:bottom w:val="single" w:sz="4" w:space="0" w:color="auto"/>
            </w:tcBorders>
            <w:shd w:val="clear" w:color="auto" w:fill="auto"/>
          </w:tcPr>
          <w:p w14:paraId="4366F8D4" w14:textId="3FCDA3D7" w:rsidR="00CE3AE8" w:rsidRDefault="00E61498" w:rsidP="00E61498">
            <w:r w:rsidRPr="002A5B66">
              <w:rPr>
                <w:b/>
                <w:bCs/>
              </w:rPr>
              <w:t>Revised:</w:t>
            </w:r>
            <w:r w:rsidR="00CE3AE8">
              <w:t xml:space="preserve"> </w:t>
            </w:r>
            <w:r w:rsidR="00997407">
              <w:t xml:space="preserve">Contribution required if it is desired to add this definition.  </w:t>
            </w:r>
          </w:p>
          <w:p w14:paraId="10E58D9E" w14:textId="3B7337BF" w:rsidR="00E61498" w:rsidRPr="00D639BB" w:rsidRDefault="00CE3AE8" w:rsidP="00395863">
            <w:r>
              <w:t xml:space="preserve">Note: </w:t>
            </w:r>
            <w:r w:rsidR="00607751">
              <w:t>C</w:t>
            </w:r>
            <w:r>
              <w:t xml:space="preserve">urrently there is no definition for a 10 MHz PPDU in the base line specification.  </w:t>
            </w:r>
            <w:r w:rsidR="00620BBB">
              <w:t xml:space="preserve">The </w:t>
            </w:r>
            <w:r w:rsidR="00E63C50">
              <w:t>802.11-</w:t>
            </w:r>
            <w:r w:rsidR="00780D93">
              <w:t xml:space="preserve">2016 and </w:t>
            </w:r>
            <w:r w:rsidR="00DD7B0F">
              <w:t>802.11</w:t>
            </w:r>
            <w:r w:rsidR="00780D93">
              <w:t>md</w:t>
            </w:r>
            <w:r w:rsidR="00DD7B0F">
              <w:t>_D3.0</w:t>
            </w:r>
            <w:r w:rsidR="00780D93">
              <w:t xml:space="preserve"> specification</w:t>
            </w:r>
            <w:r w:rsidR="00F4426E">
              <w:t xml:space="preserve">s </w:t>
            </w:r>
            <w:r w:rsidR="00780D93">
              <w:t xml:space="preserve">only provide </w:t>
            </w:r>
            <w:r w:rsidR="008F6C93">
              <w:t xml:space="preserve">transmit spectrum </w:t>
            </w:r>
            <w:r w:rsidR="00780D93">
              <w:t>m</w:t>
            </w:r>
            <w:r w:rsidR="008437FA">
              <w:t>ask</w:t>
            </w:r>
            <w:r w:rsidR="008F6C93">
              <w:t xml:space="preserve">s </w:t>
            </w:r>
            <w:r w:rsidR="008437FA">
              <w:t>for</w:t>
            </w:r>
            <w:r w:rsidR="00B40466">
              <w:t xml:space="preserve"> </w:t>
            </w:r>
            <w:r w:rsidR="008F6C93">
              <w:t xml:space="preserve">the </w:t>
            </w:r>
            <w:r w:rsidR="00B40466">
              <w:t>5, 10, and 20 MHz</w:t>
            </w:r>
            <w:r w:rsidR="008437FA">
              <w:t xml:space="preserve"> </w:t>
            </w:r>
            <w:r w:rsidR="00CA6D5A">
              <w:t xml:space="preserve">nominal </w:t>
            </w:r>
            <w:r w:rsidR="00B40466">
              <w:t>bandwidths</w:t>
            </w:r>
            <w:r w:rsidR="007C1669">
              <w:t xml:space="preserve"> for the </w:t>
            </w:r>
            <w:r w:rsidR="0098176C">
              <w:t xml:space="preserve"> </w:t>
            </w:r>
            <w:r w:rsidR="007C1669">
              <w:t xml:space="preserve">5.85-5.925 GHz </w:t>
            </w:r>
            <w:r w:rsidR="0098176C">
              <w:t>i</w:t>
            </w:r>
            <w:r w:rsidR="003743E4">
              <w:t>n Annex D (which is normative)</w:t>
            </w:r>
            <w:r w:rsidR="00995485">
              <w:t>, Clause</w:t>
            </w:r>
            <w:r w:rsidR="003743E4">
              <w:t xml:space="preserve"> </w:t>
            </w:r>
            <w:r w:rsidR="00B879FE">
              <w:t>D.2.3 (802.11md_D3.0</w:t>
            </w:r>
            <w:r w:rsidR="00C125C6">
              <w:t xml:space="preserve">, page 4365). </w:t>
            </w:r>
            <w:r w:rsidR="00EC102E">
              <w:t xml:space="preserve"> Are additional definitions required? Desired?</w:t>
            </w:r>
          </w:p>
        </w:tc>
      </w:tr>
      <w:tr w:rsidR="002A5B66" w:rsidRPr="00105CFA" w14:paraId="1AC0C1AF" w14:textId="77777777" w:rsidTr="002A5B66">
        <w:trPr>
          <w:trHeight w:val="792"/>
        </w:trPr>
        <w:tc>
          <w:tcPr>
            <w:tcW w:w="608" w:type="dxa"/>
            <w:tcBorders>
              <w:top w:val="single" w:sz="4" w:space="0" w:color="auto"/>
              <w:bottom w:val="single" w:sz="4" w:space="0" w:color="auto"/>
              <w:right w:val="single" w:sz="4" w:space="0" w:color="auto"/>
            </w:tcBorders>
            <w:shd w:val="clear" w:color="auto" w:fill="auto"/>
          </w:tcPr>
          <w:p w14:paraId="4CFFE34C" w14:textId="7FEF16AA" w:rsidR="00E61498" w:rsidRDefault="00E61498" w:rsidP="002A5B66">
            <w:pPr>
              <w:keepNext/>
            </w:pPr>
            <w:r w:rsidRPr="002A5B66">
              <w:rPr>
                <w:rFonts w:ascii="Arial" w:hAnsi="Arial" w:cs="Arial"/>
                <w:sz w:val="20"/>
              </w:rPr>
              <w:t>3</w:t>
            </w:r>
          </w:p>
        </w:tc>
        <w:tc>
          <w:tcPr>
            <w:tcW w:w="3010" w:type="dxa"/>
            <w:tcBorders>
              <w:top w:val="single" w:sz="4" w:space="0" w:color="auto"/>
              <w:left w:val="single" w:sz="4" w:space="0" w:color="auto"/>
              <w:bottom w:val="single" w:sz="4" w:space="0" w:color="auto"/>
              <w:right w:val="single" w:sz="4" w:space="0" w:color="auto"/>
            </w:tcBorders>
            <w:shd w:val="clear" w:color="auto" w:fill="auto"/>
          </w:tcPr>
          <w:p w14:paraId="0FBFC144" w14:textId="090967F3" w:rsidR="00E61498" w:rsidRPr="002A5B66" w:rsidRDefault="00E61498" w:rsidP="002A5B66">
            <w:pPr>
              <w:keepNext/>
              <w:rPr>
                <w:rFonts w:ascii="Arial" w:hAnsi="Arial" w:cs="Arial"/>
                <w:sz w:val="20"/>
              </w:rPr>
            </w:pPr>
            <w:r w:rsidRPr="002A5B66">
              <w:rPr>
                <w:rFonts w:ascii="Arial" w:hAnsi="Arial" w:cs="Arial"/>
                <w:sz w:val="20"/>
              </w:rPr>
              <w:t>10 MHz PPDU definition is missing</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65FB56" w14:textId="2B7C661A" w:rsidR="00E61498" w:rsidRPr="002A5B66" w:rsidRDefault="00E61498" w:rsidP="002A5B66">
            <w:pPr>
              <w:keepNext/>
              <w:rPr>
                <w:rFonts w:ascii="Arial" w:hAnsi="Arial" w:cs="Arial"/>
                <w:sz w:val="20"/>
              </w:rPr>
            </w:pPr>
            <w:r w:rsidRPr="002A5B66">
              <w:rPr>
                <w:rFonts w:ascii="Arial" w:hAnsi="Arial" w:cs="Arial"/>
                <w:sz w:val="20"/>
              </w:rPr>
              <w:t>Need a contribution to add definition for 10 MHz PHY PPDU and 10 MHz mask PHY PPDU</w:t>
            </w:r>
          </w:p>
        </w:tc>
        <w:tc>
          <w:tcPr>
            <w:tcW w:w="4320" w:type="dxa"/>
            <w:tcBorders>
              <w:top w:val="single" w:sz="4" w:space="0" w:color="auto"/>
              <w:left w:val="single" w:sz="4" w:space="0" w:color="auto"/>
              <w:bottom w:val="single" w:sz="4" w:space="0" w:color="auto"/>
            </w:tcBorders>
            <w:shd w:val="clear" w:color="auto" w:fill="auto"/>
          </w:tcPr>
          <w:p w14:paraId="491C0516" w14:textId="3F483CE0" w:rsidR="00395863" w:rsidRDefault="00E61498" w:rsidP="00395863">
            <w:r w:rsidRPr="002A5B66">
              <w:rPr>
                <w:b/>
                <w:bCs/>
              </w:rPr>
              <w:t>Revised:</w:t>
            </w:r>
            <w:r w:rsidR="00395863">
              <w:t xml:space="preserve"> </w:t>
            </w:r>
            <w:r w:rsidR="00395863">
              <w:t xml:space="preserve">Contribution required if it is desired to add this definition.  </w:t>
            </w:r>
          </w:p>
          <w:p w14:paraId="3CA82C85" w14:textId="16BA8231" w:rsidR="00E61498" w:rsidRDefault="00395863" w:rsidP="00395863">
            <w:r>
              <w:t>Note: Currently there is no definition for a 10 MHz PPDU in the base line specification.  The 802.11-2016 and 802.11md_D3.0 specifications only provide transmit spectrum masks for the 5, 10, and 20 MHz nominal bandwidths for the  5.85-5.925 GHz in Annex D (which is normative), Clause D.2.3 (802.11md_D3.0, page 4365).  Are additional definitions required? Desired?</w:t>
            </w:r>
          </w:p>
        </w:tc>
      </w:tr>
    </w:tbl>
    <w:p w14:paraId="46E7680A" w14:textId="77777777" w:rsidR="005724DE" w:rsidRDefault="005724DE">
      <w:pPr>
        <w:rPr>
          <w:b/>
          <w:bCs/>
        </w:rPr>
      </w:pPr>
    </w:p>
    <w:p w14:paraId="4FE4DB05" w14:textId="464E5A34" w:rsidR="00AA6B72" w:rsidRPr="005814C9" w:rsidRDefault="000437EA">
      <w:pPr>
        <w:rPr>
          <w:b/>
          <w:bCs/>
        </w:rPr>
      </w:pPr>
      <w:r>
        <w:rPr>
          <w:b/>
          <w:bCs/>
        </w:rPr>
        <w:t xml:space="preserve">CIDs for </w:t>
      </w:r>
      <w:r w:rsidR="006A4A5B" w:rsidRPr="005814C9">
        <w:rPr>
          <w:b/>
          <w:bCs/>
        </w:rPr>
        <w:t>Clause 3.2</w:t>
      </w:r>
      <w:r w:rsidR="005814C9" w:rsidRPr="005814C9">
        <w:rPr>
          <w:b/>
          <w:bCs/>
        </w:rPr>
        <w:t>, Page 13, line 12</w:t>
      </w:r>
      <w:r w:rsidR="006A4A5B" w:rsidRPr="005814C9">
        <w:rPr>
          <w:b/>
          <w:bCs/>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234"/>
        <w:gridCol w:w="2780"/>
        <w:gridCol w:w="3886"/>
      </w:tblGrid>
      <w:tr w:rsidR="002A5B66" w:rsidRPr="00AA6B72" w14:paraId="17F5C205" w14:textId="77777777" w:rsidTr="002A5B66">
        <w:trPr>
          <w:trHeight w:val="422"/>
        </w:trPr>
        <w:tc>
          <w:tcPr>
            <w:tcW w:w="648" w:type="dxa"/>
            <w:shd w:val="clear" w:color="auto" w:fill="auto"/>
          </w:tcPr>
          <w:p w14:paraId="67424C66" w14:textId="1BEC226B" w:rsidR="006A6546" w:rsidRPr="00AA6B72" w:rsidRDefault="00ED7D55" w:rsidP="00AA6B72">
            <w:r>
              <w:t>CID</w:t>
            </w:r>
          </w:p>
        </w:tc>
        <w:tc>
          <w:tcPr>
            <w:tcW w:w="3234" w:type="dxa"/>
            <w:shd w:val="clear" w:color="auto" w:fill="auto"/>
          </w:tcPr>
          <w:p w14:paraId="7579C64F" w14:textId="18EABAAE" w:rsidR="006A6546" w:rsidRPr="00AA6B72" w:rsidRDefault="006A6546">
            <w:r>
              <w:t xml:space="preserve">Comment </w:t>
            </w:r>
          </w:p>
        </w:tc>
        <w:tc>
          <w:tcPr>
            <w:tcW w:w="2780" w:type="dxa"/>
            <w:shd w:val="clear" w:color="auto" w:fill="auto"/>
          </w:tcPr>
          <w:p w14:paraId="5BB9BC0F" w14:textId="1BF214AF" w:rsidR="006A6546" w:rsidRPr="00AA6B72" w:rsidRDefault="006A6546">
            <w:r>
              <w:t>Proposed Change</w:t>
            </w:r>
          </w:p>
        </w:tc>
        <w:tc>
          <w:tcPr>
            <w:tcW w:w="3886" w:type="dxa"/>
            <w:shd w:val="clear" w:color="auto" w:fill="auto"/>
          </w:tcPr>
          <w:p w14:paraId="7F7072EC" w14:textId="01975C6C" w:rsidR="006A6546" w:rsidRPr="00AA6B72" w:rsidRDefault="006A6546">
            <w:r>
              <w:t>Proposed Resolution</w:t>
            </w:r>
          </w:p>
        </w:tc>
      </w:tr>
      <w:tr w:rsidR="002A5B66" w:rsidRPr="00AA6B72" w14:paraId="47D3E83F" w14:textId="272D71B4" w:rsidTr="002A5B66">
        <w:trPr>
          <w:trHeight w:val="4112"/>
        </w:trPr>
        <w:tc>
          <w:tcPr>
            <w:tcW w:w="648" w:type="dxa"/>
            <w:shd w:val="clear" w:color="auto" w:fill="auto"/>
            <w:hideMark/>
          </w:tcPr>
          <w:p w14:paraId="19B31CD2" w14:textId="7A99B9F4" w:rsidR="00F201A8" w:rsidRPr="002A5B66" w:rsidRDefault="00ED7D55" w:rsidP="00F201A8">
            <w:pPr>
              <w:rPr>
                <w:lang w:val="en-US"/>
              </w:rPr>
            </w:pPr>
            <w:r>
              <w:t>53</w:t>
            </w:r>
          </w:p>
        </w:tc>
        <w:tc>
          <w:tcPr>
            <w:tcW w:w="3234" w:type="dxa"/>
            <w:shd w:val="clear" w:color="auto" w:fill="auto"/>
            <w:hideMark/>
          </w:tcPr>
          <w:p w14:paraId="42AF2B8E" w14:textId="5F426434" w:rsidR="00F201A8" w:rsidRPr="00AA6B72" w:rsidRDefault="00F201A8" w:rsidP="00F201A8">
            <w:r w:rsidRPr="00AA6B72">
              <w:t xml:space="preserve">The fact that the primary channel is designated by a MLME primitive and that a MIB attribute may also designate the primary channel, really does not belong in the definition of the OCB primary channel, nor does the CS information.  Hence, the definition should be simplified to be more </w:t>
            </w:r>
            <w:r w:rsidR="00EF1179" w:rsidRPr="00AA6B72">
              <w:t>in line</w:t>
            </w:r>
            <w:r w:rsidRPr="00AA6B72">
              <w:t xml:space="preserve"> with the defection of primary channel used in prior amendments and the 802.11 standard.  </w:t>
            </w:r>
            <w:r w:rsidR="00EF1179" w:rsidRPr="00AA6B72">
              <w:t>Also,</w:t>
            </w:r>
            <w:r w:rsidRPr="00AA6B72">
              <w:t xml:space="preserve"> all abbreviations and acronyms in a definition should be expanded. Note also made some editorial changes.</w:t>
            </w:r>
          </w:p>
        </w:tc>
        <w:tc>
          <w:tcPr>
            <w:tcW w:w="2780" w:type="dxa"/>
            <w:shd w:val="clear" w:color="auto" w:fill="auto"/>
            <w:hideMark/>
          </w:tcPr>
          <w:p w14:paraId="5526AD51" w14:textId="77777777" w:rsidR="00F201A8" w:rsidRPr="00AA6B72" w:rsidRDefault="00F201A8" w:rsidP="00F201A8">
            <w:r w:rsidRPr="00AA6B72">
              <w:t>Replace the OCB primary channel definition with:</w:t>
            </w:r>
            <w:r w:rsidRPr="00AA6B72">
              <w:br/>
              <w:t>"A designated 10 MHz channel that may be combined with an adjacent secondary OCB channel to form a 20 MHz channel for the transmission of 20 MHz next generation vehicle to everything (V2X) (NGV) physical layer (PHY) protocol data units (PPDUs).</w:t>
            </w:r>
          </w:p>
        </w:tc>
        <w:tc>
          <w:tcPr>
            <w:tcW w:w="3886" w:type="dxa"/>
            <w:shd w:val="clear" w:color="auto" w:fill="auto"/>
          </w:tcPr>
          <w:p w14:paraId="156FBB98" w14:textId="69DA105A" w:rsidR="00F201A8" w:rsidRPr="00AA6B72" w:rsidRDefault="00A251B4" w:rsidP="00CA77B5">
            <w:r w:rsidRPr="002A5B66">
              <w:rPr>
                <w:b/>
                <w:bCs/>
              </w:rPr>
              <w:t xml:space="preserve">Accepted: </w:t>
            </w:r>
            <w:r w:rsidR="00F201A8" w:rsidRPr="00AA6B72">
              <w:t>Replace the OCB primary channel definition with:</w:t>
            </w:r>
            <w:r w:rsidR="00F201A8" w:rsidRPr="00AA6B72">
              <w:br/>
              <w:t>"</w:t>
            </w:r>
            <w:r w:rsidR="00D64EB3" w:rsidRPr="002A5B66">
              <w:rPr>
                <w:b/>
                <w:bCs/>
              </w:rPr>
              <w:t>outside the context of a basic service set (BSS) (OCB) primary channel:</w:t>
            </w:r>
            <w:r w:rsidR="00D64EB3">
              <w:t xml:space="preserve"> </w:t>
            </w:r>
            <w:r w:rsidR="00F201A8" w:rsidRPr="00AA6B72">
              <w:t>A designated 10 MHz channel that may be combined with an adjacent secondary OCB channel to form a 20 MHz channel for the transmission of 20 MHz next generation vehicle to everything (V2X) (NGV) physical layer (PHY) protocol data units (PPDUs).</w:t>
            </w:r>
            <w:r w:rsidR="00F201A8">
              <w:t>”</w:t>
            </w:r>
          </w:p>
        </w:tc>
      </w:tr>
      <w:tr w:rsidR="002A5B66" w:rsidRPr="00AA6B72" w14:paraId="0221E609" w14:textId="70668199" w:rsidTr="002A5B66">
        <w:trPr>
          <w:trHeight w:val="1056"/>
        </w:trPr>
        <w:tc>
          <w:tcPr>
            <w:tcW w:w="648" w:type="dxa"/>
            <w:shd w:val="clear" w:color="auto" w:fill="auto"/>
            <w:hideMark/>
          </w:tcPr>
          <w:p w14:paraId="2781A157" w14:textId="035898E3" w:rsidR="00F201A8" w:rsidRPr="00AA6B72" w:rsidRDefault="00ED7D55" w:rsidP="00F201A8">
            <w:r>
              <w:t>210</w:t>
            </w:r>
          </w:p>
        </w:tc>
        <w:tc>
          <w:tcPr>
            <w:tcW w:w="3234" w:type="dxa"/>
            <w:shd w:val="clear" w:color="auto" w:fill="auto"/>
            <w:hideMark/>
          </w:tcPr>
          <w:p w14:paraId="33E9FB81" w14:textId="77777777" w:rsidR="00F201A8" w:rsidRPr="00AA6B72" w:rsidRDefault="00F201A8" w:rsidP="00F201A8">
            <w:r w:rsidRPr="00AA6B72">
              <w:t>(OCB) primary channel should be OCB primary channel to be consistent for another subclauses.</w:t>
            </w:r>
          </w:p>
        </w:tc>
        <w:tc>
          <w:tcPr>
            <w:tcW w:w="2780" w:type="dxa"/>
            <w:shd w:val="clear" w:color="auto" w:fill="auto"/>
            <w:hideMark/>
          </w:tcPr>
          <w:p w14:paraId="326259F5" w14:textId="77777777" w:rsidR="00F201A8" w:rsidRPr="00AA6B72" w:rsidRDefault="00F201A8" w:rsidP="00F201A8">
            <w:r w:rsidRPr="00AA6B72">
              <w:t>remove bracket from (OCB) primary channel</w:t>
            </w:r>
          </w:p>
        </w:tc>
        <w:tc>
          <w:tcPr>
            <w:tcW w:w="3886" w:type="dxa"/>
            <w:shd w:val="clear" w:color="auto" w:fill="auto"/>
          </w:tcPr>
          <w:p w14:paraId="2786B86E" w14:textId="18989D15" w:rsidR="00A251B4" w:rsidRPr="002A5B66" w:rsidRDefault="00A251B4" w:rsidP="00F201A8">
            <w:pPr>
              <w:rPr>
                <w:b/>
                <w:bCs/>
              </w:rPr>
            </w:pPr>
            <w:r w:rsidRPr="002A5B66">
              <w:rPr>
                <w:b/>
                <w:bCs/>
              </w:rPr>
              <w:t>Rejected:</w:t>
            </w:r>
            <w:r w:rsidR="0035229E" w:rsidRPr="002A5B66">
              <w:rPr>
                <w:b/>
                <w:bCs/>
              </w:rPr>
              <w:t xml:space="preserve"> </w:t>
            </w:r>
            <w:r w:rsidR="0035229E">
              <w:t>I</w:t>
            </w:r>
            <w:r>
              <w:t>n clause 3</w:t>
            </w:r>
            <w:r w:rsidR="000438DE">
              <w:t xml:space="preserve">, each </w:t>
            </w:r>
            <w:r>
              <w:t>definition</w:t>
            </w:r>
            <w:r w:rsidR="000438DE">
              <w:t xml:space="preserve"> </w:t>
            </w:r>
            <w:r w:rsidR="00442033">
              <w:t xml:space="preserve">must stand alone and </w:t>
            </w:r>
            <w:r w:rsidR="000438DE">
              <w:t>must provide the expanded version of</w:t>
            </w:r>
            <w:r>
              <w:t xml:space="preserve"> </w:t>
            </w:r>
            <w:r w:rsidR="000438DE">
              <w:t>all abbreviations and acronyms</w:t>
            </w:r>
            <w:r w:rsidR="00F55329">
              <w:t xml:space="preserve"> used in the definition.  </w:t>
            </w:r>
            <w:r w:rsidR="00E8565E">
              <w:t xml:space="preserve">see the </w:t>
            </w:r>
            <w:hyperlink r:id="rId11" w:history="1">
              <w:r w:rsidR="006C5793">
                <w:rPr>
                  <w:rStyle w:val="Hyperlink"/>
                </w:rPr>
                <w:t>2014 IEEE Standards Style Manual</w:t>
              </w:r>
            </w:hyperlink>
            <w:r w:rsidR="00E8565E">
              <w:t xml:space="preserve">: </w:t>
            </w:r>
            <w:r w:rsidR="00803B43">
              <w:t>page 15.</w:t>
            </w:r>
          </w:p>
        </w:tc>
      </w:tr>
    </w:tbl>
    <w:p w14:paraId="6917B736" w14:textId="4424B948" w:rsidR="00CA09B2" w:rsidRDefault="00CA09B2"/>
    <w:p w14:paraId="4DDC86C1" w14:textId="098C33CD" w:rsidR="00CA09B2" w:rsidRPr="00ED7D55" w:rsidRDefault="000437EA" w:rsidP="0035229E">
      <w:pPr>
        <w:keepNext/>
        <w:rPr>
          <w:b/>
          <w:bCs/>
        </w:rPr>
      </w:pPr>
      <w:r>
        <w:rPr>
          <w:b/>
          <w:bCs/>
        </w:rPr>
        <w:lastRenderedPageBreak/>
        <w:t>CIDs for</w:t>
      </w:r>
      <w:r w:rsidR="00ED7D55" w:rsidRPr="00ED7D55">
        <w:rPr>
          <w:b/>
          <w:bCs/>
        </w:rPr>
        <w:t xml:space="preserve"> Clause 3.2, Page 13, line 13:</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80"/>
        <w:gridCol w:w="2790"/>
        <w:gridCol w:w="3870"/>
      </w:tblGrid>
      <w:tr w:rsidR="00105CFA" w:rsidRPr="00AA6B72" w14:paraId="773BFDD9" w14:textId="77777777" w:rsidTr="002A5B66">
        <w:trPr>
          <w:trHeight w:val="422"/>
        </w:trPr>
        <w:tc>
          <w:tcPr>
            <w:tcW w:w="608" w:type="dxa"/>
            <w:shd w:val="clear" w:color="auto" w:fill="auto"/>
          </w:tcPr>
          <w:p w14:paraId="2C57E7B4" w14:textId="77777777" w:rsidR="00105CFA" w:rsidRPr="00AA6B72" w:rsidRDefault="00105CFA" w:rsidP="00807A37">
            <w:r>
              <w:t>CID</w:t>
            </w:r>
          </w:p>
        </w:tc>
        <w:tc>
          <w:tcPr>
            <w:tcW w:w="3280" w:type="dxa"/>
            <w:shd w:val="clear" w:color="auto" w:fill="auto"/>
          </w:tcPr>
          <w:p w14:paraId="4360B96F" w14:textId="77777777" w:rsidR="00105CFA" w:rsidRPr="00AA6B72" w:rsidRDefault="00105CFA" w:rsidP="00807A37">
            <w:r>
              <w:t xml:space="preserve">Comment </w:t>
            </w:r>
          </w:p>
        </w:tc>
        <w:tc>
          <w:tcPr>
            <w:tcW w:w="2790" w:type="dxa"/>
            <w:shd w:val="clear" w:color="auto" w:fill="auto"/>
          </w:tcPr>
          <w:p w14:paraId="70B6B761" w14:textId="77777777" w:rsidR="00105CFA" w:rsidRPr="00AA6B72" w:rsidRDefault="00105CFA" w:rsidP="00807A37">
            <w:r>
              <w:t>Proposed Change</w:t>
            </w:r>
          </w:p>
        </w:tc>
        <w:tc>
          <w:tcPr>
            <w:tcW w:w="3870" w:type="dxa"/>
            <w:shd w:val="clear" w:color="auto" w:fill="auto"/>
          </w:tcPr>
          <w:p w14:paraId="2CA5FF32" w14:textId="073F68FE" w:rsidR="00105CFA" w:rsidRPr="00AA6B72" w:rsidRDefault="00105CFA" w:rsidP="00807A37">
            <w:r>
              <w:t>Proposed Resolution</w:t>
            </w:r>
          </w:p>
        </w:tc>
      </w:tr>
      <w:tr w:rsidR="002A5B66" w:rsidRPr="00105CFA" w14:paraId="4432EF73" w14:textId="4A894DDF" w:rsidTr="002A5B66">
        <w:trPr>
          <w:trHeight w:val="792"/>
        </w:trPr>
        <w:tc>
          <w:tcPr>
            <w:tcW w:w="608" w:type="dxa"/>
            <w:shd w:val="clear" w:color="auto" w:fill="auto"/>
            <w:hideMark/>
          </w:tcPr>
          <w:p w14:paraId="5C191A61" w14:textId="77777777" w:rsidR="00105CFA" w:rsidRPr="002A5B66" w:rsidRDefault="00105CFA" w:rsidP="00105CFA">
            <w:pPr>
              <w:rPr>
                <w:lang w:val="en-US"/>
              </w:rPr>
            </w:pPr>
            <w:r w:rsidRPr="00105CFA">
              <w:t>52</w:t>
            </w:r>
          </w:p>
        </w:tc>
        <w:tc>
          <w:tcPr>
            <w:tcW w:w="3280" w:type="dxa"/>
            <w:shd w:val="clear" w:color="auto" w:fill="auto"/>
            <w:hideMark/>
          </w:tcPr>
          <w:p w14:paraId="020664F6" w14:textId="77777777" w:rsidR="00105CFA" w:rsidRPr="00105CFA" w:rsidRDefault="00105CFA">
            <w:r w:rsidRPr="00105CFA">
              <w:t>The channel is not designated by MIB access, but by a MIB attribute.</w:t>
            </w:r>
          </w:p>
        </w:tc>
        <w:tc>
          <w:tcPr>
            <w:tcW w:w="2790" w:type="dxa"/>
            <w:shd w:val="clear" w:color="auto" w:fill="auto"/>
            <w:hideMark/>
          </w:tcPr>
          <w:p w14:paraId="4A5BF0D5" w14:textId="77777777" w:rsidR="00105CFA" w:rsidRPr="00105CFA" w:rsidRDefault="00105CFA">
            <w:r w:rsidRPr="00105CFA">
              <w:t>Replace: "MIB access"</w:t>
            </w:r>
            <w:r w:rsidRPr="00105CFA">
              <w:br/>
              <w:t>With: "MIB attribute"</w:t>
            </w:r>
          </w:p>
        </w:tc>
        <w:tc>
          <w:tcPr>
            <w:tcW w:w="3870" w:type="dxa"/>
            <w:shd w:val="clear" w:color="auto" w:fill="auto"/>
          </w:tcPr>
          <w:p w14:paraId="2DF12454" w14:textId="77777777" w:rsidR="00105CFA" w:rsidRDefault="00700D85">
            <w:r>
              <w:t>Revised:</w:t>
            </w:r>
          </w:p>
          <w:p w14:paraId="107D3D41" w14:textId="65B4071F" w:rsidR="00700D85" w:rsidRPr="00105CFA" w:rsidRDefault="00700D85">
            <w:r>
              <w:t xml:space="preserve">The text was revised in response to </w:t>
            </w:r>
            <w:r w:rsidR="00CC11A7">
              <w:t xml:space="preserve">CID 53, and the phase “MIB access” is no longer </w:t>
            </w:r>
            <w:r w:rsidR="00102328">
              <w:t>present.</w:t>
            </w:r>
          </w:p>
        </w:tc>
      </w:tr>
    </w:tbl>
    <w:p w14:paraId="5F5D4F05" w14:textId="77777777" w:rsidR="00ED7D55" w:rsidRDefault="00ED7D55"/>
    <w:p w14:paraId="2351BD89" w14:textId="771EA245" w:rsidR="00EE09A5" w:rsidRPr="00ED7D55" w:rsidRDefault="000437EA" w:rsidP="00EE09A5">
      <w:pPr>
        <w:rPr>
          <w:b/>
          <w:bCs/>
        </w:rPr>
      </w:pPr>
      <w:r>
        <w:rPr>
          <w:b/>
          <w:bCs/>
        </w:rPr>
        <w:t>CIDs for</w:t>
      </w:r>
      <w:r w:rsidR="00EE09A5" w:rsidRPr="00ED7D55">
        <w:rPr>
          <w:b/>
          <w:bCs/>
        </w:rPr>
        <w:t xml:space="preserve"> Clause 3.2, Page 13, line 1</w:t>
      </w:r>
      <w:r w:rsidR="00EE09A5">
        <w:rPr>
          <w:b/>
          <w:bCs/>
        </w:rPr>
        <w:t>5</w:t>
      </w:r>
      <w:r w:rsidR="00EE09A5" w:rsidRPr="00ED7D55">
        <w:rPr>
          <w:b/>
          <w:bCs/>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80"/>
        <w:gridCol w:w="2790"/>
        <w:gridCol w:w="3870"/>
      </w:tblGrid>
      <w:tr w:rsidR="002A5B66" w:rsidRPr="00AA6B72" w14:paraId="66BBC6F0" w14:textId="77777777" w:rsidTr="002A5B66">
        <w:trPr>
          <w:trHeight w:val="422"/>
        </w:trPr>
        <w:tc>
          <w:tcPr>
            <w:tcW w:w="608" w:type="dxa"/>
            <w:tcBorders>
              <w:bottom w:val="single" w:sz="4" w:space="0" w:color="auto"/>
            </w:tcBorders>
            <w:shd w:val="clear" w:color="auto" w:fill="auto"/>
          </w:tcPr>
          <w:p w14:paraId="0024A293" w14:textId="77777777" w:rsidR="00EE09A5" w:rsidRPr="00AA6B72" w:rsidRDefault="00EE09A5" w:rsidP="00807A37">
            <w:r>
              <w:t>CID</w:t>
            </w:r>
          </w:p>
        </w:tc>
        <w:tc>
          <w:tcPr>
            <w:tcW w:w="3280" w:type="dxa"/>
            <w:tcBorders>
              <w:bottom w:val="single" w:sz="4" w:space="0" w:color="auto"/>
            </w:tcBorders>
            <w:shd w:val="clear" w:color="auto" w:fill="auto"/>
          </w:tcPr>
          <w:p w14:paraId="187D8D63" w14:textId="77777777" w:rsidR="00EE09A5" w:rsidRPr="00AA6B72" w:rsidRDefault="00EE09A5" w:rsidP="00807A37">
            <w:r>
              <w:t xml:space="preserve">Comment </w:t>
            </w:r>
          </w:p>
        </w:tc>
        <w:tc>
          <w:tcPr>
            <w:tcW w:w="2790" w:type="dxa"/>
            <w:tcBorders>
              <w:bottom w:val="single" w:sz="4" w:space="0" w:color="auto"/>
            </w:tcBorders>
            <w:shd w:val="clear" w:color="auto" w:fill="auto"/>
          </w:tcPr>
          <w:p w14:paraId="23A5DA59" w14:textId="77777777" w:rsidR="00EE09A5" w:rsidRPr="00AA6B72" w:rsidRDefault="00EE09A5" w:rsidP="00807A37">
            <w:r>
              <w:t>Proposed Change</w:t>
            </w:r>
          </w:p>
        </w:tc>
        <w:tc>
          <w:tcPr>
            <w:tcW w:w="3870" w:type="dxa"/>
            <w:tcBorders>
              <w:bottom w:val="single" w:sz="4" w:space="0" w:color="auto"/>
            </w:tcBorders>
            <w:shd w:val="clear" w:color="auto" w:fill="auto"/>
          </w:tcPr>
          <w:p w14:paraId="2CB63FD6" w14:textId="77777777" w:rsidR="00EE09A5" w:rsidRPr="00AA6B72" w:rsidRDefault="00EE09A5" w:rsidP="00807A37">
            <w:r>
              <w:t>Proposed Resolution</w:t>
            </w:r>
          </w:p>
        </w:tc>
      </w:tr>
      <w:tr w:rsidR="002A5B66" w:rsidRPr="00105CFA" w14:paraId="5127C08A" w14:textId="77777777" w:rsidTr="002A5B66">
        <w:trPr>
          <w:trHeight w:val="792"/>
        </w:trPr>
        <w:tc>
          <w:tcPr>
            <w:tcW w:w="608" w:type="dxa"/>
            <w:tcBorders>
              <w:top w:val="single" w:sz="4" w:space="0" w:color="auto"/>
              <w:bottom w:val="single" w:sz="4" w:space="0" w:color="auto"/>
              <w:right w:val="single" w:sz="4" w:space="0" w:color="auto"/>
            </w:tcBorders>
            <w:shd w:val="clear" w:color="auto" w:fill="auto"/>
            <w:hideMark/>
          </w:tcPr>
          <w:p w14:paraId="4CCBC8FE" w14:textId="77777777" w:rsidR="00B4686E" w:rsidRPr="002A5B66" w:rsidRDefault="00B4686E" w:rsidP="00B4686E">
            <w:pPr>
              <w:rPr>
                <w:lang w:val="en-US"/>
              </w:rPr>
            </w:pPr>
            <w:r>
              <w:t>173</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40EA9004" w14:textId="16D50B13" w:rsidR="00B4686E" w:rsidRPr="00105CFA" w:rsidRDefault="00B4686E" w:rsidP="00B4686E">
            <w:r w:rsidRPr="002A5B66">
              <w:rPr>
                <w:rFonts w:ascii="Arial" w:hAnsi="Arial" w:cs="Arial"/>
                <w:sz w:val="20"/>
              </w:rPr>
              <w:t>Acronym "carrier sense (CS)" is introduced already in line 14.</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01A3B7D5" w14:textId="29D6DAF2" w:rsidR="00B4686E" w:rsidRPr="00105CFA" w:rsidRDefault="00B4686E" w:rsidP="00B4686E">
            <w:r w:rsidRPr="002A5B66">
              <w:rPr>
                <w:rFonts w:ascii="Arial" w:hAnsi="Arial" w:cs="Arial"/>
                <w:sz w:val="20"/>
              </w:rPr>
              <w:t>Replace "carrier sense (CS)" with "CS" in line 15</w:t>
            </w:r>
          </w:p>
        </w:tc>
        <w:tc>
          <w:tcPr>
            <w:tcW w:w="3870" w:type="dxa"/>
            <w:tcBorders>
              <w:top w:val="single" w:sz="4" w:space="0" w:color="auto"/>
              <w:left w:val="single" w:sz="4" w:space="0" w:color="auto"/>
              <w:bottom w:val="single" w:sz="4" w:space="0" w:color="auto"/>
            </w:tcBorders>
            <w:shd w:val="clear" w:color="auto" w:fill="auto"/>
          </w:tcPr>
          <w:p w14:paraId="00D019B5" w14:textId="77777777" w:rsidR="00B4686E" w:rsidRDefault="00B4686E" w:rsidP="00B4686E">
            <w:r>
              <w:t>Revised:</w:t>
            </w:r>
          </w:p>
          <w:p w14:paraId="4A76F87D" w14:textId="6C7F8D3A" w:rsidR="00B4686E" w:rsidRPr="00105CFA" w:rsidRDefault="00B4686E" w:rsidP="00B4686E">
            <w:r>
              <w:t>The text was revised in response to CID 53, and the phase “</w:t>
            </w:r>
            <w:r w:rsidR="00851680">
              <w:t>carrier sense (CS)</w:t>
            </w:r>
            <w:r>
              <w:t>” is no longer present.</w:t>
            </w:r>
          </w:p>
        </w:tc>
      </w:tr>
    </w:tbl>
    <w:p w14:paraId="202A88C9" w14:textId="55246071" w:rsidR="00CA09B2" w:rsidRDefault="00CA09B2"/>
    <w:p w14:paraId="34D547DD" w14:textId="69573617" w:rsidR="008C1AAB" w:rsidRPr="00ED7D55" w:rsidRDefault="000437EA" w:rsidP="008C1AAB">
      <w:pPr>
        <w:rPr>
          <w:b/>
          <w:bCs/>
        </w:rPr>
      </w:pPr>
      <w:r>
        <w:rPr>
          <w:b/>
          <w:bCs/>
        </w:rPr>
        <w:t>CIDs for</w:t>
      </w:r>
      <w:r w:rsidR="008C1AAB" w:rsidRPr="00ED7D55">
        <w:rPr>
          <w:b/>
          <w:bCs/>
        </w:rPr>
        <w:t xml:space="preserve"> Clause 3.2, Page 13, line 1</w:t>
      </w:r>
      <w:r w:rsidR="008C1AAB">
        <w:rPr>
          <w:b/>
          <w:bCs/>
        </w:rPr>
        <w:t>6</w:t>
      </w:r>
      <w:r w:rsidR="008C1AAB" w:rsidRPr="00ED7D55">
        <w:rPr>
          <w:b/>
          <w:bCs/>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80"/>
        <w:gridCol w:w="2790"/>
        <w:gridCol w:w="3870"/>
      </w:tblGrid>
      <w:tr w:rsidR="002A5B66" w:rsidRPr="00AA6B72" w14:paraId="3E417484" w14:textId="77777777" w:rsidTr="002A5B66">
        <w:trPr>
          <w:trHeight w:val="422"/>
        </w:trPr>
        <w:tc>
          <w:tcPr>
            <w:tcW w:w="608" w:type="dxa"/>
            <w:tcBorders>
              <w:bottom w:val="single" w:sz="4" w:space="0" w:color="auto"/>
            </w:tcBorders>
            <w:shd w:val="clear" w:color="auto" w:fill="auto"/>
          </w:tcPr>
          <w:p w14:paraId="363282C8" w14:textId="77777777" w:rsidR="008C1AAB" w:rsidRPr="00AA6B72" w:rsidRDefault="008C1AAB" w:rsidP="00807A37">
            <w:r>
              <w:t>CID</w:t>
            </w:r>
          </w:p>
        </w:tc>
        <w:tc>
          <w:tcPr>
            <w:tcW w:w="3280" w:type="dxa"/>
            <w:tcBorders>
              <w:bottom w:val="single" w:sz="4" w:space="0" w:color="auto"/>
            </w:tcBorders>
            <w:shd w:val="clear" w:color="auto" w:fill="auto"/>
          </w:tcPr>
          <w:p w14:paraId="4AD00D65" w14:textId="77777777" w:rsidR="008C1AAB" w:rsidRPr="00AA6B72" w:rsidRDefault="008C1AAB" w:rsidP="00807A37">
            <w:r>
              <w:t xml:space="preserve">Comment </w:t>
            </w:r>
          </w:p>
        </w:tc>
        <w:tc>
          <w:tcPr>
            <w:tcW w:w="2790" w:type="dxa"/>
            <w:tcBorders>
              <w:bottom w:val="single" w:sz="4" w:space="0" w:color="auto"/>
            </w:tcBorders>
            <w:shd w:val="clear" w:color="auto" w:fill="auto"/>
          </w:tcPr>
          <w:p w14:paraId="2A9EB442" w14:textId="77777777" w:rsidR="008C1AAB" w:rsidRPr="00AA6B72" w:rsidRDefault="008C1AAB" w:rsidP="00807A37">
            <w:r>
              <w:t>Proposed Change</w:t>
            </w:r>
          </w:p>
        </w:tc>
        <w:tc>
          <w:tcPr>
            <w:tcW w:w="3870" w:type="dxa"/>
            <w:tcBorders>
              <w:bottom w:val="single" w:sz="4" w:space="0" w:color="auto"/>
            </w:tcBorders>
            <w:shd w:val="clear" w:color="auto" w:fill="auto"/>
          </w:tcPr>
          <w:p w14:paraId="25761647" w14:textId="77777777" w:rsidR="008C1AAB" w:rsidRPr="00AA6B72" w:rsidRDefault="008C1AAB" w:rsidP="00807A37">
            <w:r>
              <w:t>Proposed Resolution</w:t>
            </w:r>
          </w:p>
        </w:tc>
      </w:tr>
      <w:tr w:rsidR="002A5B66" w:rsidRPr="00105CFA" w14:paraId="21C0CC8B" w14:textId="77777777" w:rsidTr="002A5B66">
        <w:trPr>
          <w:trHeight w:val="792"/>
        </w:trPr>
        <w:tc>
          <w:tcPr>
            <w:tcW w:w="608" w:type="dxa"/>
            <w:tcBorders>
              <w:top w:val="single" w:sz="4" w:space="0" w:color="auto"/>
              <w:bottom w:val="single" w:sz="4" w:space="0" w:color="auto"/>
              <w:right w:val="single" w:sz="4" w:space="0" w:color="auto"/>
            </w:tcBorders>
            <w:shd w:val="clear" w:color="auto" w:fill="auto"/>
            <w:hideMark/>
          </w:tcPr>
          <w:p w14:paraId="701FB3CF" w14:textId="54F675C7" w:rsidR="008C1AAB" w:rsidRPr="002A5B66" w:rsidRDefault="008C1AAB" w:rsidP="00807A37">
            <w:pPr>
              <w:rPr>
                <w:lang w:val="en-US"/>
              </w:rPr>
            </w:pPr>
            <w:r>
              <w:t>211</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0B41ED76" w14:textId="6A7E5129" w:rsidR="008C1AAB" w:rsidRPr="002A5B66" w:rsidRDefault="00072B35" w:rsidP="00807A37">
            <w:pPr>
              <w:rPr>
                <w:rFonts w:ascii="Arial" w:hAnsi="Arial" w:cs="Arial"/>
                <w:sz w:val="20"/>
                <w:lang w:val="en-US"/>
              </w:rPr>
            </w:pPr>
            <w:r w:rsidRPr="002A5B66">
              <w:rPr>
                <w:rFonts w:ascii="Arial" w:hAnsi="Arial" w:cs="Arial"/>
                <w:sz w:val="20"/>
              </w:rPr>
              <w:t>v2x should be all capital letters e.g. V2X to be consistent in the spec</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210C05C7" w14:textId="77777777" w:rsidR="00072B35" w:rsidRPr="002A5B66" w:rsidRDefault="00072B35" w:rsidP="00072B35">
            <w:pPr>
              <w:rPr>
                <w:rFonts w:ascii="Arial" w:hAnsi="Arial" w:cs="Arial"/>
                <w:sz w:val="20"/>
                <w:lang w:val="en-US"/>
              </w:rPr>
            </w:pPr>
            <w:r w:rsidRPr="002A5B66">
              <w:rPr>
                <w:rFonts w:ascii="Arial" w:hAnsi="Arial" w:cs="Arial"/>
                <w:sz w:val="20"/>
              </w:rPr>
              <w:t>v2x should be fixed to V2X</w:t>
            </w:r>
          </w:p>
          <w:p w14:paraId="7B3F72A6" w14:textId="40DFA074" w:rsidR="008C1AAB" w:rsidRPr="002A5B66" w:rsidRDefault="008C1AAB" w:rsidP="00807A37">
            <w:pPr>
              <w:rPr>
                <w:lang w:val="en-US"/>
              </w:rPr>
            </w:pPr>
          </w:p>
        </w:tc>
        <w:tc>
          <w:tcPr>
            <w:tcW w:w="3870" w:type="dxa"/>
            <w:tcBorders>
              <w:top w:val="single" w:sz="4" w:space="0" w:color="auto"/>
              <w:left w:val="single" w:sz="4" w:space="0" w:color="auto"/>
              <w:bottom w:val="single" w:sz="4" w:space="0" w:color="auto"/>
            </w:tcBorders>
            <w:shd w:val="clear" w:color="auto" w:fill="auto"/>
          </w:tcPr>
          <w:p w14:paraId="4C1E3FA4" w14:textId="77777777" w:rsidR="008C1AAB" w:rsidRDefault="008C1AAB" w:rsidP="00807A37">
            <w:r>
              <w:t>Revised:</w:t>
            </w:r>
          </w:p>
          <w:p w14:paraId="3F7C61CD" w14:textId="190067D9" w:rsidR="008C1AAB" w:rsidRPr="00105CFA" w:rsidRDefault="008C1AAB" w:rsidP="00807A37">
            <w:r>
              <w:t xml:space="preserve">The text was revised in response to CID 53, and the </w:t>
            </w:r>
            <w:r w:rsidR="009A3B96">
              <w:t>V2X is now capitalized.</w:t>
            </w:r>
          </w:p>
        </w:tc>
      </w:tr>
    </w:tbl>
    <w:p w14:paraId="6F94A6F0" w14:textId="72AF4F42" w:rsidR="008C1AAB" w:rsidRDefault="008C1AAB"/>
    <w:p w14:paraId="415FDB07" w14:textId="2F22CB70" w:rsidR="000437EA" w:rsidRPr="00ED7D55" w:rsidRDefault="000437EA" w:rsidP="00196C2A">
      <w:pPr>
        <w:keepNext/>
        <w:rPr>
          <w:b/>
          <w:bCs/>
        </w:rPr>
      </w:pPr>
      <w:r>
        <w:rPr>
          <w:b/>
          <w:bCs/>
        </w:rPr>
        <w:t>CIDs for</w:t>
      </w:r>
      <w:r w:rsidRPr="00ED7D55">
        <w:rPr>
          <w:b/>
          <w:bCs/>
        </w:rPr>
        <w:t xml:space="preserve"> Clause 3.2, Page 13, line </w:t>
      </w:r>
      <w:r w:rsidR="00A27345">
        <w:rPr>
          <w:b/>
          <w:bCs/>
        </w:rPr>
        <w:t>20</w:t>
      </w:r>
      <w:r w:rsidRPr="00ED7D55">
        <w:rPr>
          <w:b/>
          <w:bCs/>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80"/>
        <w:gridCol w:w="2790"/>
        <w:gridCol w:w="3870"/>
      </w:tblGrid>
      <w:tr w:rsidR="002A5B66" w:rsidRPr="00AA6B72" w14:paraId="5489A2F4" w14:textId="77777777" w:rsidTr="002A5B66">
        <w:trPr>
          <w:trHeight w:val="422"/>
        </w:trPr>
        <w:tc>
          <w:tcPr>
            <w:tcW w:w="608" w:type="dxa"/>
            <w:tcBorders>
              <w:bottom w:val="single" w:sz="4" w:space="0" w:color="auto"/>
            </w:tcBorders>
            <w:shd w:val="clear" w:color="auto" w:fill="auto"/>
          </w:tcPr>
          <w:p w14:paraId="156279F5" w14:textId="77777777" w:rsidR="000437EA" w:rsidRPr="00AA6B72" w:rsidRDefault="000437EA" w:rsidP="002A5B66">
            <w:pPr>
              <w:keepNext/>
            </w:pPr>
            <w:r>
              <w:t>CID</w:t>
            </w:r>
          </w:p>
        </w:tc>
        <w:tc>
          <w:tcPr>
            <w:tcW w:w="3280" w:type="dxa"/>
            <w:tcBorders>
              <w:bottom w:val="single" w:sz="4" w:space="0" w:color="auto"/>
            </w:tcBorders>
            <w:shd w:val="clear" w:color="auto" w:fill="auto"/>
          </w:tcPr>
          <w:p w14:paraId="7DED5A62" w14:textId="77777777" w:rsidR="000437EA" w:rsidRPr="00AA6B72" w:rsidRDefault="000437EA" w:rsidP="002A5B66">
            <w:pPr>
              <w:keepNext/>
            </w:pPr>
            <w:r>
              <w:t xml:space="preserve">Comment </w:t>
            </w:r>
          </w:p>
        </w:tc>
        <w:tc>
          <w:tcPr>
            <w:tcW w:w="2790" w:type="dxa"/>
            <w:tcBorders>
              <w:bottom w:val="single" w:sz="4" w:space="0" w:color="auto"/>
            </w:tcBorders>
            <w:shd w:val="clear" w:color="auto" w:fill="auto"/>
          </w:tcPr>
          <w:p w14:paraId="15B14C27" w14:textId="77777777" w:rsidR="000437EA" w:rsidRPr="00AA6B72" w:rsidRDefault="000437EA" w:rsidP="002A5B66">
            <w:pPr>
              <w:keepNext/>
            </w:pPr>
            <w:r>
              <w:t>Proposed Change</w:t>
            </w:r>
          </w:p>
        </w:tc>
        <w:tc>
          <w:tcPr>
            <w:tcW w:w="3870" w:type="dxa"/>
            <w:tcBorders>
              <w:bottom w:val="single" w:sz="4" w:space="0" w:color="auto"/>
            </w:tcBorders>
            <w:shd w:val="clear" w:color="auto" w:fill="auto"/>
          </w:tcPr>
          <w:p w14:paraId="4DC33308" w14:textId="77777777" w:rsidR="000437EA" w:rsidRPr="00AA6B72" w:rsidRDefault="000437EA" w:rsidP="002A5B66">
            <w:pPr>
              <w:keepNext/>
            </w:pPr>
            <w:r>
              <w:t>Proposed Resolution</w:t>
            </w:r>
          </w:p>
        </w:tc>
      </w:tr>
      <w:tr w:rsidR="002A5B66" w:rsidRPr="00105CFA" w14:paraId="39BF6A67" w14:textId="77777777" w:rsidTr="002A5B66">
        <w:trPr>
          <w:trHeight w:val="792"/>
        </w:trPr>
        <w:tc>
          <w:tcPr>
            <w:tcW w:w="608" w:type="dxa"/>
            <w:tcBorders>
              <w:top w:val="single" w:sz="4" w:space="0" w:color="auto"/>
              <w:bottom w:val="single" w:sz="4" w:space="0" w:color="auto"/>
              <w:right w:val="single" w:sz="4" w:space="0" w:color="auto"/>
            </w:tcBorders>
            <w:shd w:val="clear" w:color="auto" w:fill="auto"/>
            <w:hideMark/>
          </w:tcPr>
          <w:p w14:paraId="3F3D5DCE" w14:textId="55A19E32" w:rsidR="005F1268" w:rsidRPr="002A5B66" w:rsidRDefault="005F1268" w:rsidP="002A5B66">
            <w:pPr>
              <w:keepNext/>
              <w:rPr>
                <w:lang w:val="en-US"/>
              </w:rPr>
            </w:pPr>
            <w:r w:rsidRPr="002A5B66">
              <w:rPr>
                <w:rFonts w:ascii="Arial" w:hAnsi="Arial" w:cs="Arial"/>
                <w:sz w:val="20"/>
              </w:rPr>
              <w:t>54</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304488A5" w14:textId="57FC107F" w:rsidR="005F1268" w:rsidRPr="002A5B66" w:rsidRDefault="005F1268" w:rsidP="002A5B66">
            <w:pPr>
              <w:keepNext/>
              <w:rPr>
                <w:rFonts w:ascii="Arial" w:hAnsi="Arial" w:cs="Arial"/>
                <w:sz w:val="20"/>
                <w:lang w:val="en-US"/>
              </w:rPr>
            </w:pPr>
            <w:r w:rsidRPr="002A5B66">
              <w:rPr>
                <w:rFonts w:ascii="Arial" w:hAnsi="Arial" w:cs="Arial"/>
                <w:sz w:val="20"/>
              </w:rPr>
              <w:t>There is no need to expand abbreviations or acronyms more than once in a definition, but all abbreviations or acronyms should be expanded at least once. Note also made some editorial changes.</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00028E8B" w14:textId="7C11ACE1" w:rsidR="005F1268" w:rsidRPr="002A5B66" w:rsidRDefault="005F1268" w:rsidP="002A5B66">
            <w:pPr>
              <w:keepNext/>
              <w:rPr>
                <w:lang w:val="en-US"/>
              </w:rPr>
            </w:pPr>
            <w:r w:rsidRPr="002A5B66">
              <w:rPr>
                <w:rFonts w:ascii="Arial" w:hAnsi="Arial" w:cs="Arial"/>
                <w:sz w:val="20"/>
              </w:rPr>
              <w:t>Replace the OCB secondary channel definition with:</w:t>
            </w:r>
            <w:r w:rsidRPr="002A5B66">
              <w:rPr>
                <w:rFonts w:ascii="Arial" w:hAnsi="Arial" w:cs="Arial"/>
                <w:sz w:val="20"/>
              </w:rPr>
              <w:br/>
              <w:t>"A designated 10 MHz channel adjacent to an OCB primary channel that together form a 20 MHz channel for the transmission of 20 MHz next generation vehicle to everything (V2X) (NGV) physical layer (PHY) protocol data units (PPDUs).</w:t>
            </w:r>
          </w:p>
        </w:tc>
        <w:tc>
          <w:tcPr>
            <w:tcW w:w="3870" w:type="dxa"/>
            <w:tcBorders>
              <w:top w:val="single" w:sz="4" w:space="0" w:color="auto"/>
              <w:left w:val="single" w:sz="4" w:space="0" w:color="auto"/>
              <w:bottom w:val="single" w:sz="4" w:space="0" w:color="auto"/>
            </w:tcBorders>
            <w:shd w:val="clear" w:color="auto" w:fill="auto"/>
          </w:tcPr>
          <w:p w14:paraId="5D4B9001" w14:textId="77777777" w:rsidR="005F1268" w:rsidRDefault="005F1268" w:rsidP="005F1268">
            <w:r>
              <w:t xml:space="preserve">Accepted: </w:t>
            </w:r>
          </w:p>
          <w:p w14:paraId="44FD0541" w14:textId="0B55E09A" w:rsidR="005F1268" w:rsidRPr="00D639BB" w:rsidRDefault="005F1268" w:rsidP="002A5B66">
            <w:pPr>
              <w:keepNext/>
            </w:pPr>
            <w:r w:rsidRPr="00AA6B72">
              <w:t xml:space="preserve">Replace the OCB </w:t>
            </w:r>
            <w:r>
              <w:t>secondary</w:t>
            </w:r>
            <w:r w:rsidRPr="00AA6B72">
              <w:t xml:space="preserve"> channel definition with:</w:t>
            </w:r>
            <w:r w:rsidRPr="00AA6B72">
              <w:br/>
            </w:r>
            <w:r w:rsidR="00D639BB">
              <w:t>“</w:t>
            </w:r>
            <w:r w:rsidR="00D639BB" w:rsidRPr="002A5B66">
              <w:rPr>
                <w:b/>
                <w:bCs/>
              </w:rPr>
              <w:t>outside the context of a basic service set (BSS) (OCB) secondary channel:</w:t>
            </w:r>
            <w:r w:rsidR="00D639BB" w:rsidRPr="002A5B66">
              <w:rPr>
                <w:b/>
                <w:bCs/>
              </w:rPr>
              <w:t xml:space="preserve"> </w:t>
            </w:r>
            <w:r w:rsidR="00D639BB" w:rsidRPr="002A5B66">
              <w:rPr>
                <w:rFonts w:ascii="Arial" w:hAnsi="Arial" w:cs="Arial"/>
                <w:sz w:val="20"/>
              </w:rPr>
              <w:t>A designated 10 MHz channel adjacent to an OCB primary channel that together form a 20 MHz channel for the transmission of 20 MHz next generation vehicle to everything (V2X) (NGV) physical layer (PHY) protocol data units (PPDUs).</w:t>
            </w:r>
            <w:r w:rsidR="00D639BB" w:rsidRPr="002A5B66">
              <w:rPr>
                <w:rFonts w:ascii="Arial" w:hAnsi="Arial" w:cs="Arial"/>
                <w:sz w:val="20"/>
              </w:rPr>
              <w:t>”</w:t>
            </w:r>
          </w:p>
        </w:tc>
      </w:tr>
      <w:tr w:rsidR="002A5B66" w:rsidRPr="00105CFA" w14:paraId="619ED00F" w14:textId="77777777" w:rsidTr="002A5B66">
        <w:trPr>
          <w:trHeight w:val="792"/>
        </w:trPr>
        <w:tc>
          <w:tcPr>
            <w:tcW w:w="608" w:type="dxa"/>
            <w:tcBorders>
              <w:top w:val="single" w:sz="4" w:space="0" w:color="auto"/>
              <w:bottom w:val="single" w:sz="4" w:space="0" w:color="auto"/>
              <w:right w:val="single" w:sz="4" w:space="0" w:color="auto"/>
            </w:tcBorders>
            <w:shd w:val="clear" w:color="auto" w:fill="auto"/>
          </w:tcPr>
          <w:p w14:paraId="127FE63F" w14:textId="343ED0D0" w:rsidR="005F1268" w:rsidRDefault="005F1268" w:rsidP="002A5B66">
            <w:pPr>
              <w:keepNext/>
            </w:pPr>
            <w:r w:rsidRPr="002A5B66">
              <w:rPr>
                <w:rFonts w:ascii="Arial" w:hAnsi="Arial" w:cs="Arial"/>
                <w:sz w:val="20"/>
              </w:rPr>
              <w:t>212</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4FB0BE6D" w14:textId="4D221E49" w:rsidR="005F1268" w:rsidRPr="002A5B66" w:rsidRDefault="005F1268" w:rsidP="002A5B66">
            <w:pPr>
              <w:keepNext/>
              <w:rPr>
                <w:rFonts w:ascii="Arial" w:hAnsi="Arial" w:cs="Arial"/>
                <w:sz w:val="20"/>
              </w:rPr>
            </w:pPr>
            <w:r w:rsidRPr="002A5B66">
              <w:rPr>
                <w:rFonts w:ascii="Arial" w:hAnsi="Arial" w:cs="Arial"/>
                <w:sz w:val="20"/>
              </w:rPr>
              <w:t>(OCB) secondary channel should be OCB secondary channel to be consistent for another subclauses.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8636A3" w14:textId="30F0BBC0" w:rsidR="005F1268" w:rsidRPr="002A5B66" w:rsidRDefault="005F1268" w:rsidP="002A5B66">
            <w:pPr>
              <w:keepNext/>
              <w:rPr>
                <w:rFonts w:ascii="Arial" w:hAnsi="Arial" w:cs="Arial"/>
                <w:sz w:val="20"/>
              </w:rPr>
            </w:pPr>
            <w:r w:rsidRPr="002A5B66">
              <w:rPr>
                <w:rFonts w:ascii="Arial" w:hAnsi="Arial" w:cs="Arial"/>
                <w:sz w:val="20"/>
              </w:rPr>
              <w:t>remove bracket from (OCB) secondary channel</w:t>
            </w:r>
          </w:p>
        </w:tc>
        <w:tc>
          <w:tcPr>
            <w:tcW w:w="3870" w:type="dxa"/>
            <w:tcBorders>
              <w:top w:val="single" w:sz="4" w:space="0" w:color="auto"/>
              <w:left w:val="single" w:sz="4" w:space="0" w:color="auto"/>
              <w:bottom w:val="single" w:sz="4" w:space="0" w:color="auto"/>
            </w:tcBorders>
            <w:shd w:val="clear" w:color="auto" w:fill="auto"/>
          </w:tcPr>
          <w:p w14:paraId="00D60BD6" w14:textId="77777777" w:rsidR="005F1268" w:rsidRDefault="005F1268" w:rsidP="005F1268">
            <w:r>
              <w:t>Rejected:</w:t>
            </w:r>
          </w:p>
          <w:p w14:paraId="19EAD94B" w14:textId="2E90B2C3" w:rsidR="005F1268" w:rsidRDefault="005F1268" w:rsidP="002A5B66">
            <w:pPr>
              <w:keepNext/>
            </w:pPr>
            <w:r>
              <w:t xml:space="preserve">In clause 3, each definition must stand alone and must provide the expanded version of all abbreviations and acronyms used in the definition.  see the </w:t>
            </w:r>
            <w:hyperlink r:id="rId12" w:history="1">
              <w:r>
                <w:rPr>
                  <w:rStyle w:val="Hyperlink"/>
                </w:rPr>
                <w:t>2014 IEEE Standards Style Manual</w:t>
              </w:r>
            </w:hyperlink>
            <w:r>
              <w:t>: page 15.</w:t>
            </w:r>
          </w:p>
        </w:tc>
      </w:tr>
    </w:tbl>
    <w:p w14:paraId="4A8091A2" w14:textId="77777777" w:rsidR="000437EA" w:rsidRDefault="000437EA"/>
    <w:p w14:paraId="339C7302" w14:textId="7F587766" w:rsidR="004F3E24" w:rsidRPr="00ED7D55" w:rsidRDefault="004F3E24" w:rsidP="004F3E24">
      <w:pPr>
        <w:keepNext/>
        <w:rPr>
          <w:b/>
          <w:bCs/>
        </w:rPr>
      </w:pPr>
      <w:r>
        <w:rPr>
          <w:b/>
          <w:bCs/>
        </w:rPr>
        <w:lastRenderedPageBreak/>
        <w:t>CIDs for</w:t>
      </w:r>
      <w:r w:rsidRPr="00ED7D55">
        <w:rPr>
          <w:b/>
          <w:bCs/>
        </w:rPr>
        <w:t xml:space="preserve"> Clause 3.2, Page 13, line </w:t>
      </w:r>
      <w:r>
        <w:rPr>
          <w:b/>
          <w:bCs/>
        </w:rPr>
        <w:t>2</w:t>
      </w:r>
      <w:r>
        <w:rPr>
          <w:b/>
          <w:bCs/>
        </w:rPr>
        <w:t>2</w:t>
      </w:r>
      <w:r w:rsidRPr="00ED7D55">
        <w:rPr>
          <w:b/>
          <w:bCs/>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280"/>
        <w:gridCol w:w="2790"/>
        <w:gridCol w:w="3870"/>
      </w:tblGrid>
      <w:tr w:rsidR="002A5B66" w:rsidRPr="00AA6B72" w14:paraId="5874F128" w14:textId="77777777" w:rsidTr="002A5B66">
        <w:trPr>
          <w:trHeight w:val="422"/>
        </w:trPr>
        <w:tc>
          <w:tcPr>
            <w:tcW w:w="608" w:type="dxa"/>
            <w:tcBorders>
              <w:bottom w:val="single" w:sz="4" w:space="0" w:color="auto"/>
            </w:tcBorders>
            <w:shd w:val="clear" w:color="auto" w:fill="auto"/>
          </w:tcPr>
          <w:p w14:paraId="13F4D2F8" w14:textId="77777777" w:rsidR="004F3E24" w:rsidRPr="00AA6B72" w:rsidRDefault="004F3E24" w:rsidP="002A5B66">
            <w:pPr>
              <w:keepNext/>
            </w:pPr>
            <w:r>
              <w:t>CID</w:t>
            </w:r>
          </w:p>
        </w:tc>
        <w:tc>
          <w:tcPr>
            <w:tcW w:w="3280" w:type="dxa"/>
            <w:tcBorders>
              <w:bottom w:val="single" w:sz="4" w:space="0" w:color="auto"/>
            </w:tcBorders>
            <w:shd w:val="clear" w:color="auto" w:fill="auto"/>
          </w:tcPr>
          <w:p w14:paraId="324E3342" w14:textId="77777777" w:rsidR="004F3E24" w:rsidRPr="00AA6B72" w:rsidRDefault="004F3E24" w:rsidP="002A5B66">
            <w:pPr>
              <w:keepNext/>
            </w:pPr>
            <w:r>
              <w:t xml:space="preserve">Comment </w:t>
            </w:r>
          </w:p>
        </w:tc>
        <w:tc>
          <w:tcPr>
            <w:tcW w:w="2790" w:type="dxa"/>
            <w:tcBorders>
              <w:bottom w:val="single" w:sz="4" w:space="0" w:color="auto"/>
            </w:tcBorders>
            <w:shd w:val="clear" w:color="auto" w:fill="auto"/>
          </w:tcPr>
          <w:p w14:paraId="7D114988" w14:textId="77777777" w:rsidR="004F3E24" w:rsidRPr="00AA6B72" w:rsidRDefault="004F3E24" w:rsidP="002A5B66">
            <w:pPr>
              <w:keepNext/>
            </w:pPr>
            <w:r>
              <w:t>Proposed Change</w:t>
            </w:r>
          </w:p>
        </w:tc>
        <w:tc>
          <w:tcPr>
            <w:tcW w:w="3870" w:type="dxa"/>
            <w:tcBorders>
              <w:bottom w:val="single" w:sz="4" w:space="0" w:color="auto"/>
            </w:tcBorders>
            <w:shd w:val="clear" w:color="auto" w:fill="auto"/>
          </w:tcPr>
          <w:p w14:paraId="1B3EEF74" w14:textId="77777777" w:rsidR="004F3E24" w:rsidRPr="00AA6B72" w:rsidRDefault="004F3E24" w:rsidP="002A5B66">
            <w:pPr>
              <w:keepNext/>
            </w:pPr>
            <w:r>
              <w:t>Proposed Resolution</w:t>
            </w:r>
          </w:p>
        </w:tc>
      </w:tr>
      <w:tr w:rsidR="002A5B66" w:rsidRPr="00105CFA" w14:paraId="5D91BFA9" w14:textId="77777777" w:rsidTr="002A5B66">
        <w:trPr>
          <w:trHeight w:val="792"/>
        </w:trPr>
        <w:tc>
          <w:tcPr>
            <w:tcW w:w="608" w:type="dxa"/>
            <w:tcBorders>
              <w:top w:val="single" w:sz="4" w:space="0" w:color="auto"/>
              <w:bottom w:val="single" w:sz="4" w:space="0" w:color="auto"/>
              <w:right w:val="single" w:sz="4" w:space="0" w:color="auto"/>
            </w:tcBorders>
            <w:shd w:val="clear" w:color="auto" w:fill="auto"/>
            <w:hideMark/>
          </w:tcPr>
          <w:p w14:paraId="19547854" w14:textId="006A7941" w:rsidR="00A86A65" w:rsidRPr="002A5B66" w:rsidRDefault="00A86A65" w:rsidP="002A5B66">
            <w:pPr>
              <w:keepNext/>
              <w:rPr>
                <w:lang w:val="en-US"/>
              </w:rPr>
            </w:pPr>
            <w:r w:rsidRPr="002A5B66">
              <w:rPr>
                <w:rFonts w:ascii="Arial" w:hAnsi="Arial" w:cs="Arial"/>
                <w:sz w:val="20"/>
              </w:rPr>
              <w:t>30</w:t>
            </w:r>
          </w:p>
        </w:tc>
        <w:tc>
          <w:tcPr>
            <w:tcW w:w="3280" w:type="dxa"/>
            <w:tcBorders>
              <w:top w:val="single" w:sz="4" w:space="0" w:color="auto"/>
              <w:left w:val="single" w:sz="4" w:space="0" w:color="auto"/>
              <w:bottom w:val="single" w:sz="4" w:space="0" w:color="auto"/>
              <w:right w:val="single" w:sz="4" w:space="0" w:color="auto"/>
            </w:tcBorders>
            <w:shd w:val="clear" w:color="auto" w:fill="auto"/>
            <w:hideMark/>
          </w:tcPr>
          <w:p w14:paraId="5898FE77" w14:textId="766D95B3" w:rsidR="00A86A65" w:rsidRPr="002A5B66" w:rsidRDefault="00A86A65" w:rsidP="002A5B66">
            <w:pPr>
              <w:keepNext/>
              <w:rPr>
                <w:rFonts w:ascii="Arial" w:hAnsi="Arial" w:cs="Arial"/>
                <w:sz w:val="20"/>
                <w:lang w:val="en-US"/>
              </w:rPr>
            </w:pPr>
            <w:r w:rsidRPr="002A5B66">
              <w:rPr>
                <w:rFonts w:ascii="Arial" w:hAnsi="Arial" w:cs="Arial"/>
                <w:sz w:val="20"/>
              </w:rPr>
              <w:t>Comparing the definitions of OCB primary and secondary channel, it could be inferred that the state of the secondary channel plays no role in determining when a 20 MHz transmission is allowable.</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0066EDCE" w14:textId="6DB1352C" w:rsidR="00A86A65" w:rsidRPr="002A5B66" w:rsidRDefault="00A86A65" w:rsidP="002A5B66">
            <w:pPr>
              <w:keepNext/>
              <w:rPr>
                <w:lang w:val="en-US"/>
              </w:rPr>
            </w:pPr>
            <w:r w:rsidRPr="002A5B66">
              <w:rPr>
                <w:rFonts w:ascii="Arial" w:hAnsi="Arial" w:cs="Arial"/>
                <w:sz w:val="20"/>
              </w:rPr>
              <w:t>To the definition of OCB secondary channel append "A virtual CS is applied to determine the current state of use of the 10 MHz wireless medium (WM) for the transmission of a 20 MHz next generation v2X (NGV) physical layer (PHY) protocol data unit (PPDU)."</w:t>
            </w:r>
          </w:p>
        </w:tc>
        <w:tc>
          <w:tcPr>
            <w:tcW w:w="3870" w:type="dxa"/>
            <w:tcBorders>
              <w:top w:val="single" w:sz="4" w:space="0" w:color="auto"/>
              <w:left w:val="single" w:sz="4" w:space="0" w:color="auto"/>
              <w:bottom w:val="single" w:sz="4" w:space="0" w:color="auto"/>
            </w:tcBorders>
            <w:shd w:val="clear" w:color="auto" w:fill="auto"/>
          </w:tcPr>
          <w:p w14:paraId="0512A17B" w14:textId="77777777" w:rsidR="00235869" w:rsidRDefault="00235869" w:rsidP="00235869">
            <w:r>
              <w:t>Revised:</w:t>
            </w:r>
          </w:p>
          <w:p w14:paraId="1359229E" w14:textId="1E49540D" w:rsidR="00A86A65" w:rsidRPr="00D639BB" w:rsidRDefault="00235869" w:rsidP="002A5B66">
            <w:pPr>
              <w:keepNext/>
            </w:pPr>
            <w:r>
              <w:t>The text was revised in response to CID 5</w:t>
            </w:r>
            <w:r>
              <w:t>4</w:t>
            </w:r>
            <w:r>
              <w:t>, and the</w:t>
            </w:r>
            <w:r>
              <w:t xml:space="preserve"> discussion on </w:t>
            </w:r>
            <w:r>
              <w:t>“carrier sense (CS)” is no longer present.</w:t>
            </w:r>
            <w:r w:rsidR="00F347B5">
              <w:t xml:space="preserve">  The requirement for CS does not belong in clause 3.</w:t>
            </w:r>
          </w:p>
        </w:tc>
      </w:tr>
      <w:tr w:rsidR="002A5B66" w:rsidRPr="00105CFA" w14:paraId="6F6EEE08" w14:textId="77777777" w:rsidTr="002A5B66">
        <w:trPr>
          <w:trHeight w:val="792"/>
        </w:trPr>
        <w:tc>
          <w:tcPr>
            <w:tcW w:w="608" w:type="dxa"/>
            <w:tcBorders>
              <w:top w:val="single" w:sz="4" w:space="0" w:color="auto"/>
              <w:bottom w:val="single" w:sz="4" w:space="0" w:color="auto"/>
              <w:right w:val="single" w:sz="4" w:space="0" w:color="auto"/>
            </w:tcBorders>
            <w:shd w:val="clear" w:color="auto" w:fill="auto"/>
          </w:tcPr>
          <w:p w14:paraId="3B7290CC" w14:textId="51E07BF8" w:rsidR="00A86A65" w:rsidRDefault="00A86A65" w:rsidP="002A5B66">
            <w:pPr>
              <w:keepNext/>
            </w:pPr>
            <w:r w:rsidRPr="002A5B66">
              <w:rPr>
                <w:rFonts w:ascii="Arial" w:hAnsi="Arial" w:cs="Arial"/>
                <w:sz w:val="20"/>
              </w:rPr>
              <w:t>213</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3529AE8A" w14:textId="5514E580" w:rsidR="00A86A65" w:rsidRPr="002A5B66" w:rsidRDefault="00A86A65" w:rsidP="002A5B66">
            <w:pPr>
              <w:keepNext/>
              <w:rPr>
                <w:rFonts w:ascii="Arial" w:hAnsi="Arial" w:cs="Arial"/>
                <w:sz w:val="20"/>
              </w:rPr>
            </w:pPr>
            <w:r w:rsidRPr="002A5B66">
              <w:rPr>
                <w:rFonts w:ascii="Arial" w:hAnsi="Arial" w:cs="Arial"/>
                <w:sz w:val="20"/>
              </w:rPr>
              <w:t>v2x should be all capital letters e.g. V2X to be consistent in the spec</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B19A21A" w14:textId="5062025E" w:rsidR="00A86A65" w:rsidRPr="002A5B66" w:rsidRDefault="00A86A65" w:rsidP="002A5B66">
            <w:pPr>
              <w:keepNext/>
              <w:rPr>
                <w:rFonts w:ascii="Arial" w:hAnsi="Arial" w:cs="Arial"/>
                <w:sz w:val="20"/>
              </w:rPr>
            </w:pPr>
            <w:r w:rsidRPr="002A5B66">
              <w:rPr>
                <w:rFonts w:ascii="Arial" w:hAnsi="Arial" w:cs="Arial"/>
                <w:sz w:val="20"/>
              </w:rPr>
              <w:t>v2x should be fixed to V2X</w:t>
            </w:r>
          </w:p>
        </w:tc>
        <w:tc>
          <w:tcPr>
            <w:tcW w:w="3870" w:type="dxa"/>
            <w:tcBorders>
              <w:top w:val="single" w:sz="4" w:space="0" w:color="auto"/>
              <w:left w:val="single" w:sz="4" w:space="0" w:color="auto"/>
              <w:bottom w:val="single" w:sz="4" w:space="0" w:color="auto"/>
            </w:tcBorders>
            <w:shd w:val="clear" w:color="auto" w:fill="auto"/>
          </w:tcPr>
          <w:p w14:paraId="59ED2C47" w14:textId="77777777" w:rsidR="009A3B96" w:rsidRDefault="009A3B96" w:rsidP="009A3B96">
            <w:r>
              <w:t>Revised:</w:t>
            </w:r>
          </w:p>
          <w:p w14:paraId="79C0AB0C" w14:textId="5B52B9BC" w:rsidR="00A86A65" w:rsidRDefault="009A3B96" w:rsidP="002A5B66">
            <w:pPr>
              <w:keepNext/>
            </w:pPr>
            <w:r>
              <w:t>The text was revised in response to CID 5</w:t>
            </w:r>
            <w:r>
              <w:t>4</w:t>
            </w:r>
            <w:r>
              <w:t>, and the V2X is now capitalized.</w:t>
            </w:r>
          </w:p>
        </w:tc>
      </w:tr>
    </w:tbl>
    <w:p w14:paraId="03D227F7" w14:textId="3053D8EB" w:rsidR="00C928C3" w:rsidRDefault="00C928C3" w:rsidP="00B34047">
      <w:pPr>
        <w:ind w:left="-90"/>
        <w:rPr>
          <w:b/>
          <w:sz w:val="24"/>
        </w:rPr>
      </w:pPr>
    </w:p>
    <w:p w14:paraId="1BB56CF7" w14:textId="1A21FF0C" w:rsidR="00C928C3" w:rsidRDefault="00C928C3" w:rsidP="00B34047">
      <w:pPr>
        <w:ind w:left="-90"/>
        <w:rPr>
          <w:b/>
          <w:sz w:val="24"/>
        </w:rPr>
      </w:pPr>
    </w:p>
    <w:p w14:paraId="2542357F" w14:textId="77777777" w:rsidR="00C928C3" w:rsidRDefault="00C928C3" w:rsidP="00B34047">
      <w:pPr>
        <w:ind w:left="-90"/>
        <w:rPr>
          <w:b/>
          <w:sz w:val="24"/>
        </w:rPr>
      </w:pPr>
    </w:p>
    <w:p w14:paraId="1ACE455D" w14:textId="400E68AA" w:rsidR="00CA09B2" w:rsidRDefault="00072B35" w:rsidP="00B34047">
      <w:pPr>
        <w:ind w:left="-90"/>
        <w:rPr>
          <w:b/>
          <w:sz w:val="24"/>
        </w:rPr>
      </w:pPr>
      <w:r w:rsidRPr="00C928C3">
        <w:rPr>
          <w:sz w:val="24"/>
        </w:rPr>
        <w:br w:type="page"/>
      </w:r>
      <w:r w:rsidR="00CA09B2">
        <w:rPr>
          <w:b/>
          <w:sz w:val="24"/>
        </w:rPr>
        <w:lastRenderedPageBreak/>
        <w:t>References:</w:t>
      </w:r>
    </w:p>
    <w:p w14:paraId="7647B90E" w14:textId="492389BA" w:rsidR="00CA09B2" w:rsidRDefault="00C42AED" w:rsidP="00B34047">
      <w:pPr>
        <w:numPr>
          <w:ilvl w:val="0"/>
          <w:numId w:val="1"/>
        </w:numPr>
      </w:pPr>
      <w:hyperlink r:id="rId13" w:history="1">
        <w:r>
          <w:rPr>
            <w:rStyle w:val="Hyperlink"/>
          </w:rPr>
          <w:t>2014 IEEE Stan</w:t>
        </w:r>
        <w:r>
          <w:rPr>
            <w:rStyle w:val="Hyperlink"/>
          </w:rPr>
          <w:t>dards Style Manual</w:t>
        </w:r>
      </w:hyperlink>
      <w:r w:rsidR="00B34047">
        <w:t>:</w:t>
      </w:r>
      <w:r>
        <w:t xml:space="preserve"> </w:t>
      </w:r>
      <w:hyperlink r:id="rId14" w:history="1">
        <w:r w:rsidRPr="000B5E7E">
          <w:rPr>
            <w:rStyle w:val="Hyperlink"/>
          </w:rPr>
          <w:t>https://development.standards.ieee.org/myproject/Public/mytools/draft/styleman.pdf</w:t>
        </w:r>
      </w:hyperlink>
    </w:p>
    <w:p w14:paraId="73677710" w14:textId="35053B67" w:rsidR="00B34047" w:rsidRDefault="0032396A" w:rsidP="00B34047">
      <w:pPr>
        <w:numPr>
          <w:ilvl w:val="0"/>
          <w:numId w:val="1"/>
        </w:numPr>
      </w:pPr>
      <w:r>
        <w:t>IEEE Std 802.11-2016:</w:t>
      </w:r>
      <w:r w:rsidR="005C0C92">
        <w:t xml:space="preserve"> </w:t>
      </w:r>
      <w:hyperlink r:id="rId15" w:history="1">
        <w:r w:rsidR="005C0C92" w:rsidRPr="000B5E7E">
          <w:rPr>
            <w:rStyle w:val="Hyperlink"/>
          </w:rPr>
          <w:t>https://ieeexplore.ieee.org/document/7786995</w:t>
        </w:r>
      </w:hyperlink>
      <w:r w:rsidR="005C0C92">
        <w:t xml:space="preserve"> </w:t>
      </w:r>
    </w:p>
    <w:p w14:paraId="326CA62E" w14:textId="3437C027" w:rsidR="0032396A" w:rsidRDefault="0032396A" w:rsidP="00B34047">
      <w:pPr>
        <w:numPr>
          <w:ilvl w:val="0"/>
          <w:numId w:val="1"/>
        </w:numPr>
      </w:pPr>
      <w:r>
        <w:t>IEEE Std 802.11md D3.0:</w:t>
      </w:r>
      <w:r w:rsidR="00725807">
        <w:t xml:space="preserve"> </w:t>
      </w:r>
      <w:hyperlink r:id="rId16" w:history="1">
        <w:r w:rsidR="00725807" w:rsidRPr="000B5E7E">
          <w:rPr>
            <w:rStyle w:val="Hyperlink"/>
          </w:rPr>
          <w:t>http://www.ieee802.org/11/private/Draft_Standards/11md/Draft%20P802.11REVmd_D3.0.pdf</w:t>
        </w:r>
      </w:hyperlink>
      <w:r w:rsidR="00725807">
        <w:t xml:space="preserve"> </w:t>
      </w:r>
    </w:p>
    <w:p w14:paraId="1E1EB8EF" w14:textId="2657037A" w:rsidR="0032396A" w:rsidRDefault="0032396A" w:rsidP="00B34047">
      <w:pPr>
        <w:numPr>
          <w:ilvl w:val="0"/>
          <w:numId w:val="1"/>
        </w:numPr>
      </w:pPr>
      <w:r>
        <w:t xml:space="preserve">IEEE Std 802.11bd D0.3: </w:t>
      </w:r>
      <w:hyperlink r:id="rId17" w:history="1">
        <w:r w:rsidR="008C16CD" w:rsidRPr="000B5E7E">
          <w:rPr>
            <w:rStyle w:val="Hyperlink"/>
          </w:rPr>
          <w:t>http://www.ieee802.org/11/private/Draft_Standards/11bd/Draft%20P802.11bd_D0.3.pdf</w:t>
        </w:r>
      </w:hyperlink>
      <w:r w:rsidR="008C16CD">
        <w:t xml:space="preserve"> </w:t>
      </w:r>
    </w:p>
    <w:p w14:paraId="732D3842" w14:textId="7957E9FC" w:rsidR="00B174E7" w:rsidRDefault="009140FF" w:rsidP="00B34047">
      <w:pPr>
        <w:numPr>
          <w:ilvl w:val="0"/>
          <w:numId w:val="1"/>
        </w:numPr>
      </w:pPr>
      <w:hyperlink r:id="rId18" w:history="1">
        <w:r w:rsidR="00B174E7" w:rsidRPr="009140FF">
          <w:rPr>
            <w:rStyle w:val="Hyperlink"/>
          </w:rPr>
          <w:t>802.11-20/</w:t>
        </w:r>
        <w:r w:rsidRPr="009140FF">
          <w:rPr>
            <w:rStyle w:val="Hyperlink"/>
          </w:rPr>
          <w:t>0701r1</w:t>
        </w:r>
      </w:hyperlink>
      <w:r>
        <w:t xml:space="preserve">, </w:t>
      </w:r>
      <w:r w:rsidR="00B174E7" w:rsidRPr="00B174E7">
        <w:t>TGbd-D0.3-comments</w:t>
      </w:r>
      <w:r w:rsidR="00B174E7" w:rsidRPr="00B174E7">
        <w:t>,</w:t>
      </w:r>
      <w:r w:rsidR="00B174E7">
        <w:rPr>
          <w:rFonts w:ascii="Verdana" w:hAnsi="Verdana"/>
          <w:color w:val="000000"/>
          <w:sz w:val="14"/>
          <w:szCs w:val="14"/>
          <w:shd w:val="clear" w:color="auto" w:fill="EEEEEE"/>
        </w:rPr>
        <w:t xml:space="preserve"> </w:t>
      </w:r>
      <w:r w:rsidR="00B174E7" w:rsidRPr="00B174E7">
        <w:t>https://mentor.ieee.org/802.11/dcn/20/11-20-0701-01-00bd-tgbd-d0-3-comments.xlsx</w:t>
      </w:r>
    </w:p>
    <w:p w14:paraId="220E879E" w14:textId="77777777" w:rsidR="00C42AED" w:rsidRDefault="00C42AED"/>
    <w:sectPr w:rsidR="00C42AED" w:rsidSect="00B34047">
      <w:headerReference w:type="default" r:id="rId19"/>
      <w:footerReference w:type="default" r:id="rId20"/>
      <w:pgSz w:w="12240" w:h="15840" w:code="1"/>
      <w:pgMar w:top="720" w:right="720" w:bottom="720" w:left="1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DD741" w14:textId="77777777" w:rsidR="002A5B66" w:rsidRDefault="002A5B66">
      <w:r>
        <w:separator/>
      </w:r>
    </w:p>
  </w:endnote>
  <w:endnote w:type="continuationSeparator" w:id="0">
    <w:p w14:paraId="629685B3" w14:textId="77777777" w:rsidR="002A5B66" w:rsidRDefault="002A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13652" w14:textId="781C71BF" w:rsidR="0029020B" w:rsidRDefault="002A5B66">
    <w:pPr>
      <w:pStyle w:val="Footer"/>
      <w:tabs>
        <w:tab w:val="clear" w:pos="6480"/>
        <w:tab w:val="center" w:pos="4680"/>
        <w:tab w:val="right" w:pos="9360"/>
      </w:tabs>
    </w:pPr>
    <w:r>
      <w:fldChar w:fldCharType="begin"/>
    </w:r>
    <w:r>
      <w:instrText xml:space="preserve"> SUBJECT  \* MERGEFORMAT </w:instrText>
    </w:r>
    <w:r>
      <w:fldChar w:fldCharType="separate"/>
    </w:r>
    <w:r w:rsidR="00B3440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8B0E87">
      <w:t>Joseph Levy (InterDigital)</w:t>
    </w:r>
    <w:r>
      <w:fldChar w:fldCharType="end"/>
    </w:r>
  </w:p>
  <w:p w14:paraId="01ADD6F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2BDF6" w14:textId="77777777" w:rsidR="002A5B66" w:rsidRDefault="002A5B66">
      <w:r>
        <w:separator/>
      </w:r>
    </w:p>
  </w:footnote>
  <w:footnote w:type="continuationSeparator" w:id="0">
    <w:p w14:paraId="73D39453" w14:textId="77777777" w:rsidR="002A5B66" w:rsidRDefault="002A5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521A" w14:textId="661CFE0A" w:rsidR="0029020B" w:rsidRDefault="002A5B66">
    <w:pPr>
      <w:pStyle w:val="Header"/>
      <w:tabs>
        <w:tab w:val="clear" w:pos="6480"/>
        <w:tab w:val="center" w:pos="4680"/>
        <w:tab w:val="right" w:pos="9360"/>
      </w:tabs>
    </w:pPr>
    <w:r>
      <w:fldChar w:fldCharType="begin"/>
    </w:r>
    <w:r>
      <w:instrText xml:space="preserve"> KEYWORDS  \* MERGEFORMAT </w:instrText>
    </w:r>
    <w:r>
      <w:fldChar w:fldCharType="separate"/>
    </w:r>
    <w:r w:rsidR="008B0E87">
      <w:t>May 2020</w:t>
    </w:r>
    <w:r>
      <w:fldChar w:fldCharType="end"/>
    </w:r>
    <w:r w:rsidR="0029020B">
      <w:tab/>
    </w:r>
    <w:r w:rsidR="0029020B">
      <w:tab/>
    </w:r>
    <w:r>
      <w:fldChar w:fldCharType="begin"/>
    </w:r>
    <w:r>
      <w:instrText xml:space="preserve"> TITLE  \* MERGEFORMAT </w:instrText>
    </w:r>
    <w:r>
      <w:fldChar w:fldCharType="separate"/>
    </w:r>
    <w:r w:rsidR="008B0E87">
      <w:t>doc.: IEEE 802.11-20/0709r0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65B78"/>
    <w:multiLevelType w:val="hybridMultilevel"/>
    <w:tmpl w:val="C778C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09"/>
    <w:rsid w:val="00030F5C"/>
    <w:rsid w:val="000437EA"/>
    <w:rsid w:val="000438DE"/>
    <w:rsid w:val="00072B35"/>
    <w:rsid w:val="00102328"/>
    <w:rsid w:val="00105CFA"/>
    <w:rsid w:val="0016140B"/>
    <w:rsid w:val="00196C2A"/>
    <w:rsid w:val="001B6A1D"/>
    <w:rsid w:val="001C0557"/>
    <w:rsid w:val="001D723B"/>
    <w:rsid w:val="00214DE5"/>
    <w:rsid w:val="0021586D"/>
    <w:rsid w:val="00235869"/>
    <w:rsid w:val="0029020B"/>
    <w:rsid w:val="002A5B66"/>
    <w:rsid w:val="002D44BE"/>
    <w:rsid w:val="0032396A"/>
    <w:rsid w:val="0035229E"/>
    <w:rsid w:val="00373EA6"/>
    <w:rsid w:val="003743E4"/>
    <w:rsid w:val="00395863"/>
    <w:rsid w:val="00442033"/>
    <w:rsid w:val="00442037"/>
    <w:rsid w:val="004B064B"/>
    <w:rsid w:val="004C2290"/>
    <w:rsid w:val="004F3E24"/>
    <w:rsid w:val="005724DE"/>
    <w:rsid w:val="005814C9"/>
    <w:rsid w:val="005C0C92"/>
    <w:rsid w:val="005F1268"/>
    <w:rsid w:val="005F4EA5"/>
    <w:rsid w:val="00607751"/>
    <w:rsid w:val="00620BBB"/>
    <w:rsid w:val="0062440B"/>
    <w:rsid w:val="00652B05"/>
    <w:rsid w:val="006A4A5B"/>
    <w:rsid w:val="006A6546"/>
    <w:rsid w:val="006C0727"/>
    <w:rsid w:val="006C5793"/>
    <w:rsid w:val="006E145F"/>
    <w:rsid w:val="00700D85"/>
    <w:rsid w:val="007018B2"/>
    <w:rsid w:val="00725807"/>
    <w:rsid w:val="00770572"/>
    <w:rsid w:val="00780D93"/>
    <w:rsid w:val="007C1669"/>
    <w:rsid w:val="00803B43"/>
    <w:rsid w:val="008437FA"/>
    <w:rsid w:val="00851680"/>
    <w:rsid w:val="0087647B"/>
    <w:rsid w:val="0088489E"/>
    <w:rsid w:val="008B0E87"/>
    <w:rsid w:val="008C16CD"/>
    <w:rsid w:val="008C1AAB"/>
    <w:rsid w:val="008D595C"/>
    <w:rsid w:val="008F6C93"/>
    <w:rsid w:val="009140FF"/>
    <w:rsid w:val="0098176C"/>
    <w:rsid w:val="00995485"/>
    <w:rsid w:val="00997407"/>
    <w:rsid w:val="009A3B96"/>
    <w:rsid w:val="009F2FBC"/>
    <w:rsid w:val="009F5B21"/>
    <w:rsid w:val="00A251B4"/>
    <w:rsid w:val="00A27345"/>
    <w:rsid w:val="00A35103"/>
    <w:rsid w:val="00A86A65"/>
    <w:rsid w:val="00AA427C"/>
    <w:rsid w:val="00AA6B72"/>
    <w:rsid w:val="00B174E7"/>
    <w:rsid w:val="00B34047"/>
    <w:rsid w:val="00B34409"/>
    <w:rsid w:val="00B40466"/>
    <w:rsid w:val="00B4686E"/>
    <w:rsid w:val="00B8488B"/>
    <w:rsid w:val="00B879FE"/>
    <w:rsid w:val="00BE68C2"/>
    <w:rsid w:val="00C125C6"/>
    <w:rsid w:val="00C42AED"/>
    <w:rsid w:val="00C928C3"/>
    <w:rsid w:val="00CA09B2"/>
    <w:rsid w:val="00CA6D5A"/>
    <w:rsid w:val="00CA77B5"/>
    <w:rsid w:val="00CC11A7"/>
    <w:rsid w:val="00CE3AE8"/>
    <w:rsid w:val="00CF79CC"/>
    <w:rsid w:val="00D22E9D"/>
    <w:rsid w:val="00D639BB"/>
    <w:rsid w:val="00D64EB3"/>
    <w:rsid w:val="00DC5A7B"/>
    <w:rsid w:val="00DD7B0F"/>
    <w:rsid w:val="00E56805"/>
    <w:rsid w:val="00E61498"/>
    <w:rsid w:val="00E63C50"/>
    <w:rsid w:val="00E8565E"/>
    <w:rsid w:val="00EC102E"/>
    <w:rsid w:val="00EC5290"/>
    <w:rsid w:val="00ED6281"/>
    <w:rsid w:val="00ED7D55"/>
    <w:rsid w:val="00EE09A5"/>
    <w:rsid w:val="00EF1179"/>
    <w:rsid w:val="00F201A8"/>
    <w:rsid w:val="00F347B5"/>
    <w:rsid w:val="00F4426E"/>
    <w:rsid w:val="00F55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BAA6A"/>
  <w15:chartTrackingRefBased/>
  <w15:docId w15:val="{76DD118C-9883-4A13-A465-329A353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5329"/>
    <w:rPr>
      <w:rFonts w:ascii="Segoe UI" w:hAnsi="Segoe UI" w:cs="Segoe UI"/>
      <w:sz w:val="18"/>
      <w:szCs w:val="18"/>
    </w:rPr>
  </w:style>
  <w:style w:type="character" w:customStyle="1" w:styleId="BalloonTextChar">
    <w:name w:val="Balloon Text Char"/>
    <w:link w:val="BalloonText"/>
    <w:rsid w:val="00F55329"/>
    <w:rPr>
      <w:rFonts w:ascii="Segoe UI" w:hAnsi="Segoe UI" w:cs="Segoe UI"/>
      <w:sz w:val="18"/>
      <w:szCs w:val="18"/>
      <w:lang w:val="en-GB"/>
    </w:rPr>
  </w:style>
  <w:style w:type="character" w:styleId="UnresolvedMention">
    <w:name w:val="Unresolved Mention"/>
    <w:uiPriority w:val="99"/>
    <w:semiHidden/>
    <w:unhideWhenUsed/>
    <w:rsid w:val="001C0557"/>
    <w:rPr>
      <w:color w:val="605E5C"/>
      <w:shd w:val="clear" w:color="auto" w:fill="E1DFDD"/>
    </w:rPr>
  </w:style>
  <w:style w:type="character" w:styleId="FollowedHyperlink">
    <w:name w:val="FollowedHyperlink"/>
    <w:rsid w:val="001C055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3808">
      <w:bodyDiv w:val="1"/>
      <w:marLeft w:val="0"/>
      <w:marRight w:val="0"/>
      <w:marTop w:val="0"/>
      <w:marBottom w:val="0"/>
      <w:divBdr>
        <w:top w:val="none" w:sz="0" w:space="0" w:color="auto"/>
        <w:left w:val="none" w:sz="0" w:space="0" w:color="auto"/>
        <w:bottom w:val="none" w:sz="0" w:space="0" w:color="auto"/>
        <w:right w:val="none" w:sz="0" w:space="0" w:color="auto"/>
      </w:divBdr>
    </w:div>
    <w:div w:id="403138764">
      <w:bodyDiv w:val="1"/>
      <w:marLeft w:val="0"/>
      <w:marRight w:val="0"/>
      <w:marTop w:val="0"/>
      <w:marBottom w:val="0"/>
      <w:divBdr>
        <w:top w:val="none" w:sz="0" w:space="0" w:color="auto"/>
        <w:left w:val="none" w:sz="0" w:space="0" w:color="auto"/>
        <w:bottom w:val="none" w:sz="0" w:space="0" w:color="auto"/>
        <w:right w:val="none" w:sz="0" w:space="0" w:color="auto"/>
      </w:divBdr>
    </w:div>
    <w:div w:id="517549464">
      <w:bodyDiv w:val="1"/>
      <w:marLeft w:val="0"/>
      <w:marRight w:val="0"/>
      <w:marTop w:val="0"/>
      <w:marBottom w:val="0"/>
      <w:divBdr>
        <w:top w:val="none" w:sz="0" w:space="0" w:color="auto"/>
        <w:left w:val="none" w:sz="0" w:space="0" w:color="auto"/>
        <w:bottom w:val="none" w:sz="0" w:space="0" w:color="auto"/>
        <w:right w:val="none" w:sz="0" w:space="0" w:color="auto"/>
      </w:divBdr>
    </w:div>
    <w:div w:id="866019878">
      <w:bodyDiv w:val="1"/>
      <w:marLeft w:val="0"/>
      <w:marRight w:val="0"/>
      <w:marTop w:val="0"/>
      <w:marBottom w:val="0"/>
      <w:divBdr>
        <w:top w:val="none" w:sz="0" w:space="0" w:color="auto"/>
        <w:left w:val="none" w:sz="0" w:space="0" w:color="auto"/>
        <w:bottom w:val="none" w:sz="0" w:space="0" w:color="auto"/>
        <w:right w:val="none" w:sz="0" w:space="0" w:color="auto"/>
      </w:divBdr>
    </w:div>
    <w:div w:id="13577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velopment.standards.ieee.org/myproject/Public/mytools/draft/styleman.pdf" TargetMode="External"/><Relationship Id="rId18" Type="http://schemas.openxmlformats.org/officeDocument/2006/relationships/hyperlink" Target="https://mentor.ieee.org/802.11/dcn/20/11-20-0701-01-00bd-tgbd-d0-3-comments.xls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evelopment.standards.ieee.org/myproject/Public/mytools/draft/styleman.pdf" TargetMode="External"/><Relationship Id="rId17" Type="http://schemas.openxmlformats.org/officeDocument/2006/relationships/hyperlink" Target="http://www.ieee802.org/11/private/Draft_Standards/11bd/Draft%20P802.11bd_D0.3.pdf" TargetMode="External"/><Relationship Id="rId2" Type="http://schemas.openxmlformats.org/officeDocument/2006/relationships/customXml" Target="../customXml/item2.xml"/><Relationship Id="rId16" Type="http://schemas.openxmlformats.org/officeDocument/2006/relationships/hyperlink" Target="http://www.ieee802.org/11/private/Draft_Standards/11md/Draft%20P802.11REVmd_D3.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elopment.standards.ieee.org/myproject/Public/mytools/draft/styleman.pdf" TargetMode="External"/><Relationship Id="rId5" Type="http://schemas.openxmlformats.org/officeDocument/2006/relationships/styles" Target="styles.xml"/><Relationship Id="rId15" Type="http://schemas.openxmlformats.org/officeDocument/2006/relationships/hyperlink" Target="https://ieeexplore.ieee.org/document/7786995" TargetMode="External"/><Relationship Id="rId10" Type="http://schemas.openxmlformats.org/officeDocument/2006/relationships/hyperlink" Target="https://mentor.ieee.org/802.11/dcn/20/11-20-0701-01-00bd-tgbd-d0-3-comments.xls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velopment.standards.ieee.org/myproject/Public/mytools/draft/styleman.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interdigital-my.sharepoint.com/personal/levyjs_interdigital_com/Documents/802/Spec_Review/802.11bd_review/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58B0A-0691-4F6A-8C24-8C5D9E5AE0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F66DEF-9DA4-4416-843D-AF63E2F7A9C7}">
  <ds:schemaRefs>
    <ds:schemaRef ds:uri="http://schemas.microsoft.com/sharepoint/v3/contenttype/forms"/>
  </ds:schemaRefs>
</ds:datastoreItem>
</file>

<file path=customXml/itemProps3.xml><?xml version="1.0" encoding="utf-8"?>
<ds:datastoreItem xmlns:ds="http://schemas.openxmlformats.org/officeDocument/2006/customXml" ds:itemID="{FCC490CA-FF49-412A-993D-1C70744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802-11-Submission-Portrait%20(1).dot</Template>
  <TotalTime>152</TotalTime>
  <Pages>5</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802.11-20/0709r0</vt:lpstr>
    </vt:vector>
  </TitlesOfParts>
  <Company>Some Company</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802.11-20/0709r0</dc:title>
  <dc:subject>Submission</dc:subject>
  <dc:creator>Levy, Joseph</dc:creator>
  <cp:keywords>May 2020</cp:keywords>
  <dc:description>Joseph Levy (InterDigital)</dc:description>
  <cp:lastModifiedBy>Joseph Levy</cp:lastModifiedBy>
  <cp:revision>89</cp:revision>
  <cp:lastPrinted>1900-01-01T05:00:00Z</cp:lastPrinted>
  <dcterms:created xsi:type="dcterms:W3CDTF">2020-05-11T18:40:00Z</dcterms:created>
  <dcterms:modified xsi:type="dcterms:W3CDTF">2020-05-11T21:42:00Z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0x0101005C7DFCADC33959499CA2174C6C12CE0D</vt:lpwstr>
  </property>
</Properties>
</file>