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083E82A0" w:rsidR="00CA09B2" w:rsidRPr="00DE4DD3" w:rsidRDefault="00E569EA" w:rsidP="002902F3">
            <w:pPr>
              <w:pStyle w:val="T2"/>
              <w:rPr>
                <w:rFonts w:asciiTheme="minorHAnsi" w:hAnsiTheme="minorHAnsi"/>
              </w:rPr>
            </w:pPr>
            <w:proofErr w:type="spellStart"/>
            <w:r>
              <w:rPr>
                <w:rFonts w:asciiTheme="minorHAnsi" w:hAnsiTheme="minorHAnsi"/>
              </w:rPr>
              <w:t>REVmd</w:t>
            </w:r>
            <w:proofErr w:type="spellEnd"/>
            <w:r>
              <w:rPr>
                <w:rFonts w:asciiTheme="minorHAnsi" w:hAnsiTheme="minorHAnsi"/>
              </w:rPr>
              <w:t xml:space="preserve"> SB1 </w:t>
            </w:r>
            <w:r w:rsidR="00F16690" w:rsidRPr="00DE4DD3">
              <w:rPr>
                <w:rFonts w:asciiTheme="minorHAnsi" w:hAnsiTheme="minorHAnsi"/>
              </w:rPr>
              <w:t>PHY</w:t>
            </w:r>
            <w:r w:rsidR="009152BA">
              <w:rPr>
                <w:rFonts w:asciiTheme="minorHAnsi" w:hAnsiTheme="minorHAnsi"/>
              </w:rPr>
              <w:t xml:space="preserve"> CR</w:t>
            </w:r>
            <w:r w:rsidR="003E7771">
              <w:rPr>
                <w:rFonts w:asciiTheme="minorHAnsi" w:hAnsiTheme="minorHAnsi"/>
              </w:rPr>
              <w:t>—</w:t>
            </w:r>
            <w:r w:rsidR="009152BA">
              <w:rPr>
                <w:rFonts w:asciiTheme="minorHAnsi" w:hAnsiTheme="minorHAnsi"/>
              </w:rPr>
              <w:t>CID 42</w:t>
            </w:r>
            <w:r w:rsidR="00F16B73">
              <w:rPr>
                <w:rFonts w:asciiTheme="minorHAnsi" w:hAnsiTheme="minorHAnsi"/>
              </w:rPr>
              <w:t>29</w:t>
            </w:r>
          </w:p>
        </w:tc>
      </w:tr>
      <w:tr w:rsidR="00CA09B2" w14:paraId="35FC781E" w14:textId="77777777">
        <w:trPr>
          <w:trHeight w:val="359"/>
          <w:jc w:val="center"/>
        </w:trPr>
        <w:tc>
          <w:tcPr>
            <w:tcW w:w="9576" w:type="dxa"/>
            <w:gridSpan w:val="5"/>
            <w:vAlign w:val="center"/>
          </w:tcPr>
          <w:p w14:paraId="37B50137" w14:textId="051C9C83"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w:t>
            </w:r>
            <w:r w:rsidR="009152BA">
              <w:rPr>
                <w:rFonts w:asciiTheme="minorHAnsi" w:hAnsiTheme="minorHAnsi"/>
                <w:b w:val="0"/>
                <w:sz w:val="20"/>
              </w:rPr>
              <w:t>20</w:t>
            </w:r>
            <w:r w:rsidR="00F410CB" w:rsidRPr="00DE4DD3">
              <w:rPr>
                <w:rFonts w:asciiTheme="minorHAnsi" w:hAnsiTheme="minorHAnsi"/>
                <w:b w:val="0"/>
                <w:sz w:val="20"/>
              </w:rPr>
              <w:t>-0</w:t>
            </w:r>
            <w:r w:rsidR="009152BA">
              <w:rPr>
                <w:rFonts w:asciiTheme="minorHAnsi" w:hAnsiTheme="minorHAnsi"/>
                <w:b w:val="0"/>
                <w:sz w:val="20"/>
              </w:rPr>
              <w:t>4-2</w:t>
            </w:r>
            <w:r w:rsidR="00BA1088">
              <w:rPr>
                <w:rFonts w:asciiTheme="minorHAnsi" w:hAnsiTheme="minorHAnsi"/>
                <w:b w:val="0"/>
                <w:sz w:val="20"/>
              </w:rPr>
              <w:t>9</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8D2A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5A78787" w:rsidR="00E25CEB" w:rsidRDefault="006F0961">
                            <w:pPr>
                              <w:jc w:val="both"/>
                              <w:rPr>
                                <w:rFonts w:asciiTheme="minorHAnsi" w:hAnsiTheme="minorHAnsi"/>
                              </w:rPr>
                            </w:pPr>
                            <w:r w:rsidRPr="00F16690">
                              <w:rPr>
                                <w:rFonts w:asciiTheme="minorHAnsi" w:hAnsiTheme="minorHAnsi"/>
                              </w:rPr>
                              <w:t xml:space="preserve">Resolution </w:t>
                            </w:r>
                            <w:r w:rsidR="001E65F5">
                              <w:rPr>
                                <w:rFonts w:asciiTheme="minorHAnsi" w:hAnsiTheme="minorHAnsi"/>
                              </w:rPr>
                              <w:t xml:space="preserve">for </w:t>
                            </w:r>
                            <w:proofErr w:type="spellStart"/>
                            <w:r w:rsidR="00E569EA">
                              <w:rPr>
                                <w:rFonts w:asciiTheme="minorHAnsi" w:hAnsiTheme="minorHAnsi"/>
                              </w:rPr>
                              <w:t>REVmd</w:t>
                            </w:r>
                            <w:proofErr w:type="spellEnd"/>
                            <w:r w:rsidR="00E569EA">
                              <w:rPr>
                                <w:rFonts w:asciiTheme="minorHAnsi" w:hAnsiTheme="minorHAnsi"/>
                              </w:rPr>
                              <w:t xml:space="preserve"> SB</w:t>
                            </w:r>
                            <w:r w:rsidR="009152BA">
                              <w:rPr>
                                <w:rFonts w:asciiTheme="minorHAnsi" w:hAnsiTheme="minorHAnsi"/>
                              </w:rPr>
                              <w:t>1</w:t>
                            </w:r>
                            <w:r w:rsidRPr="00F16690">
                              <w:rPr>
                                <w:rFonts w:asciiTheme="minorHAnsi" w:hAnsiTheme="minorHAnsi"/>
                              </w:rPr>
                              <w:t xml:space="preserve"> commen</w:t>
                            </w:r>
                            <w:r w:rsidR="00F16B73">
                              <w:rPr>
                                <w:rFonts w:asciiTheme="minorHAnsi" w:hAnsiTheme="minorHAnsi"/>
                              </w:rPr>
                              <w:t>t</w:t>
                            </w:r>
                            <w:r w:rsidRPr="00F16690">
                              <w:rPr>
                                <w:rFonts w:asciiTheme="minorHAnsi" w:hAnsiTheme="minorHAnsi"/>
                              </w:rPr>
                              <w:t xml:space="preserve"> on </w:t>
                            </w:r>
                            <w:r w:rsidR="00E569EA">
                              <w:rPr>
                                <w:rFonts w:asciiTheme="minorHAnsi" w:hAnsiTheme="minorHAnsi"/>
                              </w:rPr>
                              <w:t xml:space="preserve">PHY </w:t>
                            </w:r>
                            <w:r w:rsidRPr="00F16690">
                              <w:rPr>
                                <w:rFonts w:asciiTheme="minorHAnsi" w:hAnsiTheme="minorHAnsi"/>
                              </w:rPr>
                              <w:t xml:space="preserve">topic: </w:t>
                            </w:r>
                            <w:r w:rsidR="00E569EA">
                              <w:rPr>
                                <w:rFonts w:asciiTheme="minorHAnsi" w:hAnsiTheme="minorHAnsi"/>
                              </w:rPr>
                              <w:t>42</w:t>
                            </w:r>
                            <w:r w:rsidR="00F16B73">
                              <w:rPr>
                                <w:rFonts w:asciiTheme="minorHAnsi" w:hAnsiTheme="minorHAnsi"/>
                              </w:rPr>
                              <w:t>29</w:t>
                            </w:r>
                            <w:r w:rsidR="00E569EA">
                              <w:rPr>
                                <w:rFonts w:asciiTheme="minorHAnsi" w:hAnsiTheme="minorHAnsi"/>
                              </w:rPr>
                              <w:t>.</w:t>
                            </w:r>
                          </w:p>
                          <w:p w14:paraId="370736F6" w14:textId="2AD44B05" w:rsidR="000576A5" w:rsidRDefault="000576A5">
                            <w:pPr>
                              <w:jc w:val="both"/>
                              <w:rPr>
                                <w:rFonts w:asciiTheme="minorHAnsi" w:hAnsiTheme="minorHAnsi"/>
                              </w:rPr>
                            </w:pPr>
                          </w:p>
                          <w:p w14:paraId="2D4EB584" w14:textId="11FEBB32" w:rsidR="000576A5" w:rsidRDefault="000576A5">
                            <w:pPr>
                              <w:jc w:val="both"/>
                              <w:rPr>
                                <w:rFonts w:asciiTheme="minorHAnsi" w:hAnsiTheme="minorHAnsi"/>
                              </w:rPr>
                            </w:pPr>
                            <w:r>
                              <w:rPr>
                                <w:rFonts w:asciiTheme="minorHAnsi" w:hAnsiTheme="minorHAnsi"/>
                              </w:rPr>
                              <w:t>References to page and line numbers are to D3.0.</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36BBE6BA" w14:textId="4987756A" w:rsidR="00C74260" w:rsidRPr="00F16690" w:rsidRDefault="008D3217" w:rsidP="00F16B73">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9152BA">
                              <w:rPr>
                                <w:rFonts w:asciiTheme="minorHAnsi" w:hAnsiTheme="minorHAnsi"/>
                              </w:rPr>
                              <w:t xml:space="preserve"> (2020-04-2</w:t>
                            </w:r>
                            <w:r w:rsidR="00BA1088">
                              <w:rPr>
                                <w:rFonts w:asciiTheme="minorHAnsi" w:hAnsiTheme="minorHAnsi"/>
                              </w:rPr>
                              <w:t>9</w:t>
                            </w:r>
                            <w:r w:rsidR="009152BA">
                              <w:rPr>
                                <w:rFonts w:asciiTheme="minorHAnsi" w:hAnsiTheme="minorHAnsi"/>
                              </w:rPr>
                              <w:t>)</w:t>
                            </w:r>
                            <w:r w:rsidR="000A1E26">
                              <w:rPr>
                                <w:rFonts w:asciiTheme="minorHAnsi" w:hAnsiTheme="minorHAnsi"/>
                              </w:rPr>
                              <w:t>:</w:t>
                            </w:r>
                            <w:r w:rsidR="009152BA">
                              <w:rPr>
                                <w:rFonts w:asciiTheme="minorHAnsi" w:hAnsiTheme="minorHAnsi"/>
                              </w:rPr>
                              <w:tab/>
                            </w:r>
                            <w:r w:rsidR="000A1E26">
                              <w:rPr>
                                <w:rFonts w:asciiTheme="minorHAnsi" w:hAnsiTheme="minorHAnsi"/>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5A78787" w:rsidR="00E25CEB" w:rsidRDefault="006F0961">
                      <w:pPr>
                        <w:jc w:val="both"/>
                        <w:rPr>
                          <w:rFonts w:asciiTheme="minorHAnsi" w:hAnsiTheme="minorHAnsi"/>
                        </w:rPr>
                      </w:pPr>
                      <w:r w:rsidRPr="00F16690">
                        <w:rPr>
                          <w:rFonts w:asciiTheme="minorHAnsi" w:hAnsiTheme="minorHAnsi"/>
                        </w:rPr>
                        <w:t xml:space="preserve">Resolution </w:t>
                      </w:r>
                      <w:r w:rsidR="001E65F5">
                        <w:rPr>
                          <w:rFonts w:asciiTheme="minorHAnsi" w:hAnsiTheme="minorHAnsi"/>
                        </w:rPr>
                        <w:t xml:space="preserve">for </w:t>
                      </w:r>
                      <w:proofErr w:type="spellStart"/>
                      <w:r w:rsidR="00E569EA">
                        <w:rPr>
                          <w:rFonts w:asciiTheme="minorHAnsi" w:hAnsiTheme="minorHAnsi"/>
                        </w:rPr>
                        <w:t>REVmd</w:t>
                      </w:r>
                      <w:proofErr w:type="spellEnd"/>
                      <w:r w:rsidR="00E569EA">
                        <w:rPr>
                          <w:rFonts w:asciiTheme="minorHAnsi" w:hAnsiTheme="minorHAnsi"/>
                        </w:rPr>
                        <w:t xml:space="preserve"> SB</w:t>
                      </w:r>
                      <w:r w:rsidR="009152BA">
                        <w:rPr>
                          <w:rFonts w:asciiTheme="minorHAnsi" w:hAnsiTheme="minorHAnsi"/>
                        </w:rPr>
                        <w:t>1</w:t>
                      </w:r>
                      <w:r w:rsidRPr="00F16690">
                        <w:rPr>
                          <w:rFonts w:asciiTheme="minorHAnsi" w:hAnsiTheme="minorHAnsi"/>
                        </w:rPr>
                        <w:t xml:space="preserve"> commen</w:t>
                      </w:r>
                      <w:r w:rsidR="00F16B73">
                        <w:rPr>
                          <w:rFonts w:asciiTheme="minorHAnsi" w:hAnsiTheme="minorHAnsi"/>
                        </w:rPr>
                        <w:t>t</w:t>
                      </w:r>
                      <w:r w:rsidRPr="00F16690">
                        <w:rPr>
                          <w:rFonts w:asciiTheme="minorHAnsi" w:hAnsiTheme="minorHAnsi"/>
                        </w:rPr>
                        <w:t xml:space="preserve"> on </w:t>
                      </w:r>
                      <w:r w:rsidR="00E569EA">
                        <w:rPr>
                          <w:rFonts w:asciiTheme="minorHAnsi" w:hAnsiTheme="minorHAnsi"/>
                        </w:rPr>
                        <w:t xml:space="preserve">PHY </w:t>
                      </w:r>
                      <w:r w:rsidRPr="00F16690">
                        <w:rPr>
                          <w:rFonts w:asciiTheme="minorHAnsi" w:hAnsiTheme="minorHAnsi"/>
                        </w:rPr>
                        <w:t xml:space="preserve">topic: </w:t>
                      </w:r>
                      <w:r w:rsidR="00E569EA">
                        <w:rPr>
                          <w:rFonts w:asciiTheme="minorHAnsi" w:hAnsiTheme="minorHAnsi"/>
                        </w:rPr>
                        <w:t>42</w:t>
                      </w:r>
                      <w:r w:rsidR="00F16B73">
                        <w:rPr>
                          <w:rFonts w:asciiTheme="minorHAnsi" w:hAnsiTheme="minorHAnsi"/>
                        </w:rPr>
                        <w:t>29</w:t>
                      </w:r>
                      <w:r w:rsidR="00E569EA">
                        <w:rPr>
                          <w:rFonts w:asciiTheme="minorHAnsi" w:hAnsiTheme="minorHAnsi"/>
                        </w:rPr>
                        <w:t>.</w:t>
                      </w:r>
                    </w:p>
                    <w:p w14:paraId="370736F6" w14:textId="2AD44B05" w:rsidR="000576A5" w:rsidRDefault="000576A5">
                      <w:pPr>
                        <w:jc w:val="both"/>
                        <w:rPr>
                          <w:rFonts w:asciiTheme="minorHAnsi" w:hAnsiTheme="minorHAnsi"/>
                        </w:rPr>
                      </w:pPr>
                    </w:p>
                    <w:p w14:paraId="2D4EB584" w14:textId="11FEBB32" w:rsidR="000576A5" w:rsidRDefault="000576A5">
                      <w:pPr>
                        <w:jc w:val="both"/>
                        <w:rPr>
                          <w:rFonts w:asciiTheme="minorHAnsi" w:hAnsiTheme="minorHAnsi"/>
                        </w:rPr>
                      </w:pPr>
                      <w:r>
                        <w:rPr>
                          <w:rFonts w:asciiTheme="minorHAnsi" w:hAnsiTheme="minorHAnsi"/>
                        </w:rPr>
                        <w:t>References to page and line numbers are to D3.0.</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36BBE6BA" w14:textId="4987756A" w:rsidR="00C74260" w:rsidRPr="00F16690" w:rsidRDefault="008D3217" w:rsidP="00F16B73">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9152BA">
                        <w:rPr>
                          <w:rFonts w:asciiTheme="minorHAnsi" w:hAnsiTheme="minorHAnsi"/>
                        </w:rPr>
                        <w:t xml:space="preserve"> (2020-04-2</w:t>
                      </w:r>
                      <w:r w:rsidR="00BA1088">
                        <w:rPr>
                          <w:rFonts w:asciiTheme="minorHAnsi" w:hAnsiTheme="minorHAnsi"/>
                        </w:rPr>
                        <w:t>9</w:t>
                      </w:r>
                      <w:r w:rsidR="009152BA">
                        <w:rPr>
                          <w:rFonts w:asciiTheme="minorHAnsi" w:hAnsiTheme="minorHAnsi"/>
                        </w:rPr>
                        <w:t>)</w:t>
                      </w:r>
                      <w:r w:rsidR="000A1E26">
                        <w:rPr>
                          <w:rFonts w:asciiTheme="minorHAnsi" w:hAnsiTheme="minorHAnsi"/>
                        </w:rPr>
                        <w:t>:</w:t>
                      </w:r>
                      <w:r w:rsidR="009152BA">
                        <w:rPr>
                          <w:rFonts w:asciiTheme="minorHAnsi" w:hAnsiTheme="minorHAnsi"/>
                        </w:rPr>
                        <w:tab/>
                      </w:r>
                      <w:r w:rsidR="000A1E26">
                        <w:rPr>
                          <w:rFonts w:asciiTheme="minorHAnsi" w:hAnsiTheme="minorHAnsi"/>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v:textbox>
              </v:shape>
            </w:pict>
          </mc:Fallback>
        </mc:AlternateContent>
      </w:r>
    </w:p>
    <w:p w14:paraId="6C579DD1" w14:textId="2E3FE638" w:rsidR="00393E9C" w:rsidRPr="00CE119B" w:rsidRDefault="00393E9C">
      <w:r>
        <w:rPr>
          <w:rFonts w:asciiTheme="minorHAnsi" w:hAnsiTheme="minorHAnsi"/>
        </w:rPr>
        <w:br w:type="page"/>
      </w:r>
    </w:p>
    <w:p w14:paraId="4C8EB383" w14:textId="5B37E10F" w:rsidR="00B5169B" w:rsidRPr="009D5228" w:rsidRDefault="009E7D92" w:rsidP="009D5228">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w:t>
      </w:r>
      <w:r w:rsidR="007D2856">
        <w:rPr>
          <w:rFonts w:asciiTheme="minorHAnsi" w:hAnsiTheme="minorHAnsi"/>
        </w:rPr>
        <w:t>42</w:t>
      </w:r>
      <w:r w:rsidR="000576A5">
        <w:rPr>
          <w:rFonts w:asciiTheme="minorHAnsi" w:hAnsiTheme="minorHAnsi"/>
        </w:rPr>
        <w:t>29</w:t>
      </w:r>
    </w:p>
    <w:p w14:paraId="4D96FD3F" w14:textId="77777777" w:rsidR="00B5169B" w:rsidRPr="00B5169B" w:rsidRDefault="00B5169B" w:rsidP="00B5169B"/>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41"/>
        <w:gridCol w:w="939"/>
        <w:gridCol w:w="2761"/>
        <w:gridCol w:w="2759"/>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0"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8F0272">
        <w:trPr>
          <w:trHeight w:val="2519"/>
        </w:trPr>
        <w:tc>
          <w:tcPr>
            <w:tcW w:w="661" w:type="dxa"/>
            <w:shd w:val="clear" w:color="auto" w:fill="auto"/>
            <w:hideMark/>
          </w:tcPr>
          <w:p w14:paraId="28BC4B8E" w14:textId="28411B2C" w:rsidR="001B7B1A" w:rsidRPr="00F16690" w:rsidRDefault="007D2856" w:rsidP="001B7B1A">
            <w:pPr>
              <w:jc w:val="right"/>
              <w:rPr>
                <w:rFonts w:asciiTheme="minorHAnsi" w:hAnsiTheme="minorHAnsi" w:cs="Arial"/>
                <w:sz w:val="20"/>
                <w:lang w:val="en-US"/>
              </w:rPr>
            </w:pPr>
            <w:r>
              <w:rPr>
                <w:rFonts w:asciiTheme="minorHAnsi" w:hAnsiTheme="minorHAnsi" w:cs="Arial"/>
              </w:rPr>
              <w:t>42</w:t>
            </w:r>
            <w:r w:rsidR="000576A5">
              <w:rPr>
                <w:rFonts w:asciiTheme="minorHAnsi" w:hAnsiTheme="minorHAnsi" w:cs="Arial"/>
              </w:rPr>
              <w:t>29</w:t>
            </w:r>
          </w:p>
        </w:tc>
        <w:tc>
          <w:tcPr>
            <w:tcW w:w="1577" w:type="dxa"/>
            <w:shd w:val="clear" w:color="auto" w:fill="auto"/>
            <w:hideMark/>
          </w:tcPr>
          <w:p w14:paraId="5AAB4B4B" w14:textId="023A75DF" w:rsidR="001B7B1A" w:rsidRPr="00F16690" w:rsidRDefault="007D2856" w:rsidP="001B7B1A">
            <w:pPr>
              <w:rPr>
                <w:rFonts w:asciiTheme="minorHAnsi" w:hAnsiTheme="minorHAnsi" w:cs="Arial"/>
                <w:sz w:val="20"/>
                <w:lang w:val="en-US"/>
              </w:rPr>
            </w:pPr>
            <w:r>
              <w:rPr>
                <w:rFonts w:asciiTheme="minorHAnsi" w:hAnsiTheme="minorHAnsi" w:cs="Arial"/>
              </w:rPr>
              <w:t>Mark Rison</w:t>
            </w:r>
          </w:p>
        </w:tc>
        <w:tc>
          <w:tcPr>
            <w:tcW w:w="939" w:type="dxa"/>
            <w:shd w:val="clear" w:color="auto" w:fill="auto"/>
            <w:hideMark/>
          </w:tcPr>
          <w:p w14:paraId="78746BBC" w14:textId="5242463C" w:rsidR="001B7B1A" w:rsidRPr="00F16690" w:rsidRDefault="007D2856" w:rsidP="001B7B1A">
            <w:pPr>
              <w:jc w:val="right"/>
              <w:rPr>
                <w:rFonts w:asciiTheme="minorHAnsi" w:hAnsiTheme="minorHAnsi" w:cs="Arial"/>
                <w:sz w:val="20"/>
                <w:lang w:val="en-US"/>
              </w:rPr>
            </w:pPr>
            <w:r>
              <w:rPr>
                <w:rFonts w:asciiTheme="minorHAnsi" w:hAnsiTheme="minorHAnsi" w:cs="Arial"/>
              </w:rPr>
              <w:t>2</w:t>
            </w:r>
            <w:r w:rsidR="00E863A1">
              <w:rPr>
                <w:rFonts w:asciiTheme="minorHAnsi" w:hAnsiTheme="minorHAnsi" w:cs="Arial"/>
              </w:rPr>
              <w:t>174.49</w:t>
            </w:r>
          </w:p>
        </w:tc>
        <w:tc>
          <w:tcPr>
            <w:tcW w:w="939" w:type="dxa"/>
            <w:shd w:val="clear" w:color="auto" w:fill="auto"/>
            <w:hideMark/>
          </w:tcPr>
          <w:p w14:paraId="2556164A" w14:textId="44270617" w:rsidR="001B7B1A" w:rsidRPr="00F16690" w:rsidRDefault="00E863A1" w:rsidP="001B7B1A">
            <w:pPr>
              <w:rPr>
                <w:rFonts w:asciiTheme="minorHAnsi" w:hAnsiTheme="minorHAnsi" w:cs="Arial"/>
                <w:sz w:val="20"/>
                <w:lang w:val="en-US"/>
              </w:rPr>
            </w:pPr>
            <w:r>
              <w:rPr>
                <w:rFonts w:asciiTheme="minorHAnsi" w:hAnsiTheme="minorHAnsi" w:cs="Arial"/>
              </w:rPr>
              <w:t>19.3.2</w:t>
            </w:r>
          </w:p>
        </w:tc>
        <w:tc>
          <w:tcPr>
            <w:tcW w:w="2763" w:type="dxa"/>
            <w:shd w:val="clear" w:color="auto" w:fill="auto"/>
            <w:hideMark/>
          </w:tcPr>
          <w:p w14:paraId="24AC2755" w14:textId="77777777" w:rsidR="009F5DB4" w:rsidRPr="009F5DB4" w:rsidRDefault="009F5DB4" w:rsidP="009F5DB4">
            <w:pPr>
              <w:rPr>
                <w:rFonts w:asciiTheme="minorHAnsi" w:hAnsiTheme="minorHAnsi" w:cs="Arial"/>
                <w:sz w:val="20"/>
                <w:lang w:val="en-US"/>
              </w:rPr>
            </w:pPr>
            <w:r w:rsidRPr="009F5DB4">
              <w:rPr>
                <w:rFonts w:asciiTheme="minorHAnsi" w:hAnsiTheme="minorHAnsi" w:cs="Arial"/>
                <w:sz w:val="20"/>
                <w:lang w:val="en-US"/>
              </w:rPr>
              <w:t>"A STA is not required to include all mandatory rates in its operational rate set, and a STA starting a BSS is</w:t>
            </w:r>
          </w:p>
          <w:p w14:paraId="579AC142" w14:textId="6E6A66BC" w:rsidR="000576A5" w:rsidRPr="00F16690" w:rsidRDefault="009F5DB4" w:rsidP="009F5DB4">
            <w:pPr>
              <w:rPr>
                <w:rFonts w:asciiTheme="minorHAnsi" w:hAnsiTheme="minorHAnsi" w:cs="Arial"/>
                <w:sz w:val="20"/>
                <w:lang w:val="en-US"/>
              </w:rPr>
            </w:pPr>
            <w:r w:rsidRPr="009F5DB4">
              <w:rPr>
                <w:rFonts w:asciiTheme="minorHAnsi" w:hAnsiTheme="minorHAnsi" w:cs="Arial"/>
                <w:sz w:val="20"/>
                <w:lang w:val="en-US"/>
              </w:rPr>
              <w:t xml:space="preserve">not required to include all mandatory rates in the basic rate set." -- there should be equivalent statements for </w:t>
            </w:r>
            <w:proofErr w:type="spellStart"/>
            <w:r w:rsidRPr="009F5DB4">
              <w:rPr>
                <w:rFonts w:asciiTheme="minorHAnsi" w:hAnsiTheme="minorHAnsi" w:cs="Arial"/>
                <w:sz w:val="20"/>
                <w:lang w:val="en-US"/>
              </w:rPr>
              <w:t>MCSes</w:t>
            </w:r>
            <w:proofErr w:type="spellEnd"/>
            <w:r>
              <w:rPr>
                <w:rFonts w:asciiTheme="minorHAnsi" w:hAnsiTheme="minorHAnsi" w:cs="Arial"/>
                <w:sz w:val="20"/>
                <w:lang w:val="en-US"/>
              </w:rPr>
              <w:t>”</w:t>
            </w:r>
          </w:p>
          <w:p w14:paraId="72A1EC9F" w14:textId="64BC3FD9" w:rsidR="001B7B1A" w:rsidRPr="00F16690" w:rsidRDefault="001B7B1A" w:rsidP="007D2856">
            <w:pPr>
              <w:rPr>
                <w:rFonts w:asciiTheme="minorHAnsi" w:hAnsiTheme="minorHAnsi" w:cs="Arial"/>
                <w:sz w:val="20"/>
                <w:lang w:val="en-US"/>
              </w:rPr>
            </w:pPr>
          </w:p>
        </w:tc>
        <w:tc>
          <w:tcPr>
            <w:tcW w:w="2761" w:type="dxa"/>
            <w:shd w:val="clear" w:color="auto" w:fill="auto"/>
            <w:hideMark/>
          </w:tcPr>
          <w:p w14:paraId="5BD95D00" w14:textId="77777777" w:rsidR="009F5DB4" w:rsidRPr="009F5DB4" w:rsidRDefault="009F5DB4" w:rsidP="009F5DB4">
            <w:pPr>
              <w:rPr>
                <w:rFonts w:asciiTheme="minorHAnsi" w:hAnsiTheme="minorHAnsi" w:cs="Arial"/>
                <w:sz w:val="20"/>
                <w:lang w:val="en-US"/>
              </w:rPr>
            </w:pPr>
            <w:r w:rsidRPr="009F5DB4">
              <w:rPr>
                <w:rFonts w:asciiTheme="minorHAnsi" w:hAnsiTheme="minorHAnsi" w:cs="Arial"/>
                <w:sz w:val="20"/>
                <w:lang w:val="en-US"/>
              </w:rPr>
              <w:t>Change the cited text to "A STA is not required to include all mandatory rates/</w:t>
            </w:r>
            <w:proofErr w:type="spellStart"/>
            <w:r w:rsidRPr="009F5DB4">
              <w:rPr>
                <w:rFonts w:asciiTheme="minorHAnsi" w:hAnsiTheme="minorHAnsi" w:cs="Arial"/>
                <w:sz w:val="20"/>
                <w:lang w:val="en-US"/>
              </w:rPr>
              <w:t>MCSes</w:t>
            </w:r>
            <w:proofErr w:type="spellEnd"/>
            <w:r w:rsidRPr="009F5DB4">
              <w:rPr>
                <w:rFonts w:asciiTheme="minorHAnsi" w:hAnsiTheme="minorHAnsi" w:cs="Arial"/>
                <w:sz w:val="20"/>
                <w:lang w:val="en-US"/>
              </w:rPr>
              <w:t xml:space="preserve"> in its operational rate/MCS set, and a STA starting a BSS is</w:t>
            </w:r>
          </w:p>
          <w:p w14:paraId="401EC224" w14:textId="3CD1A9BC" w:rsidR="000576A5" w:rsidRPr="00F16690" w:rsidRDefault="009F5DB4" w:rsidP="009F5DB4">
            <w:pPr>
              <w:rPr>
                <w:rFonts w:asciiTheme="minorHAnsi" w:hAnsiTheme="minorHAnsi" w:cs="Arial"/>
                <w:sz w:val="20"/>
                <w:lang w:val="en-US"/>
              </w:rPr>
            </w:pPr>
            <w:r w:rsidRPr="009F5DB4">
              <w:rPr>
                <w:rFonts w:asciiTheme="minorHAnsi" w:hAnsiTheme="minorHAnsi" w:cs="Arial"/>
                <w:sz w:val="20"/>
                <w:lang w:val="en-US"/>
              </w:rPr>
              <w:t>not required to include all mandatory rates/MCSs in the basic rate/MCS set."</w:t>
            </w:r>
          </w:p>
          <w:p w14:paraId="48FF8480" w14:textId="5CA3CC92" w:rsidR="001B7B1A" w:rsidRPr="00F16690" w:rsidRDefault="001B7B1A" w:rsidP="006C569F">
            <w:pPr>
              <w:rPr>
                <w:rFonts w:asciiTheme="minorHAnsi" w:hAnsiTheme="minorHAnsi" w:cs="Arial"/>
                <w:sz w:val="20"/>
                <w:lang w:val="en-US"/>
              </w:rPr>
            </w:pPr>
          </w:p>
        </w:tc>
      </w:tr>
      <w:bookmarkEnd w:id="0"/>
    </w:tbl>
    <w:p w14:paraId="27FF6747" w14:textId="77777777" w:rsidR="009E7D92" w:rsidRDefault="009E7D92"/>
    <w:p w14:paraId="422573C7" w14:textId="67E6A14D" w:rsidR="003326B7" w:rsidRPr="00604704" w:rsidRDefault="003326B7" w:rsidP="00604704">
      <w:pPr>
        <w:pStyle w:val="Heading2"/>
        <w:rPr>
          <w:rFonts w:asciiTheme="minorHAnsi" w:hAnsiTheme="minorHAnsi" w:cstheme="minorHAnsi"/>
        </w:rPr>
      </w:pPr>
      <w:bookmarkStart w:id="1" w:name="_Hlk515524783"/>
      <w:bookmarkStart w:id="2" w:name="_Hlk515458897"/>
      <w:r w:rsidRPr="00604704">
        <w:rPr>
          <w:rFonts w:asciiTheme="minorHAnsi" w:hAnsiTheme="minorHAnsi" w:cstheme="minorHAnsi"/>
        </w:rPr>
        <w:t xml:space="preserve">Discussion for </w:t>
      </w:r>
      <w:bookmarkEnd w:id="1"/>
      <w:r w:rsidR="007D2856" w:rsidRPr="00604704">
        <w:rPr>
          <w:rFonts w:asciiTheme="minorHAnsi" w:hAnsiTheme="minorHAnsi" w:cstheme="minorHAnsi"/>
        </w:rPr>
        <w:t>42</w:t>
      </w:r>
      <w:r w:rsidR="00604704" w:rsidRPr="00604704">
        <w:rPr>
          <w:rFonts w:asciiTheme="minorHAnsi" w:hAnsiTheme="minorHAnsi" w:cstheme="minorHAnsi"/>
        </w:rPr>
        <w:t>29</w:t>
      </w:r>
    </w:p>
    <w:p w14:paraId="77DF9267" w14:textId="570063F7" w:rsidR="00D87DAE" w:rsidRDefault="00D87DAE" w:rsidP="00D87DAE"/>
    <w:p w14:paraId="3D64271C" w14:textId="77777777" w:rsidR="00521ECD" w:rsidRDefault="00521ECD" w:rsidP="00604704">
      <w:pPr>
        <w:rPr>
          <w:rFonts w:asciiTheme="minorHAnsi" w:hAnsiTheme="minorHAnsi"/>
        </w:rPr>
      </w:pPr>
      <w:r>
        <w:rPr>
          <w:rFonts w:asciiTheme="minorHAnsi" w:hAnsiTheme="minorHAnsi"/>
        </w:rPr>
        <w:t>The cited text appears as a note at the end of the following text (2174.42):</w:t>
      </w:r>
    </w:p>
    <w:p w14:paraId="33075BB2" w14:textId="77777777" w:rsidR="00521ECD" w:rsidRDefault="00521ECD" w:rsidP="00604704">
      <w:pPr>
        <w:rPr>
          <w:rFonts w:asciiTheme="minorHAnsi" w:hAnsiTheme="minorHAnsi"/>
        </w:rPr>
      </w:pPr>
    </w:p>
    <w:p w14:paraId="2835B643" w14:textId="77777777" w:rsidR="00521ECD" w:rsidRDefault="00521ECD" w:rsidP="00604704">
      <w:pPr>
        <w:rPr>
          <w:rFonts w:asciiTheme="minorHAnsi" w:hAnsiTheme="minorHAnsi"/>
        </w:rPr>
      </w:pPr>
      <w:r>
        <w:rPr>
          <w:rFonts w:asciiTheme="minorHAnsi" w:hAnsiTheme="minorHAnsi"/>
        </w:rPr>
        <w:t>“</w:t>
      </w:r>
      <w:r w:rsidRPr="00521ECD">
        <w:rPr>
          <w:rFonts w:asciiTheme="minorHAnsi" w:hAnsiTheme="minorHAnsi"/>
        </w:rPr>
        <w:t xml:space="preserve">A STA shall include the rates from its </w:t>
      </w:r>
      <w:proofErr w:type="spellStart"/>
      <w:r w:rsidRPr="00521ECD">
        <w:rPr>
          <w:rFonts w:asciiTheme="minorHAnsi" w:hAnsiTheme="minorHAnsi"/>
        </w:rPr>
        <w:t>OperationalRateSet</w:t>
      </w:r>
      <w:proofErr w:type="spellEnd"/>
      <w:r w:rsidRPr="00521ECD">
        <w:rPr>
          <w:rFonts w:asciiTheme="minorHAnsi" w:hAnsiTheme="minorHAnsi"/>
        </w:rPr>
        <w:t xml:space="preserve"> parameter and the rates from the </w:t>
      </w:r>
      <w:proofErr w:type="spellStart"/>
      <w:r w:rsidRPr="00521ECD">
        <w:rPr>
          <w:rFonts w:asciiTheme="minorHAnsi" w:hAnsiTheme="minorHAnsi"/>
        </w:rPr>
        <w:t>BSSBasicRateSet</w:t>
      </w:r>
      <w:proofErr w:type="spellEnd"/>
      <w:r w:rsidRPr="00521ECD">
        <w:rPr>
          <w:rFonts w:asciiTheme="minorHAnsi" w:hAnsiTheme="minorHAnsi"/>
        </w:rPr>
        <w:t xml:space="preserve"> parameter and the BSS membership selectors from the </w:t>
      </w:r>
      <w:proofErr w:type="spellStart"/>
      <w:r w:rsidRPr="00521ECD">
        <w:rPr>
          <w:rFonts w:asciiTheme="minorHAnsi" w:hAnsiTheme="minorHAnsi"/>
        </w:rPr>
        <w:t>BSSMembershipSelectorSet</w:t>
      </w:r>
      <w:proofErr w:type="spellEnd"/>
      <w:r w:rsidRPr="00521ECD">
        <w:rPr>
          <w:rFonts w:asciiTheme="minorHAnsi" w:hAnsiTheme="minorHAnsi"/>
        </w:rPr>
        <w:t xml:space="preserve"> parameter in frames it transmits containing Supported Rates and BSS Membership Selectors elements and Extended Supported Rates and BSS Membership Selectors elements according to the rules described in this subclause, except that a </w:t>
      </w:r>
      <w:proofErr w:type="spellStart"/>
      <w:r w:rsidRPr="00521ECD">
        <w:rPr>
          <w:rFonts w:asciiTheme="minorHAnsi" w:hAnsiTheme="minorHAnsi"/>
        </w:rPr>
        <w:t>nonAP</w:t>
      </w:r>
      <w:proofErr w:type="spellEnd"/>
      <w:r w:rsidRPr="00521ECD">
        <w:rPr>
          <w:rFonts w:asciiTheme="minorHAnsi" w:hAnsiTheme="minorHAnsi"/>
        </w:rPr>
        <w:t xml:space="preserve"> STA may omit the HT and VHT BSS membership selectors, as the (V)HT capabilities are indicated through the presence of a (V)HT Capabilities element.</w:t>
      </w:r>
    </w:p>
    <w:p w14:paraId="5B987273" w14:textId="77777777" w:rsidR="00521ECD" w:rsidRDefault="00521ECD" w:rsidP="00604704">
      <w:pPr>
        <w:rPr>
          <w:rFonts w:asciiTheme="minorHAnsi" w:hAnsiTheme="minorHAnsi"/>
        </w:rPr>
      </w:pPr>
    </w:p>
    <w:p w14:paraId="627D17E6" w14:textId="1F1DAA18" w:rsidR="00521ECD" w:rsidRDefault="00521ECD" w:rsidP="00604704">
      <w:pPr>
        <w:rPr>
          <w:rFonts w:asciiTheme="minorHAnsi" w:hAnsiTheme="minorHAnsi"/>
        </w:rPr>
      </w:pPr>
      <w:bookmarkStart w:id="3" w:name="_Hlk39046332"/>
      <w:r w:rsidRPr="00521ECD">
        <w:rPr>
          <w:rFonts w:asciiTheme="minorHAnsi" w:hAnsiTheme="minorHAnsi"/>
        </w:rPr>
        <w:t>NOTE 1—A STA is not required to include all mandatory rates in its operational rate set, and a STA starting a BSS is not required to include all mandatory rates in the basic rate set.</w:t>
      </w:r>
      <w:r>
        <w:rPr>
          <w:rFonts w:asciiTheme="minorHAnsi" w:hAnsiTheme="minorHAnsi"/>
        </w:rPr>
        <w:t>”</w:t>
      </w:r>
      <w:bookmarkEnd w:id="3"/>
    </w:p>
    <w:p w14:paraId="50131490" w14:textId="0708BAD9" w:rsidR="00521ECD" w:rsidRDefault="00521ECD" w:rsidP="00604704">
      <w:pPr>
        <w:rPr>
          <w:rFonts w:asciiTheme="minorHAnsi" w:hAnsiTheme="minorHAnsi"/>
        </w:rPr>
      </w:pPr>
    </w:p>
    <w:p w14:paraId="5957B126" w14:textId="41FC1569" w:rsidR="00521ECD" w:rsidRDefault="00521ECD" w:rsidP="00604704">
      <w:pPr>
        <w:rPr>
          <w:rFonts w:asciiTheme="minorHAnsi" w:hAnsiTheme="minorHAnsi"/>
        </w:rPr>
      </w:pPr>
      <w:r>
        <w:rPr>
          <w:rFonts w:asciiTheme="minorHAnsi" w:hAnsiTheme="minorHAnsi"/>
        </w:rPr>
        <w:t>An “operational rate set” is a defined term</w:t>
      </w:r>
      <w:r w:rsidR="00C138AE">
        <w:rPr>
          <w:rFonts w:asciiTheme="minorHAnsi" w:hAnsiTheme="minorHAnsi"/>
        </w:rPr>
        <w:t xml:space="preserve"> (192.8)</w:t>
      </w:r>
      <w:r>
        <w:rPr>
          <w:rFonts w:asciiTheme="minorHAnsi" w:hAnsiTheme="minorHAnsi"/>
        </w:rPr>
        <w:t>:</w:t>
      </w:r>
    </w:p>
    <w:p w14:paraId="27975AC0" w14:textId="77777777" w:rsidR="00521ECD" w:rsidRDefault="00521ECD" w:rsidP="00604704">
      <w:pPr>
        <w:rPr>
          <w:rFonts w:asciiTheme="minorHAnsi" w:hAnsiTheme="minorHAnsi"/>
        </w:rPr>
      </w:pPr>
    </w:p>
    <w:p w14:paraId="74F4C4D6" w14:textId="6E014F52" w:rsidR="00521ECD" w:rsidRDefault="00521ECD" w:rsidP="00604704">
      <w:pPr>
        <w:rPr>
          <w:rFonts w:asciiTheme="minorHAnsi" w:hAnsiTheme="minorHAnsi"/>
        </w:rPr>
      </w:pPr>
      <w:r>
        <w:rPr>
          <w:rFonts w:asciiTheme="minorHAnsi" w:hAnsiTheme="minorHAnsi"/>
        </w:rPr>
        <w:t>“</w:t>
      </w:r>
      <w:r w:rsidRPr="00521ECD">
        <w:rPr>
          <w:rFonts w:asciiTheme="minorHAnsi" w:hAnsiTheme="minorHAnsi"/>
        </w:rPr>
        <w:t xml:space="preserve">operational rate set: The set of data rates that a station (STA) is capable of receiving. The operational rate set is defined locally by the </w:t>
      </w:r>
      <w:proofErr w:type="spellStart"/>
      <w:r w:rsidRPr="00521ECD">
        <w:rPr>
          <w:rFonts w:asciiTheme="minorHAnsi" w:hAnsiTheme="minorHAnsi"/>
        </w:rPr>
        <w:t>OperationalRateSet</w:t>
      </w:r>
      <w:proofErr w:type="spellEnd"/>
      <w:r w:rsidRPr="00521ECD">
        <w:rPr>
          <w:rFonts w:asciiTheme="minorHAnsi" w:hAnsiTheme="minorHAnsi"/>
        </w:rPr>
        <w:t xml:space="preserve"> parameter of the MLME-</w:t>
      </w:r>
      <w:proofErr w:type="spellStart"/>
      <w:r w:rsidRPr="00521ECD">
        <w:rPr>
          <w:rFonts w:asciiTheme="minorHAnsi" w:hAnsiTheme="minorHAnsi"/>
        </w:rPr>
        <w:t>START.request</w:t>
      </w:r>
      <w:proofErr w:type="spellEnd"/>
      <w:r w:rsidRPr="00521ECD">
        <w:rPr>
          <w:rFonts w:asciiTheme="minorHAnsi" w:hAnsiTheme="minorHAnsi"/>
        </w:rPr>
        <w:t xml:space="preserve"> or </w:t>
      </w:r>
      <w:proofErr w:type="spellStart"/>
      <w:r w:rsidRPr="00521ECD">
        <w:rPr>
          <w:rFonts w:asciiTheme="minorHAnsi" w:hAnsiTheme="minorHAnsi"/>
        </w:rPr>
        <w:t>MLMEJOIN.request</w:t>
      </w:r>
      <w:proofErr w:type="spellEnd"/>
      <w:r w:rsidRPr="00521ECD">
        <w:rPr>
          <w:rFonts w:asciiTheme="minorHAnsi" w:hAnsiTheme="minorHAnsi"/>
        </w:rPr>
        <w:t xml:space="preserve"> primitive. The operational rate set of a peer is defined by the data rates (i.e., excluding the MSB of each octet of the (Extended) Supported Rates field) from the peer’s Supported Rates and BSS Membership Selectors element and, if present, the Extended Supported Rates and BSS Membership Selectors element</w:t>
      </w:r>
      <w:r>
        <w:rPr>
          <w:rFonts w:asciiTheme="minorHAnsi" w:hAnsiTheme="minorHAnsi"/>
        </w:rPr>
        <w:t>.”</w:t>
      </w:r>
    </w:p>
    <w:p w14:paraId="5CAEE062" w14:textId="77777777" w:rsidR="00521ECD" w:rsidRDefault="00521ECD" w:rsidP="00604704">
      <w:pPr>
        <w:rPr>
          <w:rFonts w:asciiTheme="minorHAnsi" w:hAnsiTheme="minorHAnsi"/>
        </w:rPr>
      </w:pPr>
    </w:p>
    <w:p w14:paraId="71C1759B" w14:textId="77777777" w:rsidR="00CC4AB1" w:rsidRDefault="00CC4AB1" w:rsidP="00604704">
      <w:pPr>
        <w:rPr>
          <w:rFonts w:asciiTheme="minorHAnsi" w:hAnsiTheme="minorHAnsi"/>
        </w:rPr>
      </w:pPr>
      <w:r>
        <w:rPr>
          <w:rFonts w:asciiTheme="minorHAnsi" w:hAnsiTheme="minorHAnsi"/>
        </w:rPr>
        <w:t>It is convenient to divide the discussion into two parts, one dealing with Class 2 ERP STAs and Class 2 HT STAs, and the other dealing with everything else.</w:t>
      </w:r>
    </w:p>
    <w:p w14:paraId="46ACE807" w14:textId="77777777" w:rsidR="00CC4AB1" w:rsidRDefault="00CC4AB1" w:rsidP="00604704">
      <w:pPr>
        <w:rPr>
          <w:rFonts w:asciiTheme="minorHAnsi" w:hAnsiTheme="minorHAnsi"/>
        </w:rPr>
      </w:pPr>
    </w:p>
    <w:p w14:paraId="6CE5D019" w14:textId="46C92613" w:rsidR="001E742F" w:rsidRDefault="00CC4AB1" w:rsidP="00604704">
      <w:pPr>
        <w:rPr>
          <w:rFonts w:asciiTheme="minorHAnsi" w:hAnsiTheme="minorHAnsi"/>
        </w:rPr>
      </w:pPr>
      <w:r>
        <w:rPr>
          <w:rFonts w:asciiTheme="minorHAnsi" w:hAnsiTheme="minorHAnsi"/>
        </w:rPr>
        <w:t xml:space="preserve">For Class 2 ERP STAs and Class 2 HT STAs (the definitions for which were added after the note above), the draft contains a detailed description of the data rates that a station </w:t>
      </w:r>
      <w:r w:rsidR="00707FE9">
        <w:rPr>
          <w:rFonts w:asciiTheme="minorHAnsi" w:hAnsiTheme="minorHAnsi"/>
        </w:rPr>
        <w:t>“supports”</w:t>
      </w:r>
      <w:r>
        <w:rPr>
          <w:rFonts w:asciiTheme="minorHAnsi" w:hAnsiTheme="minorHAnsi"/>
        </w:rPr>
        <w:t>: see 2969.31 and 2982.51 respectively.</w:t>
      </w:r>
      <w:r w:rsidR="00707FE9">
        <w:rPr>
          <w:rFonts w:asciiTheme="minorHAnsi" w:hAnsiTheme="minorHAnsi"/>
        </w:rPr>
        <w:t xml:space="preserve"> The distinction between a data rate that a STA “supports” and one that it “is capable of receiving” is a fine one in any case. For Class 2 ERP STAs and Class 2 HT STAs, the set of data rates that the STA is required to support has been pared to a bare minimum, and for this case it does not seem to be worth maintaining the distinction. Therefore, it seems worth modifying the note to exclude these cases.</w:t>
      </w:r>
    </w:p>
    <w:p w14:paraId="2DC67B33" w14:textId="32711444" w:rsidR="00842C7C" w:rsidRDefault="00842C7C" w:rsidP="00604704">
      <w:pPr>
        <w:rPr>
          <w:rFonts w:asciiTheme="minorHAnsi" w:hAnsiTheme="minorHAnsi"/>
        </w:rPr>
      </w:pPr>
    </w:p>
    <w:p w14:paraId="37234C25" w14:textId="517BC878" w:rsidR="00842C7C" w:rsidRDefault="00842C7C" w:rsidP="00604704">
      <w:pPr>
        <w:rPr>
          <w:rFonts w:asciiTheme="minorHAnsi" w:hAnsiTheme="minorHAnsi"/>
        </w:rPr>
      </w:pPr>
      <w:r>
        <w:rPr>
          <w:rFonts w:asciiTheme="minorHAnsi" w:hAnsiTheme="minorHAnsi"/>
        </w:rPr>
        <w:t xml:space="preserve">For every other case, the history is tangled. </w:t>
      </w:r>
      <w:r w:rsidR="00B24402">
        <w:rPr>
          <w:rFonts w:asciiTheme="minorHAnsi" w:hAnsiTheme="minorHAnsi"/>
        </w:rPr>
        <w:t>“Operational rate set” is defined, as noted above, but “Operational MCS Set” is not, under any obvious variant. “</w:t>
      </w:r>
      <w:proofErr w:type="spellStart"/>
      <w:r w:rsidR="00B24402">
        <w:rPr>
          <w:rFonts w:asciiTheme="minorHAnsi" w:hAnsiTheme="minorHAnsi"/>
        </w:rPr>
        <w:t>HTOperationalMCSSet</w:t>
      </w:r>
      <w:proofErr w:type="spellEnd"/>
      <w:r w:rsidR="00B24402">
        <w:rPr>
          <w:rFonts w:asciiTheme="minorHAnsi" w:hAnsiTheme="minorHAnsi"/>
        </w:rPr>
        <w:t>” appears in the draft (3897.27), but it is deprecated.</w:t>
      </w:r>
      <w:r w:rsidR="00C93376">
        <w:rPr>
          <w:rFonts w:asciiTheme="minorHAnsi" w:hAnsiTheme="minorHAnsi"/>
        </w:rPr>
        <w:t xml:space="preserve"> If the changes suggested by the commenter are made, they would require </w:t>
      </w:r>
      <w:r w:rsidR="007B283A">
        <w:rPr>
          <w:rFonts w:asciiTheme="minorHAnsi" w:hAnsiTheme="minorHAnsi"/>
        </w:rPr>
        <w:lastRenderedPageBreak/>
        <w:t>(</w:t>
      </w:r>
      <w:r w:rsidR="00C93376">
        <w:rPr>
          <w:rFonts w:asciiTheme="minorHAnsi" w:hAnsiTheme="minorHAnsi"/>
        </w:rPr>
        <w:t>re</w:t>
      </w:r>
      <w:r w:rsidR="007B283A">
        <w:rPr>
          <w:rFonts w:asciiTheme="minorHAnsi" w:hAnsiTheme="minorHAnsi"/>
        </w:rPr>
        <w:t xml:space="preserve">-?) </w:t>
      </w:r>
      <w:r w:rsidR="00C93376">
        <w:rPr>
          <w:rFonts w:asciiTheme="minorHAnsi" w:hAnsiTheme="minorHAnsi"/>
        </w:rPr>
        <w:t xml:space="preserve">introduction of definitions for </w:t>
      </w:r>
      <w:r w:rsidR="007B283A">
        <w:rPr>
          <w:rFonts w:asciiTheme="minorHAnsi" w:hAnsiTheme="minorHAnsi"/>
        </w:rPr>
        <w:t xml:space="preserve">HT operational MCS set and VHT </w:t>
      </w:r>
      <w:proofErr w:type="spellStart"/>
      <w:r w:rsidR="007B283A">
        <w:rPr>
          <w:rFonts w:asciiTheme="minorHAnsi" w:hAnsiTheme="minorHAnsi"/>
        </w:rPr>
        <w:t>operationsl</w:t>
      </w:r>
      <w:proofErr w:type="spellEnd"/>
      <w:r w:rsidR="007B283A">
        <w:rPr>
          <w:rFonts w:asciiTheme="minorHAnsi" w:hAnsiTheme="minorHAnsi"/>
        </w:rPr>
        <w:t xml:space="preserve"> MCS set and reversion of </w:t>
      </w:r>
      <w:proofErr w:type="spellStart"/>
      <w:r w:rsidR="007B283A">
        <w:rPr>
          <w:rFonts w:asciiTheme="minorHAnsi" w:hAnsiTheme="minorHAnsi"/>
        </w:rPr>
        <w:t>HTOperationalMCSSet</w:t>
      </w:r>
      <w:proofErr w:type="spellEnd"/>
      <w:r w:rsidR="007B283A">
        <w:rPr>
          <w:rFonts w:asciiTheme="minorHAnsi" w:hAnsiTheme="minorHAnsi"/>
        </w:rPr>
        <w:t xml:space="preserve"> to non-deprecated status.</w:t>
      </w:r>
    </w:p>
    <w:p w14:paraId="14C68E25" w14:textId="2047E029" w:rsidR="007B283A" w:rsidRDefault="007B283A" w:rsidP="00604704">
      <w:pPr>
        <w:rPr>
          <w:rFonts w:asciiTheme="minorHAnsi" w:hAnsiTheme="minorHAnsi"/>
        </w:rPr>
      </w:pPr>
    </w:p>
    <w:p w14:paraId="2F78CB11" w14:textId="031C404B" w:rsidR="00C93376" w:rsidRDefault="007B283A" w:rsidP="00604704">
      <w:pPr>
        <w:rPr>
          <w:rFonts w:asciiTheme="minorHAnsi" w:hAnsiTheme="minorHAnsi"/>
        </w:rPr>
      </w:pPr>
      <w:r>
        <w:rPr>
          <w:rFonts w:asciiTheme="minorHAnsi" w:hAnsiTheme="minorHAnsi"/>
        </w:rPr>
        <w:t>Beyond this, the cited text is a note. Even as to operational rates, there does not seem to be an explicit normative statement anywhere in the draft that corresponds to the note as it stands. It may well be permitted, or implied to be permitted, for a STA to omit mandatory MCSs from the set of MCSs it “is capable of receiving”, but before providing an informational note that that is the case, it would be good to be able to point to applicable normative text and to have the required extra definitions available. The comment’s proposed resolution provides none of this. Therefore, it seems that no further change should be made in response to this comment.</w:t>
      </w:r>
    </w:p>
    <w:p w14:paraId="2150060E" w14:textId="160507E7" w:rsidR="002A08AD" w:rsidRDefault="002A08AD" w:rsidP="00A51C39">
      <w:pPr>
        <w:rPr>
          <w:rFonts w:asciiTheme="minorHAnsi" w:hAnsiTheme="minorHAnsi"/>
        </w:rPr>
      </w:pPr>
    </w:p>
    <w:p w14:paraId="773DA0FF" w14:textId="5706C8E1"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67107E">
        <w:rPr>
          <w:rFonts w:asciiTheme="minorHAnsi" w:hAnsiTheme="minorHAnsi"/>
        </w:rPr>
        <w:t>42</w:t>
      </w:r>
      <w:r w:rsidR="00604704">
        <w:rPr>
          <w:rFonts w:asciiTheme="minorHAnsi" w:hAnsiTheme="minorHAnsi"/>
        </w:rPr>
        <w:t>29</w:t>
      </w:r>
    </w:p>
    <w:p w14:paraId="5A0CE0F7" w14:textId="77777777" w:rsidR="002A08AD" w:rsidRDefault="002A08AD" w:rsidP="00A51C39">
      <w:pPr>
        <w:rPr>
          <w:rFonts w:asciiTheme="minorHAnsi" w:hAnsiTheme="minorHAnsi"/>
        </w:rPr>
      </w:pPr>
    </w:p>
    <w:p w14:paraId="6C8A1C5B" w14:textId="16B86565" w:rsidR="00A83DB4" w:rsidRDefault="002A08AD" w:rsidP="00A83DB4">
      <w:pPr>
        <w:rPr>
          <w:rFonts w:asciiTheme="minorHAnsi" w:hAnsiTheme="minorHAnsi"/>
        </w:rPr>
      </w:pPr>
      <w:r>
        <w:rPr>
          <w:rFonts w:asciiTheme="minorHAnsi" w:hAnsiTheme="minorHAnsi"/>
        </w:rPr>
        <w:t>RE</w:t>
      </w:r>
      <w:r w:rsidR="00D4249A">
        <w:rPr>
          <w:rFonts w:asciiTheme="minorHAnsi" w:hAnsiTheme="minorHAnsi"/>
        </w:rPr>
        <w:t>VIS</w:t>
      </w:r>
      <w:r>
        <w:rPr>
          <w:rFonts w:asciiTheme="minorHAnsi" w:hAnsiTheme="minorHAnsi"/>
        </w:rPr>
        <w:t>ED.</w:t>
      </w:r>
      <w:r w:rsidR="002A359C">
        <w:rPr>
          <w:rFonts w:asciiTheme="minorHAnsi" w:hAnsiTheme="minorHAnsi"/>
        </w:rPr>
        <w:t xml:space="preserve"> </w:t>
      </w:r>
    </w:p>
    <w:p w14:paraId="0E46F5FF" w14:textId="77777777" w:rsidR="00A83DB4" w:rsidRPr="00A83DB4" w:rsidRDefault="00A83DB4" w:rsidP="00A83DB4">
      <w:pPr>
        <w:rPr>
          <w:rFonts w:asciiTheme="minorHAnsi" w:hAnsiTheme="minorHAnsi"/>
        </w:rPr>
      </w:pPr>
    </w:p>
    <w:p w14:paraId="5293F0A2" w14:textId="6F73AB1B" w:rsidR="0042014C" w:rsidRDefault="002A359C" w:rsidP="00A51C39">
      <w:pPr>
        <w:rPr>
          <w:rFonts w:asciiTheme="minorHAnsi" w:hAnsiTheme="minorHAnsi"/>
        </w:rPr>
      </w:pPr>
      <w:r>
        <w:rPr>
          <w:rFonts w:asciiTheme="minorHAnsi" w:hAnsiTheme="minorHAnsi"/>
        </w:rPr>
        <w:t>Change “</w:t>
      </w:r>
      <w:r w:rsidRPr="002A359C">
        <w:rPr>
          <w:rFonts w:asciiTheme="minorHAnsi" w:hAnsiTheme="minorHAnsi"/>
        </w:rPr>
        <w:t>NOTE 1—A STA is not required to include all mandatory rates in its operational rate set, and a STA starting a BSS is not required to include all mandatory rates in the basic rate set.”</w:t>
      </w:r>
      <w:r>
        <w:rPr>
          <w:rFonts w:asciiTheme="minorHAnsi" w:hAnsiTheme="minorHAnsi"/>
        </w:rPr>
        <w:t xml:space="preserve"> to “</w:t>
      </w:r>
      <w:r w:rsidRPr="002A359C">
        <w:rPr>
          <w:rFonts w:asciiTheme="minorHAnsi" w:hAnsiTheme="minorHAnsi"/>
        </w:rPr>
        <w:t xml:space="preserve">NOTE 1—A STA </w:t>
      </w:r>
      <w:r>
        <w:rPr>
          <w:rFonts w:asciiTheme="minorHAnsi" w:hAnsiTheme="minorHAnsi"/>
        </w:rPr>
        <w:t xml:space="preserve">that is not a Class 2 ERP STA and is not a Class 2 HT STA </w:t>
      </w:r>
      <w:r w:rsidRPr="002A359C">
        <w:rPr>
          <w:rFonts w:asciiTheme="minorHAnsi" w:hAnsiTheme="minorHAnsi"/>
        </w:rPr>
        <w:t>is not required to include all mandatory rates in its operational rate set, and a STA starting a BSS is not required to include all mandatory rates in the basic rate set.”</w:t>
      </w:r>
    </w:p>
    <w:p w14:paraId="437819DA" w14:textId="515B59CB" w:rsidR="002A359C" w:rsidRDefault="002A359C" w:rsidP="00A51C39">
      <w:pPr>
        <w:rPr>
          <w:rFonts w:asciiTheme="minorHAnsi" w:hAnsiTheme="minorHAnsi"/>
        </w:rPr>
      </w:pPr>
    </w:p>
    <w:p w14:paraId="3890A3BA" w14:textId="17512141" w:rsidR="002A359C" w:rsidRPr="00A51C39" w:rsidRDefault="002A359C" w:rsidP="00A51C39">
      <w:pPr>
        <w:rPr>
          <w:rFonts w:asciiTheme="minorHAnsi" w:hAnsiTheme="minorHAnsi"/>
        </w:rPr>
      </w:pPr>
      <w:r>
        <w:rPr>
          <w:rFonts w:asciiTheme="minorHAnsi" w:hAnsiTheme="minorHAnsi"/>
        </w:rPr>
        <w:t>(I.e., add “</w:t>
      </w:r>
      <w:r w:rsidRPr="002A359C">
        <w:rPr>
          <w:rFonts w:asciiTheme="minorHAnsi" w:hAnsiTheme="minorHAnsi"/>
        </w:rPr>
        <w:t>that is not a Class 2 ERP STA and is not a Class 2 HT STA</w:t>
      </w:r>
      <w:r>
        <w:rPr>
          <w:rFonts w:asciiTheme="minorHAnsi" w:hAnsiTheme="minorHAnsi"/>
        </w:rPr>
        <w:t>” after the first “A STA” in the note.)</w:t>
      </w:r>
    </w:p>
    <w:bookmarkEnd w:id="2"/>
    <w:p w14:paraId="26FE6C77" w14:textId="4F2E8535" w:rsidR="00A846F1" w:rsidRPr="006D64C2" w:rsidRDefault="00A846F1" w:rsidP="0019128D"/>
    <w:p w14:paraId="625EC1DA" w14:textId="77777777" w:rsidR="00E92F70" w:rsidRDefault="00E92F70" w:rsidP="0019128D">
      <w:pPr>
        <w:rPr>
          <w:rFonts w:asciiTheme="minorHAnsi" w:hAnsiTheme="minorHAnsi"/>
        </w:rPr>
      </w:pPr>
    </w:p>
    <w:p w14:paraId="3BA1326C" w14:textId="2B652590" w:rsidR="00B33CFF" w:rsidRDefault="00B33CFF" w:rsidP="0019128D">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rsidSect="00976EEE">
      <w:headerReference w:type="default" r:id="rId8"/>
      <w:footerReference w:type="default" r:id="rId9"/>
      <w:pgSz w:w="12240" w:h="15840" w:code="1"/>
      <w:pgMar w:top="720" w:right="108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A906F" w14:textId="77777777" w:rsidR="005F3D20" w:rsidRDefault="005F3D20">
      <w:r>
        <w:separator/>
      </w:r>
    </w:p>
  </w:endnote>
  <w:endnote w:type="continuationSeparator" w:id="0">
    <w:p w14:paraId="2CFBC6F4" w14:textId="77777777" w:rsidR="005F3D20" w:rsidRDefault="005F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6353" w14:textId="72F69BD4" w:rsidR="006F0961" w:rsidRDefault="00A700E4">
    <w:pPr>
      <w:pStyle w:val="Footer"/>
      <w:tabs>
        <w:tab w:val="clear" w:pos="6480"/>
        <w:tab w:val="center" w:pos="4680"/>
        <w:tab w:val="right" w:pos="9360"/>
      </w:tabs>
    </w:pPr>
    <w:fldSimple w:instr=" SUBJECT  \* MERGEFORMAT ">
      <w:r w:rsidR="006F0961">
        <w:t>Submission</w:t>
      </w:r>
    </w:fldSimple>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2A5D" w14:textId="77777777" w:rsidR="005F3D20" w:rsidRDefault="005F3D20">
      <w:r>
        <w:separator/>
      </w:r>
    </w:p>
  </w:footnote>
  <w:footnote w:type="continuationSeparator" w:id="0">
    <w:p w14:paraId="4649F860" w14:textId="77777777" w:rsidR="005F3D20" w:rsidRDefault="005F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391" w14:textId="2D266142" w:rsidR="006F0961" w:rsidRDefault="0071104E">
    <w:pPr>
      <w:pStyle w:val="Header"/>
      <w:tabs>
        <w:tab w:val="clear" w:pos="6480"/>
        <w:tab w:val="center" w:pos="4680"/>
        <w:tab w:val="right" w:pos="9360"/>
      </w:tabs>
    </w:pPr>
    <w:r>
      <w:t>April 2020</w:t>
    </w:r>
    <w:r w:rsidR="006F0961">
      <w:tab/>
    </w:r>
    <w:r w:rsidR="006F0961">
      <w:tab/>
    </w:r>
    <w:fldSimple w:instr=" TITLE  \* MERGEFORMAT ">
      <w:r w:rsidR="006F0961">
        <w:t>doc.: IEEE 802.11-</w:t>
      </w:r>
      <w:r>
        <w:t>20</w:t>
      </w:r>
      <w:r w:rsidR="006F0961">
        <w:t>/</w:t>
      </w:r>
      <w:r>
        <w:t>06</w:t>
      </w:r>
      <w:r w:rsidR="008F77FD">
        <w:t>83</w:t>
      </w:r>
      <w:r w:rsidR="006F0961">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419C7"/>
    <w:rsid w:val="00043729"/>
    <w:rsid w:val="000449D1"/>
    <w:rsid w:val="00046E18"/>
    <w:rsid w:val="000533AF"/>
    <w:rsid w:val="000576A5"/>
    <w:rsid w:val="00067209"/>
    <w:rsid w:val="00070172"/>
    <w:rsid w:val="00070FE2"/>
    <w:rsid w:val="00075A31"/>
    <w:rsid w:val="0007616D"/>
    <w:rsid w:val="00084377"/>
    <w:rsid w:val="000A1E26"/>
    <w:rsid w:val="000A3563"/>
    <w:rsid w:val="000B0ABF"/>
    <w:rsid w:val="000B7EC1"/>
    <w:rsid w:val="000D0EF8"/>
    <w:rsid w:val="000D1EB3"/>
    <w:rsid w:val="000D380C"/>
    <w:rsid w:val="000D67C1"/>
    <w:rsid w:val="000E40C9"/>
    <w:rsid w:val="000E6BAE"/>
    <w:rsid w:val="000F1916"/>
    <w:rsid w:val="000F50AB"/>
    <w:rsid w:val="000F5E8C"/>
    <w:rsid w:val="0010609A"/>
    <w:rsid w:val="00112EB9"/>
    <w:rsid w:val="00117967"/>
    <w:rsid w:val="00121667"/>
    <w:rsid w:val="00124914"/>
    <w:rsid w:val="0014246E"/>
    <w:rsid w:val="0015284F"/>
    <w:rsid w:val="001537A6"/>
    <w:rsid w:val="00154D72"/>
    <w:rsid w:val="00163CB1"/>
    <w:rsid w:val="00172C45"/>
    <w:rsid w:val="001731E5"/>
    <w:rsid w:val="001811D9"/>
    <w:rsid w:val="00181588"/>
    <w:rsid w:val="00187401"/>
    <w:rsid w:val="00187D1E"/>
    <w:rsid w:val="0019128D"/>
    <w:rsid w:val="00194D6B"/>
    <w:rsid w:val="001A5439"/>
    <w:rsid w:val="001A5FFE"/>
    <w:rsid w:val="001B7B1A"/>
    <w:rsid w:val="001D6335"/>
    <w:rsid w:val="001D723B"/>
    <w:rsid w:val="001E3646"/>
    <w:rsid w:val="001E3E55"/>
    <w:rsid w:val="001E59A8"/>
    <w:rsid w:val="001E65F5"/>
    <w:rsid w:val="001E742F"/>
    <w:rsid w:val="001F2D63"/>
    <w:rsid w:val="001F33D5"/>
    <w:rsid w:val="001F7824"/>
    <w:rsid w:val="00201340"/>
    <w:rsid w:val="00201DC1"/>
    <w:rsid w:val="00221D55"/>
    <w:rsid w:val="0022490E"/>
    <w:rsid w:val="002335B2"/>
    <w:rsid w:val="00235066"/>
    <w:rsid w:val="00243E64"/>
    <w:rsid w:val="00250FE7"/>
    <w:rsid w:val="00252DAE"/>
    <w:rsid w:val="00257451"/>
    <w:rsid w:val="00257A15"/>
    <w:rsid w:val="002627B7"/>
    <w:rsid w:val="0026559F"/>
    <w:rsid w:val="00275AB9"/>
    <w:rsid w:val="00284223"/>
    <w:rsid w:val="0028469D"/>
    <w:rsid w:val="0029020B"/>
    <w:rsid w:val="002902F3"/>
    <w:rsid w:val="002A08AD"/>
    <w:rsid w:val="002A359C"/>
    <w:rsid w:val="002B319D"/>
    <w:rsid w:val="002B626E"/>
    <w:rsid w:val="002B763B"/>
    <w:rsid w:val="002C3F7B"/>
    <w:rsid w:val="002D25FE"/>
    <w:rsid w:val="002D44BE"/>
    <w:rsid w:val="002E1136"/>
    <w:rsid w:val="00313D98"/>
    <w:rsid w:val="003178D9"/>
    <w:rsid w:val="003326B7"/>
    <w:rsid w:val="003327E7"/>
    <w:rsid w:val="00332BD9"/>
    <w:rsid w:val="00341AD8"/>
    <w:rsid w:val="00342C37"/>
    <w:rsid w:val="003479CF"/>
    <w:rsid w:val="00364102"/>
    <w:rsid w:val="00372712"/>
    <w:rsid w:val="003751C4"/>
    <w:rsid w:val="00380488"/>
    <w:rsid w:val="00393E9C"/>
    <w:rsid w:val="003A3F55"/>
    <w:rsid w:val="003B40D7"/>
    <w:rsid w:val="003B4B8B"/>
    <w:rsid w:val="003B791E"/>
    <w:rsid w:val="003C26ED"/>
    <w:rsid w:val="003C345B"/>
    <w:rsid w:val="003D28FE"/>
    <w:rsid w:val="003D321E"/>
    <w:rsid w:val="003E0A96"/>
    <w:rsid w:val="003E0B65"/>
    <w:rsid w:val="003E32E2"/>
    <w:rsid w:val="003E397F"/>
    <w:rsid w:val="003E7771"/>
    <w:rsid w:val="003F5B0C"/>
    <w:rsid w:val="00400956"/>
    <w:rsid w:val="00404DE4"/>
    <w:rsid w:val="0042014C"/>
    <w:rsid w:val="004212E8"/>
    <w:rsid w:val="00424BF5"/>
    <w:rsid w:val="00441341"/>
    <w:rsid w:val="00442037"/>
    <w:rsid w:val="004434BC"/>
    <w:rsid w:val="00450D2F"/>
    <w:rsid w:val="0045341C"/>
    <w:rsid w:val="00453B79"/>
    <w:rsid w:val="00456A56"/>
    <w:rsid w:val="00456E84"/>
    <w:rsid w:val="00457ADA"/>
    <w:rsid w:val="00462FFC"/>
    <w:rsid w:val="0048439E"/>
    <w:rsid w:val="00486EEB"/>
    <w:rsid w:val="00494A0C"/>
    <w:rsid w:val="004A0A40"/>
    <w:rsid w:val="004A17D3"/>
    <w:rsid w:val="004B0037"/>
    <w:rsid w:val="004B064B"/>
    <w:rsid w:val="004B3F7B"/>
    <w:rsid w:val="004B62FA"/>
    <w:rsid w:val="004C17B5"/>
    <w:rsid w:val="004D19BD"/>
    <w:rsid w:val="004D2113"/>
    <w:rsid w:val="004D3BFB"/>
    <w:rsid w:val="004D4F1E"/>
    <w:rsid w:val="00504EEC"/>
    <w:rsid w:val="005169EC"/>
    <w:rsid w:val="00521ECD"/>
    <w:rsid w:val="005231EC"/>
    <w:rsid w:val="0052666F"/>
    <w:rsid w:val="00526FE5"/>
    <w:rsid w:val="00531278"/>
    <w:rsid w:val="00535268"/>
    <w:rsid w:val="00553E65"/>
    <w:rsid w:val="0055412A"/>
    <w:rsid w:val="00564997"/>
    <w:rsid w:val="00573132"/>
    <w:rsid w:val="00577BB1"/>
    <w:rsid w:val="00580F0A"/>
    <w:rsid w:val="005827F5"/>
    <w:rsid w:val="005919B9"/>
    <w:rsid w:val="00594F28"/>
    <w:rsid w:val="00597BF6"/>
    <w:rsid w:val="005A3B77"/>
    <w:rsid w:val="005A5739"/>
    <w:rsid w:val="005B2762"/>
    <w:rsid w:val="005B7E90"/>
    <w:rsid w:val="005C33E5"/>
    <w:rsid w:val="005C77E9"/>
    <w:rsid w:val="005E1797"/>
    <w:rsid w:val="005E28A1"/>
    <w:rsid w:val="005F1825"/>
    <w:rsid w:val="005F3B9C"/>
    <w:rsid w:val="005F3D20"/>
    <w:rsid w:val="005F6747"/>
    <w:rsid w:val="00604704"/>
    <w:rsid w:val="00606AC0"/>
    <w:rsid w:val="0061022A"/>
    <w:rsid w:val="00610B3F"/>
    <w:rsid w:val="0061367F"/>
    <w:rsid w:val="00614AB2"/>
    <w:rsid w:val="0062440B"/>
    <w:rsid w:val="006315F6"/>
    <w:rsid w:val="006331DA"/>
    <w:rsid w:val="00635CB8"/>
    <w:rsid w:val="006373F9"/>
    <w:rsid w:val="006378FF"/>
    <w:rsid w:val="00644B7E"/>
    <w:rsid w:val="00657AE6"/>
    <w:rsid w:val="00660D98"/>
    <w:rsid w:val="00667A38"/>
    <w:rsid w:val="0067107E"/>
    <w:rsid w:val="00677F6E"/>
    <w:rsid w:val="00681AA6"/>
    <w:rsid w:val="00686BB3"/>
    <w:rsid w:val="006A0AB4"/>
    <w:rsid w:val="006A165F"/>
    <w:rsid w:val="006A463A"/>
    <w:rsid w:val="006B5E17"/>
    <w:rsid w:val="006C0727"/>
    <w:rsid w:val="006C2695"/>
    <w:rsid w:val="006C2C49"/>
    <w:rsid w:val="006C569F"/>
    <w:rsid w:val="006D1204"/>
    <w:rsid w:val="006D3245"/>
    <w:rsid w:val="006D64C2"/>
    <w:rsid w:val="006E044C"/>
    <w:rsid w:val="006E145F"/>
    <w:rsid w:val="006E3FA7"/>
    <w:rsid w:val="006F0961"/>
    <w:rsid w:val="006F1C55"/>
    <w:rsid w:val="00702E70"/>
    <w:rsid w:val="00705BC3"/>
    <w:rsid w:val="00707DBD"/>
    <w:rsid w:val="00707FE9"/>
    <w:rsid w:val="0071104E"/>
    <w:rsid w:val="007120E8"/>
    <w:rsid w:val="00713768"/>
    <w:rsid w:val="00714F3A"/>
    <w:rsid w:val="00720F6C"/>
    <w:rsid w:val="007227F4"/>
    <w:rsid w:val="00724808"/>
    <w:rsid w:val="00725399"/>
    <w:rsid w:val="00733D52"/>
    <w:rsid w:val="00740FDA"/>
    <w:rsid w:val="00743757"/>
    <w:rsid w:val="00753CB4"/>
    <w:rsid w:val="007572A0"/>
    <w:rsid w:val="00761489"/>
    <w:rsid w:val="00770572"/>
    <w:rsid w:val="0077144B"/>
    <w:rsid w:val="00797A33"/>
    <w:rsid w:val="007A1C5F"/>
    <w:rsid w:val="007A3122"/>
    <w:rsid w:val="007B283A"/>
    <w:rsid w:val="007C10DA"/>
    <w:rsid w:val="007C131D"/>
    <w:rsid w:val="007D0C99"/>
    <w:rsid w:val="007D2856"/>
    <w:rsid w:val="007E4542"/>
    <w:rsid w:val="007E6AB6"/>
    <w:rsid w:val="007F5136"/>
    <w:rsid w:val="007F63ED"/>
    <w:rsid w:val="00802399"/>
    <w:rsid w:val="00814D61"/>
    <w:rsid w:val="008251C6"/>
    <w:rsid w:val="00827F86"/>
    <w:rsid w:val="00835CD2"/>
    <w:rsid w:val="008407BE"/>
    <w:rsid w:val="00842C7C"/>
    <w:rsid w:val="008441B9"/>
    <w:rsid w:val="00847465"/>
    <w:rsid w:val="00850B22"/>
    <w:rsid w:val="008714C4"/>
    <w:rsid w:val="00873C39"/>
    <w:rsid w:val="0088091D"/>
    <w:rsid w:val="00881BEE"/>
    <w:rsid w:val="00885EFD"/>
    <w:rsid w:val="0088693E"/>
    <w:rsid w:val="00891CBA"/>
    <w:rsid w:val="008A4342"/>
    <w:rsid w:val="008A7F7E"/>
    <w:rsid w:val="008B3FA8"/>
    <w:rsid w:val="008C2316"/>
    <w:rsid w:val="008C5041"/>
    <w:rsid w:val="008D0331"/>
    <w:rsid w:val="008D3217"/>
    <w:rsid w:val="008D4A6A"/>
    <w:rsid w:val="008E3870"/>
    <w:rsid w:val="008F001F"/>
    <w:rsid w:val="008F0272"/>
    <w:rsid w:val="008F1AD3"/>
    <w:rsid w:val="008F2B3D"/>
    <w:rsid w:val="008F779A"/>
    <w:rsid w:val="008F77FD"/>
    <w:rsid w:val="0090339C"/>
    <w:rsid w:val="00905197"/>
    <w:rsid w:val="009128DB"/>
    <w:rsid w:val="009152BA"/>
    <w:rsid w:val="009209A7"/>
    <w:rsid w:val="00942619"/>
    <w:rsid w:val="00944A39"/>
    <w:rsid w:val="0094741C"/>
    <w:rsid w:val="00960D9A"/>
    <w:rsid w:val="0096245D"/>
    <w:rsid w:val="009649E1"/>
    <w:rsid w:val="00971577"/>
    <w:rsid w:val="00976EEE"/>
    <w:rsid w:val="00986706"/>
    <w:rsid w:val="009A7A19"/>
    <w:rsid w:val="009B1CA1"/>
    <w:rsid w:val="009B246A"/>
    <w:rsid w:val="009B31FA"/>
    <w:rsid w:val="009B7784"/>
    <w:rsid w:val="009C400F"/>
    <w:rsid w:val="009C7E26"/>
    <w:rsid w:val="009D1424"/>
    <w:rsid w:val="009D5228"/>
    <w:rsid w:val="009D7B2C"/>
    <w:rsid w:val="009E7D92"/>
    <w:rsid w:val="009F1588"/>
    <w:rsid w:val="009F2FBC"/>
    <w:rsid w:val="009F5DB4"/>
    <w:rsid w:val="009F7438"/>
    <w:rsid w:val="00A00766"/>
    <w:rsid w:val="00A01124"/>
    <w:rsid w:val="00A030F2"/>
    <w:rsid w:val="00A05586"/>
    <w:rsid w:val="00A0703C"/>
    <w:rsid w:val="00A10124"/>
    <w:rsid w:val="00A157C5"/>
    <w:rsid w:val="00A239D7"/>
    <w:rsid w:val="00A25174"/>
    <w:rsid w:val="00A3658D"/>
    <w:rsid w:val="00A43AD8"/>
    <w:rsid w:val="00A46BBB"/>
    <w:rsid w:val="00A51C39"/>
    <w:rsid w:val="00A563F2"/>
    <w:rsid w:val="00A66AA7"/>
    <w:rsid w:val="00A700E4"/>
    <w:rsid w:val="00A75493"/>
    <w:rsid w:val="00A83DB4"/>
    <w:rsid w:val="00A846F1"/>
    <w:rsid w:val="00A95263"/>
    <w:rsid w:val="00AA420F"/>
    <w:rsid w:val="00AA427C"/>
    <w:rsid w:val="00AA47DB"/>
    <w:rsid w:val="00AA6349"/>
    <w:rsid w:val="00AB1FC6"/>
    <w:rsid w:val="00AC40F5"/>
    <w:rsid w:val="00AC53D6"/>
    <w:rsid w:val="00AD2E97"/>
    <w:rsid w:val="00AD7141"/>
    <w:rsid w:val="00AE3E21"/>
    <w:rsid w:val="00AF1A0A"/>
    <w:rsid w:val="00AF3B6D"/>
    <w:rsid w:val="00AF7A95"/>
    <w:rsid w:val="00B053D9"/>
    <w:rsid w:val="00B12539"/>
    <w:rsid w:val="00B15B17"/>
    <w:rsid w:val="00B21B34"/>
    <w:rsid w:val="00B24402"/>
    <w:rsid w:val="00B30584"/>
    <w:rsid w:val="00B33CFF"/>
    <w:rsid w:val="00B45D73"/>
    <w:rsid w:val="00B46E00"/>
    <w:rsid w:val="00B5169B"/>
    <w:rsid w:val="00B5361B"/>
    <w:rsid w:val="00B541C1"/>
    <w:rsid w:val="00B562E6"/>
    <w:rsid w:val="00B62C53"/>
    <w:rsid w:val="00B878FC"/>
    <w:rsid w:val="00BA1088"/>
    <w:rsid w:val="00BA1D6B"/>
    <w:rsid w:val="00BA7603"/>
    <w:rsid w:val="00BB4D55"/>
    <w:rsid w:val="00BB67CE"/>
    <w:rsid w:val="00BC1020"/>
    <w:rsid w:val="00BD234F"/>
    <w:rsid w:val="00BD26C7"/>
    <w:rsid w:val="00BE68C2"/>
    <w:rsid w:val="00BF0D6F"/>
    <w:rsid w:val="00C01B22"/>
    <w:rsid w:val="00C03D0D"/>
    <w:rsid w:val="00C04DF7"/>
    <w:rsid w:val="00C138AE"/>
    <w:rsid w:val="00C27C59"/>
    <w:rsid w:val="00C351D1"/>
    <w:rsid w:val="00C365D8"/>
    <w:rsid w:val="00C43159"/>
    <w:rsid w:val="00C506C3"/>
    <w:rsid w:val="00C51267"/>
    <w:rsid w:val="00C5186E"/>
    <w:rsid w:val="00C62167"/>
    <w:rsid w:val="00C66980"/>
    <w:rsid w:val="00C67B4C"/>
    <w:rsid w:val="00C707E9"/>
    <w:rsid w:val="00C730B9"/>
    <w:rsid w:val="00C74163"/>
    <w:rsid w:val="00C74260"/>
    <w:rsid w:val="00C86550"/>
    <w:rsid w:val="00C93376"/>
    <w:rsid w:val="00C966BE"/>
    <w:rsid w:val="00CA09B2"/>
    <w:rsid w:val="00CC4AB1"/>
    <w:rsid w:val="00CC7DA1"/>
    <w:rsid w:val="00CE119B"/>
    <w:rsid w:val="00CF24BC"/>
    <w:rsid w:val="00CF46B6"/>
    <w:rsid w:val="00D01284"/>
    <w:rsid w:val="00D021B7"/>
    <w:rsid w:val="00D1192B"/>
    <w:rsid w:val="00D21465"/>
    <w:rsid w:val="00D265F0"/>
    <w:rsid w:val="00D40FEE"/>
    <w:rsid w:val="00D4249A"/>
    <w:rsid w:val="00D51214"/>
    <w:rsid w:val="00D57202"/>
    <w:rsid w:val="00D619E2"/>
    <w:rsid w:val="00D80437"/>
    <w:rsid w:val="00D845E7"/>
    <w:rsid w:val="00D848E8"/>
    <w:rsid w:val="00D876DA"/>
    <w:rsid w:val="00D87DAE"/>
    <w:rsid w:val="00DA1863"/>
    <w:rsid w:val="00DB1132"/>
    <w:rsid w:val="00DB43D5"/>
    <w:rsid w:val="00DB4A34"/>
    <w:rsid w:val="00DC5A7B"/>
    <w:rsid w:val="00DC5B40"/>
    <w:rsid w:val="00DC5EFA"/>
    <w:rsid w:val="00DD3287"/>
    <w:rsid w:val="00DD6556"/>
    <w:rsid w:val="00DE36B2"/>
    <w:rsid w:val="00DE4DD3"/>
    <w:rsid w:val="00DE5238"/>
    <w:rsid w:val="00DF4A94"/>
    <w:rsid w:val="00E01F74"/>
    <w:rsid w:val="00E11F90"/>
    <w:rsid w:val="00E235F3"/>
    <w:rsid w:val="00E25CEB"/>
    <w:rsid w:val="00E270D9"/>
    <w:rsid w:val="00E27E53"/>
    <w:rsid w:val="00E337DF"/>
    <w:rsid w:val="00E36A9C"/>
    <w:rsid w:val="00E415B3"/>
    <w:rsid w:val="00E50B18"/>
    <w:rsid w:val="00E565B6"/>
    <w:rsid w:val="00E569EA"/>
    <w:rsid w:val="00E63AAE"/>
    <w:rsid w:val="00E65735"/>
    <w:rsid w:val="00E81F5F"/>
    <w:rsid w:val="00E834B3"/>
    <w:rsid w:val="00E863A1"/>
    <w:rsid w:val="00E8704F"/>
    <w:rsid w:val="00E91816"/>
    <w:rsid w:val="00E92F70"/>
    <w:rsid w:val="00E9332E"/>
    <w:rsid w:val="00EA23AE"/>
    <w:rsid w:val="00EB0ACB"/>
    <w:rsid w:val="00EB2809"/>
    <w:rsid w:val="00EB497C"/>
    <w:rsid w:val="00EB4ED6"/>
    <w:rsid w:val="00EB63B8"/>
    <w:rsid w:val="00EC2EA1"/>
    <w:rsid w:val="00ED20F8"/>
    <w:rsid w:val="00ED3976"/>
    <w:rsid w:val="00ED398D"/>
    <w:rsid w:val="00ED4C56"/>
    <w:rsid w:val="00EE4406"/>
    <w:rsid w:val="00EE4A37"/>
    <w:rsid w:val="00EF3312"/>
    <w:rsid w:val="00F0267B"/>
    <w:rsid w:val="00F16690"/>
    <w:rsid w:val="00F1683B"/>
    <w:rsid w:val="00F16B73"/>
    <w:rsid w:val="00F215F9"/>
    <w:rsid w:val="00F314AA"/>
    <w:rsid w:val="00F32B1A"/>
    <w:rsid w:val="00F410CB"/>
    <w:rsid w:val="00F44184"/>
    <w:rsid w:val="00F445AA"/>
    <w:rsid w:val="00F45000"/>
    <w:rsid w:val="00F5362A"/>
    <w:rsid w:val="00F67F39"/>
    <w:rsid w:val="00F71212"/>
    <w:rsid w:val="00F71407"/>
    <w:rsid w:val="00F85109"/>
    <w:rsid w:val="00F87E05"/>
    <w:rsid w:val="00F93084"/>
    <w:rsid w:val="00F94447"/>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0E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922-574D-46B4-A7D3-D6251CF1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2</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802.11-20/0645r0</vt:lpstr>
    </vt:vector>
  </TitlesOfParts>
  <Company>Realtek</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802.11-20/0683r0</dc:title>
  <dc:subject>Submission</dc:subject>
  <dc:creator>coffey@realtek.com</dc:creator>
  <cp:keywords>May 2018</cp:keywords>
  <dc:description>Sean Coffey, Realtek</dc:description>
  <cp:lastModifiedBy>Sean Coffey</cp:lastModifiedBy>
  <cp:revision>4</cp:revision>
  <cp:lastPrinted>2017-07-05T16:47:00Z</cp:lastPrinted>
  <dcterms:created xsi:type="dcterms:W3CDTF">2020-04-29T17:30:00Z</dcterms:created>
  <dcterms:modified xsi:type="dcterms:W3CDTF">2020-04-29T17:32:00Z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