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accumulates all Motions passed in 802.11bb task group to amend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accumulates all Motions passed in 802.11bb task group to amend the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</w:r>
      <w:proofErr w:type="spellStart"/>
      <w:r w:rsidRPr="000B748D">
        <w:rPr>
          <w:b/>
          <w:bCs/>
          <w:color w:val="BFBFBF" w:themeColor="background1" w:themeShade="BF"/>
        </w:rPr>
        <w:t>Suhwook</w:t>
      </w:r>
      <w:proofErr w:type="spellEnd"/>
      <w:r w:rsidRPr="000B748D">
        <w:rPr>
          <w:b/>
          <w:bCs/>
          <w:color w:val="BFBFBF" w:themeColor="background1" w:themeShade="BF"/>
        </w:rPr>
        <w:t xml:space="preserve">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TGbb</w:t>
      </w:r>
      <w:proofErr w:type="spellEnd"/>
      <w:r>
        <w:rPr>
          <w:b/>
          <w:bCs/>
          <w:sz w:val="24"/>
        </w:rPr>
        <w:t xml:space="preserve">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proofErr w:type="spellStart"/>
      <w:r w:rsidRPr="00C00729">
        <w:rPr>
          <w:b/>
          <w:sz w:val="24"/>
          <w:lang w:eastAsia="ja-JP"/>
        </w:rPr>
        <w:t>TGbb</w:t>
      </w:r>
      <w:proofErr w:type="spellEnd"/>
      <w:r w:rsidRPr="00C00729">
        <w:rPr>
          <w:b/>
          <w:sz w:val="24"/>
          <w:lang w:eastAsia="ja-JP"/>
        </w:rPr>
        <w:t xml:space="preserve">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  <w:r w:rsidR="00014D34">
        <w:rPr>
          <w:b/>
          <w:bCs/>
          <w:sz w:val="24"/>
        </w:rPr>
        <w:t xml:space="preserve"> (</w:t>
      </w:r>
      <w:proofErr w:type="spellStart"/>
      <w:r w:rsidR="00014D34">
        <w:rPr>
          <w:b/>
          <w:bCs/>
          <w:sz w:val="24"/>
        </w:rPr>
        <w:t>pureLiFi</w:t>
      </w:r>
      <w:proofErr w:type="spellEnd"/>
      <w:r w:rsidR="00014D34">
        <w:rPr>
          <w:b/>
          <w:bCs/>
          <w:sz w:val="24"/>
        </w:rPr>
        <w:t>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 xml:space="preserve">June 5, 2020, </w:t>
      </w:r>
      <w:proofErr w:type="spellStart"/>
      <w:r w:rsidRPr="00C00729">
        <w:rPr>
          <w:b/>
          <w:sz w:val="28"/>
        </w:rPr>
        <w:t>TGbb</w:t>
      </w:r>
      <w:proofErr w:type="spellEnd"/>
      <w:r w:rsidRPr="00C00729">
        <w:rPr>
          <w:b/>
          <w:sz w:val="28"/>
        </w:rPr>
        <w:t xml:space="preserve">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 xml:space="preserve">Nikola </w:t>
      </w:r>
      <w:proofErr w:type="spellStart"/>
      <w:r w:rsidRPr="000B4BF1">
        <w:rPr>
          <w:bCs/>
        </w:rPr>
        <w:t>Serafimovski</w:t>
      </w:r>
      <w:proofErr w:type="spellEnd"/>
      <w:r w:rsidR="00014D34" w:rsidRPr="000B4BF1">
        <w:rPr>
          <w:bCs/>
        </w:rPr>
        <w:t xml:space="preserve"> (</w:t>
      </w:r>
      <w:proofErr w:type="spellStart"/>
      <w:r w:rsidR="00014D34" w:rsidRPr="000B4BF1">
        <w:rPr>
          <w:bCs/>
        </w:rPr>
        <w:t>pureLiFi</w:t>
      </w:r>
      <w:proofErr w:type="spellEnd"/>
      <w:r w:rsidR="00014D34" w:rsidRPr="000B4BF1">
        <w:rPr>
          <w:bCs/>
        </w:rPr>
        <w:t>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 xml:space="preserve">on </w:t>
      </w:r>
      <w:proofErr w:type="spellStart"/>
      <w:r w:rsidR="000B4BF1" w:rsidRPr="000B4BF1">
        <w:t>cenetre</w:t>
      </w:r>
      <w:proofErr w:type="spellEnd"/>
      <w:r w:rsidR="000B4BF1" w:rsidRPr="000B4BF1">
        <w:t xml:space="preserve">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“The LC common mode shall operate at a centre frequency of 26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The common bandwidth shall be 20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proofErr w:type="gramStart"/>
      <w:r w:rsidRPr="000B4BF1">
        <w:t>Seconded  Tuncer</w:t>
      </w:r>
      <w:proofErr w:type="gramEnd"/>
      <w:r w:rsidRPr="000B4BF1">
        <w:t xml:space="preserve">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proofErr w:type="gramStart"/>
      <w:r w:rsidRPr="0093764E">
        <w:rPr>
          <w:b/>
        </w:rPr>
        <w:t>Seconded  Harry</w:t>
      </w:r>
      <w:proofErr w:type="gramEnd"/>
      <w:r w:rsidRPr="0093764E">
        <w:rPr>
          <w:b/>
        </w:rPr>
        <w:t xml:space="preserve">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 xml:space="preserve">C: Channel numbering should be consistent among different </w:t>
      </w:r>
      <w:proofErr w:type="spellStart"/>
      <w:r>
        <w:t>PHYs.</w:t>
      </w:r>
      <w:proofErr w:type="spellEnd"/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proofErr w:type="spellStart"/>
      <w:r w:rsidRPr="00C00729">
        <w:rPr>
          <w:b/>
        </w:rPr>
        <w:t>TGbb</w:t>
      </w:r>
      <w:proofErr w:type="spellEnd"/>
      <w:r w:rsidRPr="00C00729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proofErr w:type="spellStart"/>
      <w:r>
        <w:rPr>
          <w:b/>
        </w:rPr>
        <w:t>TGbb</w:t>
      </w:r>
      <w:proofErr w:type="spellEnd"/>
      <w:r>
        <w:rPr>
          <w:b/>
        </w:rPr>
        <w:t xml:space="preserve">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 xml:space="preserve">Y: </w:t>
      </w:r>
      <w:proofErr w:type="gramStart"/>
      <w:r>
        <w:t>10</w:t>
      </w:r>
      <w:r w:rsidR="000B4BF1">
        <w:t xml:space="preserve">  </w:t>
      </w:r>
      <w:r>
        <w:t>N</w:t>
      </w:r>
      <w:proofErr w:type="gramEnd"/>
      <w:r>
        <w:t>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proofErr w:type="spellStart"/>
      <w:r w:rsidRPr="00477B5D">
        <w:rPr>
          <w:b/>
        </w:rPr>
        <w:t>TGbb</w:t>
      </w:r>
      <w:proofErr w:type="spellEnd"/>
      <w:r w:rsidRPr="00477B5D">
        <w:rPr>
          <w:b/>
        </w:rPr>
        <w:t xml:space="preserve">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 xml:space="preserve"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</w:t>
      </w:r>
      <w:proofErr w:type="gramStart"/>
      <w:r w:rsidRPr="00477B5D">
        <w:rPr>
          <w:b/>
        </w:rPr>
        <w:t>CID43</w:t>
      </w:r>
      <w:proofErr w:type="gramEnd"/>
      <w:r w:rsidRPr="00477B5D">
        <w:rPr>
          <w:b/>
        </w:rPr>
        <w:t>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proofErr w:type="spellStart"/>
      <w:r>
        <w:rPr>
          <w:b/>
        </w:rPr>
        <w:t>TGbb</w:t>
      </w:r>
      <w:proofErr w:type="spellEnd"/>
      <w:r>
        <w:rPr>
          <w:b/>
        </w:rPr>
        <w:t xml:space="preserve">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 xml:space="preserve">4.3 Components of the IEEE </w:t>
      </w:r>
      <w:proofErr w:type="spellStart"/>
      <w:proofErr w:type="gramStart"/>
      <w:r w:rsidRPr="00B9184F">
        <w:rPr>
          <w:b/>
          <w:bCs/>
        </w:rPr>
        <w:t>Std</w:t>
      </w:r>
      <w:proofErr w:type="spellEnd"/>
      <w:proofErr w:type="gramEnd"/>
      <w:r w:rsidRPr="00B9184F">
        <w:rPr>
          <w:b/>
          <w:bCs/>
        </w:rPr>
        <w:t xml:space="preserve">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proofErr w:type="spellStart"/>
      <w:r w:rsidRPr="000B4BF1">
        <w:rPr>
          <w:b/>
          <w:bCs/>
          <w:i/>
          <w:iCs/>
        </w:rPr>
        <w:t>Editors</w:t>
      </w:r>
      <w:proofErr w:type="spellEnd"/>
      <w:r w:rsidRPr="000B4BF1">
        <w:rPr>
          <w:b/>
          <w:bCs/>
          <w:i/>
          <w:iCs/>
        </w:rPr>
        <w:t xml:space="preserve"> note: </w:t>
      </w:r>
      <w:r w:rsidR="00B9184F" w:rsidRPr="000B4BF1">
        <w:rPr>
          <w:b/>
          <w:bCs/>
          <w:i/>
          <w:iCs/>
        </w:rPr>
        <w:t xml:space="preserve">Insert a new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after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4.3.29 (</w:t>
      </w:r>
      <w:proofErr w:type="spellStart"/>
      <w:r w:rsidR="00B9184F" w:rsidRPr="000B4BF1">
        <w:rPr>
          <w:b/>
          <w:bCs/>
          <w:i/>
          <w:iCs/>
        </w:rPr>
        <w:t>Ethertype</w:t>
      </w:r>
      <w:proofErr w:type="spellEnd"/>
      <w:r w:rsidR="00B9184F" w:rsidRPr="000B4BF1">
        <w:rPr>
          <w:b/>
          <w:bCs/>
          <w:i/>
          <w:iCs/>
        </w:rPr>
        <w:t xml:space="preserve">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proofErr w:type="spellStart"/>
      <w:r>
        <w:rPr>
          <w:b/>
          <w:bCs/>
        </w:rPr>
        <w:lastRenderedPageBreak/>
        <w:t>TGbb</w:t>
      </w:r>
      <w:proofErr w:type="spellEnd"/>
      <w:r>
        <w:rPr>
          <w:b/>
          <w:bCs/>
        </w:rPr>
        <w:t xml:space="preserve">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comment collection on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 xml:space="preserve">Approve a 13 day </w:t>
      </w:r>
      <w:proofErr w:type="spellStart"/>
      <w:r w:rsidRPr="006C44D8">
        <w:rPr>
          <w:b/>
          <w:szCs w:val="22"/>
        </w:rPr>
        <w:t>TGbb</w:t>
      </w:r>
      <w:proofErr w:type="spellEnd"/>
      <w:r w:rsidRPr="006C44D8">
        <w:rPr>
          <w:b/>
          <w:szCs w:val="22"/>
        </w:rPr>
        <w:t xml:space="preserve">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proofErr w:type="spellStart"/>
      <w:r>
        <w:t>TGbb</w:t>
      </w:r>
      <w:proofErr w:type="spellEnd"/>
      <w:r>
        <w:t xml:space="preserve"> Motion to include resolved comments from </w:t>
      </w:r>
      <w:proofErr w:type="spellStart"/>
      <w:r>
        <w:t>TGbb</w:t>
      </w:r>
      <w:proofErr w:type="spellEnd"/>
      <w:r>
        <w:t xml:space="preserve">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 xml:space="preserve">Having approved comment resolutions for all of the comments received from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 on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Draft 0.5 as contained in documents 11-21/1050r3, 11-21/1017r6, 11-21/1118r1, Instruct the editor to prepare Draft 0.6 incorporating these resolutions and, Approve a 30 day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proofErr w:type="spellStart"/>
      <w:r>
        <w:rPr>
          <w:b/>
          <w:bCs/>
          <w:sz w:val="28"/>
          <w:szCs w:val="28"/>
        </w:rPr>
        <w:t>TGbb</w:t>
      </w:r>
      <w:proofErr w:type="spellEnd"/>
      <w:r>
        <w:rPr>
          <w:b/>
          <w:bCs/>
          <w:sz w:val="28"/>
          <w:szCs w:val="28"/>
        </w:rPr>
        <w:t xml:space="preserve">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TGbb Motion to </w:t>
      </w:r>
      <w:r>
        <w:rPr>
          <w:sz w:val="24"/>
          <w:lang w:val="tr-TR"/>
        </w:rPr>
        <w:t>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 xml:space="preserve">Having approved comment resolutions for all of the comments received from </w:t>
      </w:r>
      <w:proofErr w:type="spellStart"/>
      <w:r w:rsidRPr="000F4EEA">
        <w:rPr>
          <w:b/>
          <w:bCs/>
        </w:rPr>
        <w:t>TGbb</w:t>
      </w:r>
      <w:proofErr w:type="spellEnd"/>
      <w:r w:rsidRPr="000F4EEA">
        <w:rPr>
          <w:b/>
          <w:bCs/>
        </w:rPr>
        <w:t xml:space="preserve"> comment collection on </w:t>
      </w:r>
      <w:proofErr w:type="spellStart"/>
      <w:r w:rsidRPr="000F4EEA">
        <w:rPr>
          <w:b/>
          <w:bCs/>
        </w:rPr>
        <w:t>TGbb</w:t>
      </w:r>
      <w:proofErr w:type="spellEnd"/>
      <w:r w:rsidRPr="000F4EEA">
        <w:rPr>
          <w:b/>
          <w:bCs/>
        </w:rPr>
        <w:t xml:space="preserve">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000000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000000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 xml:space="preserve">, </w:t>
      </w:r>
      <w:r w:rsidRPr="000F4EEA">
        <w:t>and</w:t>
      </w:r>
    </w:p>
    <w:p w14:paraId="2B4C7075" w14:textId="77777777" w:rsidR="00000000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r w:rsidRPr="000F4EEA">
        <w:rPr>
          <w:b/>
          <w:bCs/>
        </w:rPr>
        <w:t>Instruct the editor to prepare Draft 0.7 incorporati</w:t>
      </w:r>
      <w:bookmarkStart w:id="27" w:name="_GoBack"/>
      <w:bookmarkEnd w:id="27"/>
      <w:r w:rsidRPr="000F4EEA">
        <w:rPr>
          <w:b/>
          <w:bCs/>
        </w:rPr>
        <w:t>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</w:p>
    <w:p w14:paraId="33A14449" w14:textId="77777777" w:rsidR="000F4EEA" w:rsidRDefault="000F4EEA" w:rsidP="00B9184F"/>
    <w:sectPr w:rsidR="000F4EEA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</w:t>
      </w:r>
      <w:proofErr w:type="spellStart"/>
      <w:r>
        <w:t>documemnt</w:t>
      </w:r>
      <w:proofErr w:type="spellEnd"/>
      <w:r>
        <w:t xml:space="preserve">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3874" w14:textId="77777777" w:rsidR="00C536B8" w:rsidRDefault="00C536B8">
      <w:r>
        <w:separator/>
      </w:r>
    </w:p>
  </w:endnote>
  <w:endnote w:type="continuationSeparator" w:id="0">
    <w:p w14:paraId="35499159" w14:textId="77777777" w:rsidR="00C536B8" w:rsidRDefault="00C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5F66C9E6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</w:r>
    <w:proofErr w:type="spellStart"/>
    <w:r w:rsidRPr="00FE3296">
      <w:rPr>
        <w:sz w:val="22"/>
        <w:szCs w:val="18"/>
        <w:lang w:val="de-DE"/>
      </w:rPr>
      <w:t>page</w:t>
    </w:r>
    <w:proofErr w:type="spellEnd"/>
    <w:r w:rsidRPr="00FE3296">
      <w:rPr>
        <w:sz w:val="22"/>
        <w:szCs w:val="18"/>
        <w:lang w:val="de-DE"/>
      </w:rPr>
      <w:t xml:space="preserve">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D27712">
      <w:rPr>
        <w:noProof/>
        <w:sz w:val="22"/>
        <w:szCs w:val="18"/>
        <w:lang w:val="de-DE"/>
      </w:rPr>
      <w:t>6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051E" w14:textId="77777777" w:rsidR="00C536B8" w:rsidRDefault="00C536B8">
      <w:r>
        <w:separator/>
      </w:r>
    </w:p>
  </w:footnote>
  <w:footnote w:type="continuationSeparator" w:id="0">
    <w:p w14:paraId="1175E42A" w14:textId="77777777" w:rsidR="00C536B8" w:rsidRDefault="00C5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927D" w14:textId="78B8213C" w:rsidR="00596F63" w:rsidRDefault="00AB40F8">
    <w:pPr>
      <w:pStyle w:val="Kopfzeile"/>
      <w:tabs>
        <w:tab w:val="clear" w:pos="6480"/>
        <w:tab w:val="center" w:pos="4680"/>
        <w:tab w:val="right" w:pos="9360"/>
      </w:tabs>
    </w:pPr>
    <w:r>
      <w:t>August</w:t>
    </w:r>
    <w:r w:rsidR="00596F63">
      <w:t xml:space="preserve"> 2021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983BF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54A5D"/>
    <w:rsid w:val="00163604"/>
    <w:rsid w:val="00165E3A"/>
    <w:rsid w:val="00175B10"/>
    <w:rsid w:val="001773B7"/>
    <w:rsid w:val="00184798"/>
    <w:rsid w:val="00186D68"/>
    <w:rsid w:val="001918D6"/>
    <w:rsid w:val="00192FBB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F71A8"/>
    <w:rsid w:val="00401A83"/>
    <w:rsid w:val="00402891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6F63"/>
    <w:rsid w:val="00597350"/>
    <w:rsid w:val="005A3A9D"/>
    <w:rsid w:val="005A7A8E"/>
    <w:rsid w:val="005B08E8"/>
    <w:rsid w:val="005B3149"/>
    <w:rsid w:val="005B49A6"/>
    <w:rsid w:val="005C4591"/>
    <w:rsid w:val="005D2C11"/>
    <w:rsid w:val="005E55B6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2BBF"/>
    <w:rsid w:val="007B617F"/>
    <w:rsid w:val="007B6228"/>
    <w:rsid w:val="007C5138"/>
    <w:rsid w:val="007D0E26"/>
    <w:rsid w:val="007E6EE4"/>
    <w:rsid w:val="00803B95"/>
    <w:rsid w:val="0080467F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34"/>
    <w:rsid w:val="00AA0D5C"/>
    <w:rsid w:val="00AA427C"/>
    <w:rsid w:val="00AB40F8"/>
    <w:rsid w:val="00AB7105"/>
    <w:rsid w:val="00AC5E76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D27712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1452</Words>
  <Characters>7686</Characters>
  <Application>Microsoft Office Word</Application>
  <DocSecurity>0</DocSecurity>
  <Lines>192</Lines>
  <Paragraphs>134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2021-11-04T11:16:00Z</dcterms:created>
  <dcterms:modified xsi:type="dcterms:W3CDTF">2021-11-04T21:31:00Z</dcterms:modified>
</cp:coreProperties>
</file>