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577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018"/>
        <w:gridCol w:w="1530"/>
        <w:gridCol w:w="2628"/>
      </w:tblGrid>
      <w:tr w:rsidR="00CA09B2" w14:paraId="0ADC7492" w14:textId="77777777" w:rsidTr="002D077E">
        <w:trPr>
          <w:trHeight w:val="485"/>
          <w:jc w:val="center"/>
        </w:trPr>
        <w:tc>
          <w:tcPr>
            <w:tcW w:w="9576" w:type="dxa"/>
            <w:gridSpan w:val="5"/>
            <w:vAlign w:val="center"/>
          </w:tcPr>
          <w:p w14:paraId="65766A64" w14:textId="441DAB51" w:rsidR="00CA09B2" w:rsidRDefault="00CD41EB">
            <w:pPr>
              <w:pStyle w:val="T2"/>
            </w:pPr>
            <w:r>
              <w:t>SB000 Annex AB CIDs</w:t>
            </w:r>
          </w:p>
        </w:tc>
        <w:bookmarkStart w:id="0" w:name="_GoBack"/>
        <w:bookmarkEnd w:id="0"/>
      </w:tr>
      <w:tr w:rsidR="00CA09B2" w14:paraId="6B414A32" w14:textId="77777777" w:rsidTr="002D077E">
        <w:trPr>
          <w:trHeight w:val="359"/>
          <w:jc w:val="center"/>
        </w:trPr>
        <w:tc>
          <w:tcPr>
            <w:tcW w:w="9576" w:type="dxa"/>
            <w:gridSpan w:val="5"/>
            <w:vAlign w:val="center"/>
          </w:tcPr>
          <w:p w14:paraId="4670AA47" w14:textId="6CCBFFF2" w:rsidR="00CA09B2" w:rsidRDefault="00CA09B2">
            <w:pPr>
              <w:pStyle w:val="T2"/>
              <w:ind w:left="0"/>
              <w:rPr>
                <w:sz w:val="20"/>
              </w:rPr>
            </w:pPr>
            <w:r>
              <w:rPr>
                <w:sz w:val="20"/>
              </w:rPr>
              <w:t>Date:</w:t>
            </w:r>
            <w:r>
              <w:rPr>
                <w:b w:val="0"/>
                <w:sz w:val="20"/>
              </w:rPr>
              <w:t xml:space="preserve">  </w:t>
            </w:r>
            <w:r w:rsidR="000835BD">
              <w:rPr>
                <w:b w:val="0"/>
                <w:sz w:val="20"/>
              </w:rPr>
              <w:t>2020</w:t>
            </w:r>
            <w:r>
              <w:rPr>
                <w:b w:val="0"/>
                <w:sz w:val="20"/>
              </w:rPr>
              <w:t>-</w:t>
            </w:r>
            <w:r w:rsidR="002D077E">
              <w:rPr>
                <w:b w:val="0"/>
                <w:sz w:val="20"/>
              </w:rPr>
              <w:t>04</w:t>
            </w:r>
            <w:r>
              <w:rPr>
                <w:b w:val="0"/>
                <w:sz w:val="20"/>
              </w:rPr>
              <w:t>-</w:t>
            </w:r>
            <w:r w:rsidR="002D077E">
              <w:rPr>
                <w:b w:val="0"/>
                <w:sz w:val="20"/>
              </w:rPr>
              <w:t>15</w:t>
            </w:r>
          </w:p>
        </w:tc>
      </w:tr>
      <w:tr w:rsidR="00CA09B2" w14:paraId="18B06FBB" w14:textId="77777777" w:rsidTr="002D077E">
        <w:trPr>
          <w:cantSplit/>
          <w:jc w:val="center"/>
        </w:trPr>
        <w:tc>
          <w:tcPr>
            <w:tcW w:w="9576" w:type="dxa"/>
            <w:gridSpan w:val="5"/>
            <w:vAlign w:val="center"/>
          </w:tcPr>
          <w:p w14:paraId="42C8494A" w14:textId="77777777" w:rsidR="00CA09B2" w:rsidRDefault="00CA09B2">
            <w:pPr>
              <w:pStyle w:val="T2"/>
              <w:spacing w:after="0"/>
              <w:ind w:left="0" w:right="0"/>
              <w:jc w:val="left"/>
              <w:rPr>
                <w:sz w:val="20"/>
              </w:rPr>
            </w:pPr>
            <w:r>
              <w:rPr>
                <w:sz w:val="20"/>
              </w:rPr>
              <w:t>Author(s):</w:t>
            </w:r>
          </w:p>
        </w:tc>
      </w:tr>
      <w:tr w:rsidR="00CA09B2" w14:paraId="1355CAF5" w14:textId="77777777" w:rsidTr="002D077E">
        <w:trPr>
          <w:jc w:val="center"/>
        </w:trPr>
        <w:tc>
          <w:tcPr>
            <w:tcW w:w="1638" w:type="dxa"/>
            <w:vAlign w:val="center"/>
          </w:tcPr>
          <w:p w14:paraId="43BB163A" w14:textId="77777777" w:rsidR="00CA09B2" w:rsidRDefault="00CA09B2">
            <w:pPr>
              <w:pStyle w:val="T2"/>
              <w:spacing w:after="0"/>
              <w:ind w:left="0" w:right="0"/>
              <w:jc w:val="left"/>
              <w:rPr>
                <w:sz w:val="20"/>
              </w:rPr>
            </w:pPr>
            <w:r>
              <w:rPr>
                <w:sz w:val="20"/>
              </w:rPr>
              <w:t>Name</w:t>
            </w:r>
          </w:p>
        </w:tc>
        <w:tc>
          <w:tcPr>
            <w:tcW w:w="1762" w:type="dxa"/>
            <w:vAlign w:val="center"/>
          </w:tcPr>
          <w:p w14:paraId="7B5078DF" w14:textId="77777777" w:rsidR="00CA09B2" w:rsidRDefault="0062440B">
            <w:pPr>
              <w:pStyle w:val="T2"/>
              <w:spacing w:after="0"/>
              <w:ind w:left="0" w:right="0"/>
              <w:jc w:val="left"/>
              <w:rPr>
                <w:sz w:val="20"/>
              </w:rPr>
            </w:pPr>
            <w:r>
              <w:rPr>
                <w:sz w:val="20"/>
              </w:rPr>
              <w:t>Affiliation</w:t>
            </w:r>
          </w:p>
        </w:tc>
        <w:tc>
          <w:tcPr>
            <w:tcW w:w="2018" w:type="dxa"/>
            <w:vAlign w:val="center"/>
          </w:tcPr>
          <w:p w14:paraId="5939FFFE" w14:textId="77777777" w:rsidR="00CA09B2" w:rsidRDefault="00CA09B2">
            <w:pPr>
              <w:pStyle w:val="T2"/>
              <w:spacing w:after="0"/>
              <w:ind w:left="0" w:right="0"/>
              <w:jc w:val="left"/>
              <w:rPr>
                <w:sz w:val="20"/>
              </w:rPr>
            </w:pPr>
            <w:r>
              <w:rPr>
                <w:sz w:val="20"/>
              </w:rPr>
              <w:t>Address</w:t>
            </w:r>
          </w:p>
        </w:tc>
        <w:tc>
          <w:tcPr>
            <w:tcW w:w="1530" w:type="dxa"/>
            <w:vAlign w:val="center"/>
          </w:tcPr>
          <w:p w14:paraId="211E8C37" w14:textId="77777777" w:rsidR="00CA09B2" w:rsidRDefault="00CA09B2">
            <w:pPr>
              <w:pStyle w:val="T2"/>
              <w:spacing w:after="0"/>
              <w:ind w:left="0" w:right="0"/>
              <w:jc w:val="left"/>
              <w:rPr>
                <w:sz w:val="20"/>
              </w:rPr>
            </w:pPr>
            <w:r>
              <w:rPr>
                <w:sz w:val="20"/>
              </w:rPr>
              <w:t>Phone</w:t>
            </w:r>
          </w:p>
        </w:tc>
        <w:tc>
          <w:tcPr>
            <w:tcW w:w="2628" w:type="dxa"/>
            <w:vAlign w:val="center"/>
          </w:tcPr>
          <w:p w14:paraId="2BF5E4C3" w14:textId="77777777" w:rsidR="00CA09B2" w:rsidRDefault="00CA09B2">
            <w:pPr>
              <w:pStyle w:val="T2"/>
              <w:spacing w:after="0"/>
              <w:ind w:left="0" w:right="0"/>
              <w:jc w:val="left"/>
              <w:rPr>
                <w:sz w:val="20"/>
              </w:rPr>
            </w:pPr>
            <w:r>
              <w:rPr>
                <w:sz w:val="20"/>
              </w:rPr>
              <w:t>email</w:t>
            </w:r>
          </w:p>
        </w:tc>
      </w:tr>
      <w:tr w:rsidR="00CA09B2" w14:paraId="770C3616" w14:textId="77777777" w:rsidTr="002D077E">
        <w:trPr>
          <w:jc w:val="center"/>
        </w:trPr>
        <w:tc>
          <w:tcPr>
            <w:tcW w:w="1638" w:type="dxa"/>
            <w:vAlign w:val="center"/>
          </w:tcPr>
          <w:p w14:paraId="5D57E2BB" w14:textId="2774762A" w:rsidR="00CA09B2" w:rsidRDefault="00FB65C0">
            <w:pPr>
              <w:pStyle w:val="T2"/>
              <w:spacing w:after="0"/>
              <w:ind w:left="0" w:right="0"/>
              <w:rPr>
                <w:b w:val="0"/>
                <w:sz w:val="20"/>
              </w:rPr>
            </w:pPr>
            <w:r>
              <w:rPr>
                <w:b w:val="0"/>
                <w:sz w:val="20"/>
              </w:rPr>
              <w:t>Solomon Trainin</w:t>
            </w:r>
          </w:p>
        </w:tc>
        <w:tc>
          <w:tcPr>
            <w:tcW w:w="1762" w:type="dxa"/>
            <w:vAlign w:val="center"/>
          </w:tcPr>
          <w:p w14:paraId="0FA215F3" w14:textId="1379790B" w:rsidR="00CA09B2" w:rsidRDefault="00FB65C0">
            <w:pPr>
              <w:pStyle w:val="T2"/>
              <w:spacing w:after="0"/>
              <w:ind w:left="0" w:right="0"/>
              <w:rPr>
                <w:b w:val="0"/>
                <w:sz w:val="20"/>
              </w:rPr>
            </w:pPr>
            <w:r>
              <w:rPr>
                <w:b w:val="0"/>
                <w:sz w:val="20"/>
              </w:rPr>
              <w:t>Qualcomm</w:t>
            </w:r>
          </w:p>
        </w:tc>
        <w:tc>
          <w:tcPr>
            <w:tcW w:w="2018" w:type="dxa"/>
            <w:vAlign w:val="center"/>
          </w:tcPr>
          <w:p w14:paraId="5830C1F9" w14:textId="77777777" w:rsidR="00CA09B2" w:rsidRDefault="00CA09B2">
            <w:pPr>
              <w:pStyle w:val="T2"/>
              <w:spacing w:after="0"/>
              <w:ind w:left="0" w:right="0"/>
              <w:rPr>
                <w:b w:val="0"/>
                <w:sz w:val="20"/>
              </w:rPr>
            </w:pPr>
          </w:p>
        </w:tc>
        <w:tc>
          <w:tcPr>
            <w:tcW w:w="1530" w:type="dxa"/>
            <w:vAlign w:val="center"/>
          </w:tcPr>
          <w:p w14:paraId="618E5E39" w14:textId="77777777" w:rsidR="00CA09B2" w:rsidRDefault="00CA09B2">
            <w:pPr>
              <w:pStyle w:val="T2"/>
              <w:spacing w:after="0"/>
              <w:ind w:left="0" w:right="0"/>
              <w:rPr>
                <w:b w:val="0"/>
                <w:sz w:val="20"/>
              </w:rPr>
            </w:pPr>
          </w:p>
        </w:tc>
        <w:tc>
          <w:tcPr>
            <w:tcW w:w="2628" w:type="dxa"/>
            <w:vAlign w:val="center"/>
          </w:tcPr>
          <w:p w14:paraId="2DC198B5" w14:textId="2BD15E49" w:rsidR="00CA09B2" w:rsidRPr="00FB65C0" w:rsidRDefault="00FB65C0">
            <w:pPr>
              <w:pStyle w:val="T2"/>
              <w:spacing w:after="0"/>
              <w:ind w:left="0" w:right="0"/>
              <w:rPr>
                <w:b w:val="0"/>
                <w:sz w:val="20"/>
              </w:rPr>
            </w:pPr>
            <w:r w:rsidRPr="00FB65C0">
              <w:rPr>
                <w:b w:val="0"/>
                <w:sz w:val="20"/>
              </w:rPr>
              <w:t>strainin@qti.qualcomm.com</w:t>
            </w:r>
          </w:p>
        </w:tc>
      </w:tr>
      <w:tr w:rsidR="00315F8D" w14:paraId="38F72A0E" w14:textId="77777777" w:rsidTr="002D077E">
        <w:trPr>
          <w:jc w:val="center"/>
        </w:trPr>
        <w:tc>
          <w:tcPr>
            <w:tcW w:w="1638" w:type="dxa"/>
            <w:vAlign w:val="center"/>
          </w:tcPr>
          <w:p w14:paraId="58C6BB8C" w14:textId="7FA0D445" w:rsidR="00315F8D" w:rsidRDefault="00315F8D" w:rsidP="00315F8D">
            <w:pPr>
              <w:pStyle w:val="T2"/>
              <w:spacing w:after="0"/>
              <w:ind w:left="0" w:right="0"/>
              <w:jc w:val="left"/>
              <w:rPr>
                <w:b w:val="0"/>
                <w:sz w:val="20"/>
              </w:rPr>
            </w:pPr>
            <w:r>
              <w:rPr>
                <w:b w:val="0"/>
                <w:sz w:val="20"/>
              </w:rPr>
              <w:t xml:space="preserve">Alecsander Eitan </w:t>
            </w:r>
          </w:p>
        </w:tc>
        <w:tc>
          <w:tcPr>
            <w:tcW w:w="1762" w:type="dxa"/>
            <w:vAlign w:val="center"/>
          </w:tcPr>
          <w:p w14:paraId="5B15CEF0" w14:textId="1878A6D6" w:rsidR="00315F8D" w:rsidRDefault="00315F8D">
            <w:pPr>
              <w:pStyle w:val="T2"/>
              <w:spacing w:after="0"/>
              <w:ind w:left="0" w:right="0"/>
              <w:rPr>
                <w:b w:val="0"/>
                <w:sz w:val="20"/>
              </w:rPr>
            </w:pPr>
            <w:r>
              <w:rPr>
                <w:b w:val="0"/>
                <w:sz w:val="20"/>
              </w:rPr>
              <w:t>Qualcomm</w:t>
            </w:r>
          </w:p>
        </w:tc>
        <w:tc>
          <w:tcPr>
            <w:tcW w:w="2018" w:type="dxa"/>
            <w:vAlign w:val="center"/>
          </w:tcPr>
          <w:p w14:paraId="6EB0A84C" w14:textId="77777777" w:rsidR="00315F8D" w:rsidRDefault="00315F8D">
            <w:pPr>
              <w:pStyle w:val="T2"/>
              <w:spacing w:after="0"/>
              <w:ind w:left="0" w:right="0"/>
              <w:rPr>
                <w:b w:val="0"/>
                <w:sz w:val="20"/>
              </w:rPr>
            </w:pPr>
          </w:p>
        </w:tc>
        <w:tc>
          <w:tcPr>
            <w:tcW w:w="1530" w:type="dxa"/>
            <w:vAlign w:val="center"/>
          </w:tcPr>
          <w:p w14:paraId="0A356705" w14:textId="77777777" w:rsidR="00315F8D" w:rsidRDefault="00315F8D">
            <w:pPr>
              <w:pStyle w:val="T2"/>
              <w:spacing w:after="0"/>
              <w:ind w:left="0" w:right="0"/>
              <w:rPr>
                <w:b w:val="0"/>
                <w:sz w:val="20"/>
              </w:rPr>
            </w:pPr>
          </w:p>
        </w:tc>
        <w:tc>
          <w:tcPr>
            <w:tcW w:w="2628" w:type="dxa"/>
            <w:vAlign w:val="center"/>
          </w:tcPr>
          <w:p w14:paraId="3DBDE496" w14:textId="7281779E" w:rsidR="00315F8D" w:rsidRPr="00FB65C0" w:rsidRDefault="00315F8D">
            <w:pPr>
              <w:pStyle w:val="T2"/>
              <w:spacing w:after="0"/>
              <w:ind w:left="0" w:right="0"/>
              <w:rPr>
                <w:b w:val="0"/>
                <w:sz w:val="20"/>
              </w:rPr>
            </w:pPr>
            <w:r>
              <w:rPr>
                <w:b w:val="0"/>
                <w:sz w:val="20"/>
              </w:rPr>
              <w:t>eitana@qti.qualcomm.com</w:t>
            </w:r>
          </w:p>
        </w:tc>
      </w:tr>
      <w:tr w:rsidR="00315F8D" w14:paraId="1216B9D5" w14:textId="77777777" w:rsidTr="002D077E">
        <w:trPr>
          <w:jc w:val="center"/>
        </w:trPr>
        <w:tc>
          <w:tcPr>
            <w:tcW w:w="1638" w:type="dxa"/>
            <w:vAlign w:val="center"/>
          </w:tcPr>
          <w:p w14:paraId="7DEAC025" w14:textId="37C6C02B" w:rsidR="00315F8D" w:rsidRDefault="00315F8D">
            <w:pPr>
              <w:pStyle w:val="T2"/>
              <w:spacing w:after="0"/>
              <w:ind w:left="0" w:right="0"/>
              <w:rPr>
                <w:b w:val="0"/>
                <w:sz w:val="20"/>
              </w:rPr>
            </w:pPr>
            <w:r>
              <w:rPr>
                <w:b w:val="0"/>
                <w:sz w:val="20"/>
              </w:rPr>
              <w:t>Assaf Kasher</w:t>
            </w:r>
          </w:p>
        </w:tc>
        <w:tc>
          <w:tcPr>
            <w:tcW w:w="1762" w:type="dxa"/>
            <w:vAlign w:val="center"/>
          </w:tcPr>
          <w:p w14:paraId="31DA407B" w14:textId="5E2AE500" w:rsidR="00315F8D" w:rsidRDefault="00315F8D">
            <w:pPr>
              <w:pStyle w:val="T2"/>
              <w:spacing w:after="0"/>
              <w:ind w:left="0" w:right="0"/>
              <w:rPr>
                <w:b w:val="0"/>
                <w:sz w:val="20"/>
              </w:rPr>
            </w:pPr>
            <w:r>
              <w:rPr>
                <w:b w:val="0"/>
                <w:sz w:val="20"/>
              </w:rPr>
              <w:t>Qualcomm</w:t>
            </w:r>
          </w:p>
        </w:tc>
        <w:tc>
          <w:tcPr>
            <w:tcW w:w="2018" w:type="dxa"/>
            <w:vAlign w:val="center"/>
          </w:tcPr>
          <w:p w14:paraId="1CE87E09" w14:textId="77777777" w:rsidR="00315F8D" w:rsidRDefault="00315F8D">
            <w:pPr>
              <w:pStyle w:val="T2"/>
              <w:spacing w:after="0"/>
              <w:ind w:left="0" w:right="0"/>
              <w:rPr>
                <w:b w:val="0"/>
                <w:sz w:val="20"/>
              </w:rPr>
            </w:pPr>
          </w:p>
        </w:tc>
        <w:tc>
          <w:tcPr>
            <w:tcW w:w="1530" w:type="dxa"/>
            <w:vAlign w:val="center"/>
          </w:tcPr>
          <w:p w14:paraId="1E37E076" w14:textId="77777777" w:rsidR="00315F8D" w:rsidRDefault="00315F8D">
            <w:pPr>
              <w:pStyle w:val="T2"/>
              <w:spacing w:after="0"/>
              <w:ind w:left="0" w:right="0"/>
              <w:rPr>
                <w:b w:val="0"/>
                <w:sz w:val="20"/>
              </w:rPr>
            </w:pPr>
          </w:p>
        </w:tc>
        <w:tc>
          <w:tcPr>
            <w:tcW w:w="2628" w:type="dxa"/>
            <w:vAlign w:val="center"/>
          </w:tcPr>
          <w:p w14:paraId="60AAC364" w14:textId="13A273D1" w:rsidR="00315F8D" w:rsidRPr="00FB65C0" w:rsidRDefault="00315F8D">
            <w:pPr>
              <w:pStyle w:val="T2"/>
              <w:spacing w:after="0"/>
              <w:ind w:left="0" w:right="0"/>
              <w:rPr>
                <w:b w:val="0"/>
                <w:sz w:val="20"/>
              </w:rPr>
            </w:pPr>
            <w:r>
              <w:rPr>
                <w:b w:val="0"/>
                <w:sz w:val="20"/>
              </w:rPr>
              <w:t>akasher@qti.qualcomm.com</w:t>
            </w:r>
          </w:p>
        </w:tc>
      </w:tr>
    </w:tbl>
    <w:p w14:paraId="1BFD9DF8" w14:textId="0CDCD6E4" w:rsidR="00CA09B2" w:rsidRDefault="00FB65C0">
      <w:pPr>
        <w:pStyle w:val="T1"/>
        <w:spacing w:after="120"/>
        <w:rPr>
          <w:sz w:val="22"/>
        </w:rPr>
      </w:pPr>
      <w:r>
        <w:rPr>
          <w:noProof/>
        </w:rPr>
        <mc:AlternateContent>
          <mc:Choice Requires="wps">
            <w:drawing>
              <wp:anchor distT="0" distB="0" distL="114300" distR="114300" simplePos="0" relativeHeight="251657728" behindDoc="0" locked="0" layoutInCell="0" allowOverlap="1" wp14:anchorId="7124C807" wp14:editId="71CAD1B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8C711" w14:textId="77777777" w:rsidR="0029020B" w:rsidRDefault="0029020B">
                            <w:pPr>
                              <w:pStyle w:val="T1"/>
                              <w:spacing w:after="120"/>
                            </w:pPr>
                            <w:r>
                              <w:t>Abstract</w:t>
                            </w:r>
                          </w:p>
                          <w:p w14:paraId="4F29DB20" w14:textId="38B0E380" w:rsidR="0029020B" w:rsidRDefault="002D077E">
                            <w:pPr>
                              <w:jc w:val="both"/>
                            </w:pPr>
                            <w:r>
                              <w:t>Resolution</w:t>
                            </w:r>
                            <w:r w:rsidR="00B90A37">
                              <w:t xml:space="preserve"> of </w:t>
                            </w:r>
                            <w:r>
                              <w:t>Annex AB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4C80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AE8C711" w14:textId="77777777" w:rsidR="0029020B" w:rsidRDefault="0029020B">
                      <w:pPr>
                        <w:pStyle w:val="T1"/>
                        <w:spacing w:after="120"/>
                      </w:pPr>
                      <w:r>
                        <w:t>Abstract</w:t>
                      </w:r>
                    </w:p>
                    <w:p w14:paraId="4F29DB20" w14:textId="38B0E380" w:rsidR="0029020B" w:rsidRDefault="002D077E">
                      <w:pPr>
                        <w:jc w:val="both"/>
                      </w:pPr>
                      <w:r>
                        <w:t>Resolution</w:t>
                      </w:r>
                      <w:r w:rsidR="00B90A37">
                        <w:t xml:space="preserve"> of </w:t>
                      </w:r>
                      <w:r>
                        <w:t>Annex AB CIDs</w:t>
                      </w:r>
                    </w:p>
                  </w:txbxContent>
                </v:textbox>
              </v:shape>
            </w:pict>
          </mc:Fallback>
        </mc:AlternateContent>
      </w:r>
    </w:p>
    <w:p w14:paraId="142EE8CB" w14:textId="77777777" w:rsidR="002D077E" w:rsidRDefault="00CA09B2" w:rsidP="00FB65C0">
      <w:r>
        <w:br w:type="page"/>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826"/>
        <w:gridCol w:w="644"/>
        <w:gridCol w:w="852"/>
        <w:gridCol w:w="5478"/>
        <w:gridCol w:w="1121"/>
        <w:gridCol w:w="1219"/>
      </w:tblGrid>
      <w:tr w:rsidR="004375C8" w:rsidRPr="004375C8" w14:paraId="0DF00B80" w14:textId="77777777" w:rsidTr="004375C8">
        <w:trPr>
          <w:trHeight w:val="440"/>
        </w:trPr>
        <w:tc>
          <w:tcPr>
            <w:tcW w:w="660" w:type="dxa"/>
            <w:shd w:val="clear" w:color="auto" w:fill="auto"/>
            <w:hideMark/>
          </w:tcPr>
          <w:p w14:paraId="34B59515" w14:textId="77777777" w:rsidR="002D077E" w:rsidRPr="002D077E" w:rsidRDefault="002D077E" w:rsidP="002D077E">
            <w:pPr>
              <w:rPr>
                <w:b/>
                <w:bCs/>
                <w:color w:val="000000"/>
                <w:szCs w:val="22"/>
                <w:lang w:val="en-US" w:bidi="he-IL"/>
              </w:rPr>
            </w:pPr>
            <w:r w:rsidRPr="002D077E">
              <w:rPr>
                <w:b/>
                <w:bCs/>
                <w:color w:val="000000"/>
                <w:szCs w:val="22"/>
                <w:lang w:val="en-US" w:bidi="he-IL"/>
              </w:rPr>
              <w:lastRenderedPageBreak/>
              <w:t>CID</w:t>
            </w:r>
          </w:p>
        </w:tc>
        <w:tc>
          <w:tcPr>
            <w:tcW w:w="826" w:type="dxa"/>
            <w:shd w:val="clear" w:color="auto" w:fill="auto"/>
            <w:hideMark/>
          </w:tcPr>
          <w:p w14:paraId="35250CD6" w14:textId="77777777" w:rsidR="002D077E" w:rsidRPr="002D077E" w:rsidRDefault="002D077E" w:rsidP="002D077E">
            <w:pPr>
              <w:rPr>
                <w:b/>
                <w:bCs/>
                <w:color w:val="000000"/>
                <w:szCs w:val="22"/>
                <w:lang w:val="en-US" w:bidi="he-IL"/>
              </w:rPr>
            </w:pPr>
            <w:r w:rsidRPr="002D077E">
              <w:rPr>
                <w:b/>
                <w:bCs/>
                <w:color w:val="000000"/>
                <w:szCs w:val="22"/>
                <w:lang w:val="en-US" w:bidi="he-IL"/>
              </w:rPr>
              <w:t>Page</w:t>
            </w:r>
          </w:p>
        </w:tc>
        <w:tc>
          <w:tcPr>
            <w:tcW w:w="644" w:type="dxa"/>
            <w:shd w:val="clear" w:color="auto" w:fill="auto"/>
            <w:hideMark/>
          </w:tcPr>
          <w:p w14:paraId="696A4F26" w14:textId="77777777" w:rsidR="002D077E" w:rsidRPr="002D077E" w:rsidRDefault="002D077E" w:rsidP="002D077E">
            <w:pPr>
              <w:rPr>
                <w:b/>
                <w:bCs/>
                <w:color w:val="000000"/>
                <w:szCs w:val="22"/>
                <w:lang w:val="en-US" w:bidi="he-IL"/>
              </w:rPr>
            </w:pPr>
            <w:r w:rsidRPr="002D077E">
              <w:rPr>
                <w:b/>
                <w:bCs/>
                <w:color w:val="000000"/>
                <w:szCs w:val="22"/>
                <w:lang w:val="en-US" w:bidi="he-IL"/>
              </w:rPr>
              <w:t>Line</w:t>
            </w:r>
          </w:p>
        </w:tc>
        <w:tc>
          <w:tcPr>
            <w:tcW w:w="852" w:type="dxa"/>
            <w:shd w:val="clear" w:color="auto" w:fill="auto"/>
            <w:hideMark/>
          </w:tcPr>
          <w:p w14:paraId="2E6B43BD" w14:textId="77777777" w:rsidR="002D077E" w:rsidRPr="002D077E" w:rsidRDefault="002D077E" w:rsidP="002D077E">
            <w:pPr>
              <w:rPr>
                <w:b/>
                <w:bCs/>
                <w:color w:val="000000"/>
                <w:szCs w:val="22"/>
                <w:lang w:val="en-US" w:bidi="he-IL"/>
              </w:rPr>
            </w:pPr>
            <w:r w:rsidRPr="002D077E">
              <w:rPr>
                <w:b/>
                <w:bCs/>
                <w:color w:val="000000"/>
                <w:szCs w:val="22"/>
                <w:lang w:val="en-US" w:bidi="he-IL"/>
              </w:rPr>
              <w:t>Clause</w:t>
            </w:r>
          </w:p>
        </w:tc>
        <w:tc>
          <w:tcPr>
            <w:tcW w:w="5478" w:type="dxa"/>
            <w:shd w:val="clear" w:color="auto" w:fill="auto"/>
            <w:hideMark/>
          </w:tcPr>
          <w:p w14:paraId="641288D1" w14:textId="77777777" w:rsidR="002D077E" w:rsidRPr="002D077E" w:rsidRDefault="002D077E" w:rsidP="002D077E">
            <w:pPr>
              <w:rPr>
                <w:b/>
                <w:bCs/>
                <w:color w:val="000000"/>
                <w:szCs w:val="22"/>
                <w:lang w:val="en-US" w:bidi="he-IL"/>
              </w:rPr>
            </w:pPr>
            <w:r w:rsidRPr="002D077E">
              <w:rPr>
                <w:b/>
                <w:bCs/>
                <w:color w:val="000000"/>
                <w:szCs w:val="22"/>
                <w:lang w:val="en-US" w:bidi="he-IL"/>
              </w:rPr>
              <w:t>Comment</w:t>
            </w:r>
          </w:p>
        </w:tc>
        <w:tc>
          <w:tcPr>
            <w:tcW w:w="1121" w:type="dxa"/>
            <w:shd w:val="clear" w:color="auto" w:fill="auto"/>
            <w:hideMark/>
          </w:tcPr>
          <w:p w14:paraId="3617ADFE" w14:textId="77777777" w:rsidR="002D077E" w:rsidRPr="002D077E" w:rsidRDefault="002D077E" w:rsidP="002D077E">
            <w:pPr>
              <w:rPr>
                <w:b/>
                <w:bCs/>
                <w:color w:val="000000"/>
                <w:szCs w:val="22"/>
                <w:lang w:val="en-US" w:bidi="he-IL"/>
              </w:rPr>
            </w:pPr>
            <w:r w:rsidRPr="002D077E">
              <w:rPr>
                <w:b/>
                <w:bCs/>
                <w:color w:val="000000"/>
                <w:szCs w:val="22"/>
                <w:lang w:val="en-US" w:bidi="he-IL"/>
              </w:rPr>
              <w:t>Proposed Change</w:t>
            </w:r>
          </w:p>
        </w:tc>
        <w:tc>
          <w:tcPr>
            <w:tcW w:w="1219" w:type="dxa"/>
            <w:shd w:val="clear" w:color="auto" w:fill="auto"/>
            <w:hideMark/>
          </w:tcPr>
          <w:p w14:paraId="457AAA9C" w14:textId="77777777" w:rsidR="002D077E" w:rsidRPr="002D077E" w:rsidRDefault="002D077E" w:rsidP="002D077E">
            <w:pPr>
              <w:rPr>
                <w:b/>
                <w:bCs/>
                <w:color w:val="000000"/>
                <w:szCs w:val="22"/>
                <w:lang w:val="en-US" w:bidi="he-IL"/>
              </w:rPr>
            </w:pPr>
            <w:r w:rsidRPr="002D077E">
              <w:rPr>
                <w:b/>
                <w:bCs/>
                <w:color w:val="000000"/>
                <w:szCs w:val="22"/>
                <w:lang w:val="en-US" w:bidi="he-IL"/>
              </w:rPr>
              <w:t>Resolution</w:t>
            </w:r>
          </w:p>
        </w:tc>
      </w:tr>
      <w:tr w:rsidR="004375C8" w:rsidRPr="004375C8" w14:paraId="6177B252" w14:textId="77777777" w:rsidTr="004375C8">
        <w:trPr>
          <w:trHeight w:val="2618"/>
        </w:trPr>
        <w:tc>
          <w:tcPr>
            <w:tcW w:w="660" w:type="dxa"/>
            <w:shd w:val="clear" w:color="auto" w:fill="auto"/>
            <w:hideMark/>
          </w:tcPr>
          <w:p w14:paraId="4CF5E565" w14:textId="77777777" w:rsidR="002D077E" w:rsidRPr="002D077E" w:rsidRDefault="002D077E" w:rsidP="002D077E">
            <w:pPr>
              <w:jc w:val="right"/>
              <w:rPr>
                <w:color w:val="000000"/>
                <w:sz w:val="20"/>
                <w:lang w:val="en-US" w:bidi="he-IL"/>
              </w:rPr>
            </w:pPr>
            <w:r w:rsidRPr="002D077E">
              <w:rPr>
                <w:color w:val="000000"/>
                <w:sz w:val="20"/>
                <w:lang w:val="en-US" w:bidi="he-IL"/>
              </w:rPr>
              <w:t>6102</w:t>
            </w:r>
          </w:p>
        </w:tc>
        <w:tc>
          <w:tcPr>
            <w:tcW w:w="826" w:type="dxa"/>
            <w:shd w:val="clear" w:color="auto" w:fill="auto"/>
            <w:hideMark/>
          </w:tcPr>
          <w:p w14:paraId="106E40DD" w14:textId="77777777" w:rsidR="002D077E" w:rsidRPr="002D077E" w:rsidRDefault="002D077E" w:rsidP="002D077E">
            <w:pPr>
              <w:jc w:val="right"/>
              <w:rPr>
                <w:color w:val="000000"/>
                <w:sz w:val="20"/>
                <w:lang w:val="en-US" w:bidi="he-IL"/>
              </w:rPr>
            </w:pPr>
            <w:r w:rsidRPr="002D077E">
              <w:rPr>
                <w:color w:val="000000"/>
                <w:sz w:val="20"/>
                <w:lang w:val="en-US" w:bidi="he-IL"/>
              </w:rPr>
              <w:t>787.00</w:t>
            </w:r>
          </w:p>
        </w:tc>
        <w:tc>
          <w:tcPr>
            <w:tcW w:w="644" w:type="dxa"/>
            <w:shd w:val="clear" w:color="auto" w:fill="auto"/>
            <w:hideMark/>
          </w:tcPr>
          <w:p w14:paraId="70BB2AB6" w14:textId="77777777" w:rsidR="002D077E" w:rsidRPr="002D077E" w:rsidRDefault="002D077E" w:rsidP="002D077E">
            <w:pPr>
              <w:rPr>
                <w:color w:val="000000"/>
                <w:sz w:val="20"/>
                <w:lang w:val="en-US" w:bidi="he-IL"/>
              </w:rPr>
            </w:pPr>
            <w:r w:rsidRPr="002D077E">
              <w:rPr>
                <w:color w:val="000000"/>
                <w:sz w:val="20"/>
                <w:lang w:val="en-US" w:bidi="he-IL"/>
              </w:rPr>
              <w:t>5</w:t>
            </w:r>
          </w:p>
        </w:tc>
        <w:tc>
          <w:tcPr>
            <w:tcW w:w="852" w:type="dxa"/>
            <w:shd w:val="clear" w:color="auto" w:fill="auto"/>
            <w:hideMark/>
          </w:tcPr>
          <w:p w14:paraId="57626C72" w14:textId="77777777" w:rsidR="002D077E" w:rsidRPr="002D077E" w:rsidRDefault="002D077E" w:rsidP="002D077E">
            <w:pPr>
              <w:rPr>
                <w:color w:val="000000"/>
                <w:sz w:val="20"/>
                <w:lang w:val="en-US" w:bidi="he-IL"/>
              </w:rPr>
            </w:pPr>
            <w:r w:rsidRPr="002D077E">
              <w:rPr>
                <w:color w:val="000000"/>
                <w:sz w:val="20"/>
                <w:lang w:val="en-US" w:bidi="he-IL"/>
              </w:rPr>
              <w:t>AB</w:t>
            </w:r>
          </w:p>
        </w:tc>
        <w:tc>
          <w:tcPr>
            <w:tcW w:w="5478" w:type="dxa"/>
            <w:shd w:val="clear" w:color="auto" w:fill="auto"/>
            <w:hideMark/>
          </w:tcPr>
          <w:p w14:paraId="75E733A4" w14:textId="584338FB" w:rsidR="002D077E" w:rsidRPr="002D077E" w:rsidRDefault="002D077E" w:rsidP="002D077E">
            <w:pPr>
              <w:rPr>
                <w:color w:val="000000"/>
                <w:sz w:val="20"/>
                <w:lang w:val="en-US" w:bidi="he-IL"/>
              </w:rPr>
            </w:pPr>
            <w:r w:rsidRPr="002D077E">
              <w:rPr>
                <w:color w:val="000000"/>
                <w:sz w:val="20"/>
                <w:lang w:val="en-US" w:bidi="he-IL"/>
              </w:rPr>
              <w:t>Annex AB</w:t>
            </w:r>
            <w:r w:rsidRPr="002D077E">
              <w:rPr>
                <w:color w:val="000000"/>
                <w:sz w:val="20"/>
                <w:lang w:val="en-US" w:bidi="he-IL"/>
              </w:rPr>
              <w:br/>
              <w:t xml:space="preserve">"The purpose of this annex is to show an example implementation of an extended wireless network formation using devices that implement DMG STA functionality" The term "extended wireless network" is not defined and not used in the spec. The "extended network" is used in conjunction with GLK, that the Annex AB does not mention.  The Annex AB is irrelevant to the normative part of the spec, does not provide any information that is useful for the features defined in the </w:t>
            </w:r>
            <w:proofErr w:type="gramStart"/>
            <w:r w:rsidRPr="002D077E">
              <w:rPr>
                <w:color w:val="000000"/>
                <w:sz w:val="20"/>
                <w:lang w:val="en-US" w:bidi="he-IL"/>
              </w:rPr>
              <w:t>spec,  contains</w:t>
            </w:r>
            <w:proofErr w:type="gramEnd"/>
            <w:r w:rsidRPr="002D077E">
              <w:rPr>
                <w:color w:val="000000"/>
                <w:sz w:val="20"/>
                <w:lang w:val="en-US" w:bidi="he-IL"/>
              </w:rPr>
              <w:t xml:space="preserve"> errors and misleading sentences. I propose to remove the Annex.</w:t>
            </w:r>
          </w:p>
        </w:tc>
        <w:tc>
          <w:tcPr>
            <w:tcW w:w="1121" w:type="dxa"/>
            <w:shd w:val="clear" w:color="auto" w:fill="auto"/>
            <w:hideMark/>
          </w:tcPr>
          <w:p w14:paraId="41B51FCD" w14:textId="77777777" w:rsidR="002D077E" w:rsidRPr="002D077E" w:rsidRDefault="002D077E" w:rsidP="002D077E">
            <w:pPr>
              <w:rPr>
                <w:color w:val="000000"/>
                <w:sz w:val="20"/>
                <w:lang w:val="en-US" w:bidi="he-IL"/>
              </w:rPr>
            </w:pPr>
            <w:r w:rsidRPr="002D077E">
              <w:rPr>
                <w:color w:val="000000"/>
                <w:sz w:val="20"/>
                <w:lang w:val="en-US" w:bidi="he-IL"/>
              </w:rPr>
              <w:t>Remove the annex</w:t>
            </w:r>
          </w:p>
        </w:tc>
        <w:tc>
          <w:tcPr>
            <w:tcW w:w="1219" w:type="dxa"/>
            <w:shd w:val="clear" w:color="auto" w:fill="auto"/>
            <w:hideMark/>
          </w:tcPr>
          <w:p w14:paraId="5C91D3D0" w14:textId="1223DB3C" w:rsidR="002D077E" w:rsidRPr="002D077E" w:rsidRDefault="00596EF2" w:rsidP="002D077E">
            <w:pPr>
              <w:rPr>
                <w:color w:val="000000"/>
                <w:sz w:val="20"/>
                <w:lang w:val="en-US" w:bidi="he-IL"/>
              </w:rPr>
            </w:pPr>
            <w:r w:rsidRPr="004375C8">
              <w:rPr>
                <w:color w:val="000000"/>
                <w:sz w:val="20"/>
                <w:lang w:val="en-US" w:bidi="he-IL"/>
              </w:rPr>
              <w:t>Accept</w:t>
            </w:r>
          </w:p>
        </w:tc>
      </w:tr>
      <w:tr w:rsidR="004375C8" w:rsidRPr="004375C8" w14:paraId="213F033B" w14:textId="77777777" w:rsidTr="004375C8">
        <w:trPr>
          <w:trHeight w:val="1799"/>
        </w:trPr>
        <w:tc>
          <w:tcPr>
            <w:tcW w:w="660" w:type="dxa"/>
            <w:shd w:val="clear" w:color="auto" w:fill="auto"/>
            <w:hideMark/>
          </w:tcPr>
          <w:p w14:paraId="4800D2DF" w14:textId="77777777" w:rsidR="002D077E" w:rsidRPr="002D077E" w:rsidRDefault="002D077E" w:rsidP="002D077E">
            <w:pPr>
              <w:jc w:val="right"/>
              <w:rPr>
                <w:color w:val="000000"/>
                <w:sz w:val="20"/>
                <w:lang w:val="en-US" w:bidi="he-IL"/>
              </w:rPr>
            </w:pPr>
            <w:r w:rsidRPr="002D077E">
              <w:rPr>
                <w:color w:val="000000"/>
                <w:sz w:val="20"/>
                <w:lang w:val="en-US" w:bidi="he-IL"/>
              </w:rPr>
              <w:t>6103</w:t>
            </w:r>
          </w:p>
        </w:tc>
        <w:tc>
          <w:tcPr>
            <w:tcW w:w="826" w:type="dxa"/>
            <w:shd w:val="clear" w:color="auto" w:fill="auto"/>
            <w:hideMark/>
          </w:tcPr>
          <w:p w14:paraId="62A6A21B" w14:textId="77777777" w:rsidR="002D077E" w:rsidRPr="002D077E" w:rsidRDefault="002D077E" w:rsidP="002D077E">
            <w:pPr>
              <w:jc w:val="right"/>
              <w:rPr>
                <w:color w:val="000000"/>
                <w:sz w:val="20"/>
                <w:lang w:val="en-US" w:bidi="he-IL"/>
              </w:rPr>
            </w:pPr>
            <w:r w:rsidRPr="002D077E">
              <w:rPr>
                <w:color w:val="000000"/>
                <w:sz w:val="20"/>
                <w:lang w:val="en-US" w:bidi="he-IL"/>
              </w:rPr>
              <w:t>787.00</w:t>
            </w:r>
          </w:p>
        </w:tc>
        <w:tc>
          <w:tcPr>
            <w:tcW w:w="644" w:type="dxa"/>
            <w:shd w:val="clear" w:color="auto" w:fill="auto"/>
            <w:hideMark/>
          </w:tcPr>
          <w:p w14:paraId="2DA5D1A2" w14:textId="77777777" w:rsidR="002D077E" w:rsidRPr="002D077E" w:rsidRDefault="002D077E" w:rsidP="002D077E">
            <w:pPr>
              <w:rPr>
                <w:color w:val="000000"/>
                <w:sz w:val="20"/>
                <w:lang w:val="en-US" w:bidi="he-IL"/>
              </w:rPr>
            </w:pPr>
            <w:r w:rsidRPr="002D077E">
              <w:rPr>
                <w:color w:val="000000"/>
                <w:sz w:val="20"/>
                <w:lang w:val="en-US" w:bidi="he-IL"/>
              </w:rPr>
              <w:t>7</w:t>
            </w:r>
          </w:p>
        </w:tc>
        <w:tc>
          <w:tcPr>
            <w:tcW w:w="852" w:type="dxa"/>
            <w:shd w:val="clear" w:color="auto" w:fill="auto"/>
            <w:hideMark/>
          </w:tcPr>
          <w:p w14:paraId="4D67F5F0" w14:textId="77777777" w:rsidR="002D077E" w:rsidRPr="002D077E" w:rsidRDefault="002D077E" w:rsidP="002D077E">
            <w:pPr>
              <w:rPr>
                <w:color w:val="000000"/>
                <w:sz w:val="20"/>
                <w:lang w:val="en-US" w:bidi="he-IL"/>
              </w:rPr>
            </w:pPr>
            <w:r w:rsidRPr="002D077E">
              <w:rPr>
                <w:color w:val="000000"/>
                <w:sz w:val="20"/>
                <w:lang w:val="en-US" w:bidi="he-IL"/>
              </w:rPr>
              <w:t>AB</w:t>
            </w:r>
          </w:p>
        </w:tc>
        <w:tc>
          <w:tcPr>
            <w:tcW w:w="5478" w:type="dxa"/>
            <w:shd w:val="clear" w:color="auto" w:fill="auto"/>
            <w:hideMark/>
          </w:tcPr>
          <w:p w14:paraId="2852D9F8" w14:textId="5D28B313" w:rsidR="002D077E" w:rsidRPr="002D077E" w:rsidRDefault="002D077E" w:rsidP="002D077E">
            <w:pPr>
              <w:rPr>
                <w:color w:val="000000"/>
                <w:sz w:val="20"/>
                <w:lang w:val="en-US" w:bidi="he-IL"/>
              </w:rPr>
            </w:pPr>
            <w:r w:rsidRPr="002D077E">
              <w:rPr>
                <w:color w:val="000000"/>
                <w:sz w:val="20"/>
                <w:lang w:val="en-US" w:bidi="he-IL"/>
              </w:rPr>
              <w:t>Annex AB</w:t>
            </w:r>
            <w:r w:rsidRPr="002D077E">
              <w:rPr>
                <w:color w:val="000000"/>
                <w:sz w:val="20"/>
                <w:lang w:val="en-US" w:bidi="he-IL"/>
              </w:rPr>
              <w:br/>
              <w:t xml:space="preserve">"The extended wireless network is intended to complement the </w:t>
            </w:r>
            <w:proofErr w:type="gramStart"/>
            <w:r w:rsidRPr="002D077E">
              <w:rPr>
                <w:color w:val="000000"/>
                <w:sz w:val="20"/>
                <w:lang w:val="en-US" w:bidi="he-IL"/>
              </w:rPr>
              <w:t>sometimes limited</w:t>
            </w:r>
            <w:proofErr w:type="gramEnd"/>
            <w:r w:rsidRPr="002D077E">
              <w:rPr>
                <w:color w:val="000000"/>
                <w:sz w:val="20"/>
                <w:lang w:val="en-US" w:bidi="he-IL"/>
              </w:rPr>
              <w:t xml:space="preserve"> signal range of a DMG STA" In any of the known WiFi networks the signal range is limited. The introduction does not provide any justification that solution different from the ESS is needed to provide the expected functionality</w:t>
            </w:r>
          </w:p>
        </w:tc>
        <w:tc>
          <w:tcPr>
            <w:tcW w:w="1121" w:type="dxa"/>
            <w:shd w:val="clear" w:color="auto" w:fill="auto"/>
            <w:hideMark/>
          </w:tcPr>
          <w:p w14:paraId="0D80DA82" w14:textId="77777777" w:rsidR="002D077E" w:rsidRPr="002D077E" w:rsidRDefault="002D077E" w:rsidP="002D077E">
            <w:pPr>
              <w:rPr>
                <w:color w:val="000000"/>
                <w:sz w:val="20"/>
                <w:lang w:val="en-US" w:bidi="he-IL"/>
              </w:rPr>
            </w:pPr>
            <w:r w:rsidRPr="002D077E">
              <w:rPr>
                <w:color w:val="000000"/>
                <w:sz w:val="20"/>
                <w:lang w:val="en-US" w:bidi="he-IL"/>
              </w:rPr>
              <w:t>Remove the annex</w:t>
            </w:r>
          </w:p>
        </w:tc>
        <w:tc>
          <w:tcPr>
            <w:tcW w:w="1219" w:type="dxa"/>
            <w:shd w:val="clear" w:color="auto" w:fill="auto"/>
            <w:hideMark/>
          </w:tcPr>
          <w:p w14:paraId="234B77C8" w14:textId="4584D591" w:rsidR="002D077E" w:rsidRPr="002D077E" w:rsidRDefault="00596EF2" w:rsidP="002D077E">
            <w:pPr>
              <w:rPr>
                <w:color w:val="000000"/>
                <w:sz w:val="20"/>
                <w:lang w:val="en-US" w:bidi="he-IL"/>
              </w:rPr>
            </w:pPr>
            <w:r w:rsidRPr="004375C8">
              <w:rPr>
                <w:color w:val="000000"/>
                <w:sz w:val="20"/>
                <w:lang w:val="en-US" w:bidi="he-IL"/>
              </w:rPr>
              <w:t>Accept</w:t>
            </w:r>
          </w:p>
        </w:tc>
      </w:tr>
      <w:tr w:rsidR="004375C8" w:rsidRPr="004375C8" w14:paraId="00CBD8E3" w14:textId="77777777" w:rsidTr="004375C8">
        <w:trPr>
          <w:trHeight w:val="3410"/>
        </w:trPr>
        <w:tc>
          <w:tcPr>
            <w:tcW w:w="660" w:type="dxa"/>
            <w:shd w:val="clear" w:color="auto" w:fill="auto"/>
            <w:hideMark/>
          </w:tcPr>
          <w:p w14:paraId="096BC488" w14:textId="77777777" w:rsidR="002D077E" w:rsidRPr="002D077E" w:rsidRDefault="002D077E" w:rsidP="002D077E">
            <w:pPr>
              <w:jc w:val="right"/>
              <w:rPr>
                <w:color w:val="000000"/>
                <w:sz w:val="20"/>
                <w:lang w:val="en-US" w:bidi="he-IL"/>
              </w:rPr>
            </w:pPr>
            <w:r w:rsidRPr="002D077E">
              <w:rPr>
                <w:color w:val="000000"/>
                <w:sz w:val="20"/>
                <w:lang w:val="en-US" w:bidi="he-IL"/>
              </w:rPr>
              <w:t>6104</w:t>
            </w:r>
          </w:p>
        </w:tc>
        <w:tc>
          <w:tcPr>
            <w:tcW w:w="826" w:type="dxa"/>
            <w:shd w:val="clear" w:color="auto" w:fill="auto"/>
            <w:hideMark/>
          </w:tcPr>
          <w:p w14:paraId="065F3D92" w14:textId="77777777" w:rsidR="002D077E" w:rsidRPr="002D077E" w:rsidRDefault="002D077E" w:rsidP="002D077E">
            <w:pPr>
              <w:jc w:val="right"/>
              <w:rPr>
                <w:color w:val="000000"/>
                <w:sz w:val="20"/>
                <w:lang w:val="en-US" w:bidi="he-IL"/>
              </w:rPr>
            </w:pPr>
            <w:r w:rsidRPr="002D077E">
              <w:rPr>
                <w:color w:val="000000"/>
                <w:sz w:val="20"/>
                <w:lang w:val="en-US" w:bidi="he-IL"/>
              </w:rPr>
              <w:t>787.00</w:t>
            </w:r>
          </w:p>
        </w:tc>
        <w:tc>
          <w:tcPr>
            <w:tcW w:w="644" w:type="dxa"/>
            <w:shd w:val="clear" w:color="auto" w:fill="auto"/>
            <w:hideMark/>
          </w:tcPr>
          <w:p w14:paraId="0EC9CB4E" w14:textId="77777777" w:rsidR="002D077E" w:rsidRPr="002D077E" w:rsidRDefault="002D077E" w:rsidP="002D077E">
            <w:pPr>
              <w:rPr>
                <w:color w:val="000000"/>
                <w:sz w:val="20"/>
                <w:lang w:val="en-US" w:bidi="he-IL"/>
              </w:rPr>
            </w:pPr>
            <w:r w:rsidRPr="002D077E">
              <w:rPr>
                <w:color w:val="000000"/>
                <w:sz w:val="20"/>
                <w:lang w:val="en-US" w:bidi="he-IL"/>
              </w:rPr>
              <w:t>11</w:t>
            </w:r>
          </w:p>
        </w:tc>
        <w:tc>
          <w:tcPr>
            <w:tcW w:w="852" w:type="dxa"/>
            <w:shd w:val="clear" w:color="auto" w:fill="auto"/>
            <w:hideMark/>
          </w:tcPr>
          <w:p w14:paraId="6E892AD4" w14:textId="77777777" w:rsidR="002D077E" w:rsidRPr="002D077E" w:rsidRDefault="002D077E" w:rsidP="002D077E">
            <w:pPr>
              <w:rPr>
                <w:color w:val="000000"/>
                <w:sz w:val="20"/>
                <w:lang w:val="en-US" w:bidi="he-IL"/>
              </w:rPr>
            </w:pPr>
            <w:r w:rsidRPr="002D077E">
              <w:rPr>
                <w:color w:val="000000"/>
                <w:sz w:val="20"/>
                <w:lang w:val="en-US" w:bidi="he-IL"/>
              </w:rPr>
              <w:t>AB</w:t>
            </w:r>
          </w:p>
        </w:tc>
        <w:tc>
          <w:tcPr>
            <w:tcW w:w="5478" w:type="dxa"/>
            <w:shd w:val="clear" w:color="auto" w:fill="auto"/>
            <w:hideMark/>
          </w:tcPr>
          <w:p w14:paraId="1F3CE966" w14:textId="734EF0EF" w:rsidR="002D077E" w:rsidRPr="002D077E" w:rsidRDefault="002D077E" w:rsidP="002D077E">
            <w:pPr>
              <w:rPr>
                <w:color w:val="000000"/>
                <w:sz w:val="20"/>
                <w:lang w:val="en-US" w:bidi="he-IL"/>
              </w:rPr>
            </w:pPr>
            <w:r w:rsidRPr="002D077E">
              <w:rPr>
                <w:color w:val="000000"/>
                <w:sz w:val="20"/>
                <w:lang w:val="en-US" w:bidi="he-IL"/>
              </w:rPr>
              <w:t>Annex AB</w:t>
            </w:r>
            <w:r w:rsidRPr="002D077E">
              <w:rPr>
                <w:color w:val="000000"/>
                <w:sz w:val="20"/>
                <w:lang w:val="en-US" w:bidi="he-IL"/>
              </w:rPr>
              <w:br/>
              <w:t xml:space="preserve">"The extended wireless network described in this annex is </w:t>
            </w:r>
            <w:proofErr w:type="gramStart"/>
            <w:r w:rsidRPr="002D077E">
              <w:rPr>
                <w:color w:val="000000"/>
                <w:sz w:val="20"/>
                <w:lang w:val="en-US" w:bidi="he-IL"/>
              </w:rPr>
              <w:t>similar to</w:t>
            </w:r>
            <w:proofErr w:type="gramEnd"/>
            <w:r w:rsidRPr="002D077E">
              <w:rPr>
                <w:color w:val="000000"/>
                <w:sz w:val="20"/>
                <w:lang w:val="en-US" w:bidi="he-IL"/>
              </w:rPr>
              <w:t xml:space="preserve"> a mesh network. However, DMG STAs are not mesh STAs and cannot form mesh BSS. This annex describes an alternative approach of extended wireless network formation utilizing multiple BSSs." It is completely unclear what is similarity and difference between the introduced network and the mesh network.  In no place, the spec is limited to adapt the mesh network to the DMG STA and vice versa. Unclear and not explained in the Annex why an alternative approach is needed and how it is different. From the other side the 802.11 spec provides means of multiple BSS interconnection by DS and ESS (Extended Service Set) that are applicable for the </w:t>
            </w:r>
            <w:proofErr w:type="gramStart"/>
            <w:r w:rsidRPr="002D077E">
              <w:rPr>
                <w:color w:val="000000"/>
                <w:sz w:val="20"/>
                <w:lang w:val="en-US" w:bidi="he-IL"/>
              </w:rPr>
              <w:t>DMG STA by definition</w:t>
            </w:r>
            <w:proofErr w:type="gramEnd"/>
            <w:r w:rsidRPr="002D077E">
              <w:rPr>
                <w:color w:val="000000"/>
                <w:sz w:val="20"/>
                <w:lang w:val="en-US" w:bidi="he-IL"/>
              </w:rPr>
              <w:t>. The referred sentence is misleading.</w:t>
            </w:r>
          </w:p>
        </w:tc>
        <w:tc>
          <w:tcPr>
            <w:tcW w:w="1121" w:type="dxa"/>
            <w:shd w:val="clear" w:color="auto" w:fill="auto"/>
            <w:hideMark/>
          </w:tcPr>
          <w:p w14:paraId="7ED2B48F" w14:textId="77777777" w:rsidR="002D077E" w:rsidRPr="002D077E" w:rsidRDefault="002D077E" w:rsidP="002D077E">
            <w:pPr>
              <w:rPr>
                <w:color w:val="000000"/>
                <w:sz w:val="20"/>
                <w:lang w:val="en-US" w:bidi="he-IL"/>
              </w:rPr>
            </w:pPr>
            <w:r w:rsidRPr="002D077E">
              <w:rPr>
                <w:color w:val="000000"/>
                <w:sz w:val="20"/>
                <w:lang w:val="en-US" w:bidi="he-IL"/>
              </w:rPr>
              <w:t>Remove the annex</w:t>
            </w:r>
          </w:p>
        </w:tc>
        <w:tc>
          <w:tcPr>
            <w:tcW w:w="1219" w:type="dxa"/>
            <w:shd w:val="clear" w:color="auto" w:fill="auto"/>
            <w:hideMark/>
          </w:tcPr>
          <w:p w14:paraId="7465CF3A" w14:textId="1402034E" w:rsidR="002D077E" w:rsidRPr="002D077E" w:rsidRDefault="00596EF2" w:rsidP="002D077E">
            <w:pPr>
              <w:rPr>
                <w:color w:val="000000"/>
                <w:sz w:val="20"/>
                <w:lang w:val="en-US" w:bidi="he-IL"/>
              </w:rPr>
            </w:pPr>
            <w:r w:rsidRPr="004375C8">
              <w:rPr>
                <w:color w:val="000000"/>
                <w:sz w:val="20"/>
                <w:lang w:val="en-US" w:bidi="he-IL"/>
              </w:rPr>
              <w:t>Accept</w:t>
            </w:r>
          </w:p>
        </w:tc>
      </w:tr>
      <w:tr w:rsidR="004375C8" w:rsidRPr="004375C8" w14:paraId="0A702E2E" w14:textId="77777777" w:rsidTr="004375C8">
        <w:trPr>
          <w:trHeight w:val="1250"/>
        </w:trPr>
        <w:tc>
          <w:tcPr>
            <w:tcW w:w="660" w:type="dxa"/>
            <w:shd w:val="clear" w:color="auto" w:fill="auto"/>
            <w:hideMark/>
          </w:tcPr>
          <w:p w14:paraId="274C36D6" w14:textId="77777777" w:rsidR="002D077E" w:rsidRPr="002D077E" w:rsidRDefault="002D077E" w:rsidP="002D077E">
            <w:pPr>
              <w:jc w:val="right"/>
              <w:rPr>
                <w:color w:val="000000"/>
                <w:sz w:val="20"/>
                <w:lang w:val="en-US" w:bidi="he-IL"/>
              </w:rPr>
            </w:pPr>
            <w:r w:rsidRPr="002D077E">
              <w:rPr>
                <w:color w:val="000000"/>
                <w:sz w:val="20"/>
                <w:lang w:val="en-US" w:bidi="he-IL"/>
              </w:rPr>
              <w:t>6105</w:t>
            </w:r>
          </w:p>
        </w:tc>
        <w:tc>
          <w:tcPr>
            <w:tcW w:w="826" w:type="dxa"/>
            <w:shd w:val="clear" w:color="auto" w:fill="auto"/>
            <w:hideMark/>
          </w:tcPr>
          <w:p w14:paraId="31E07654" w14:textId="77777777" w:rsidR="002D077E" w:rsidRPr="002D077E" w:rsidRDefault="002D077E" w:rsidP="002D077E">
            <w:pPr>
              <w:jc w:val="right"/>
              <w:rPr>
                <w:color w:val="000000"/>
                <w:sz w:val="20"/>
                <w:lang w:val="en-US" w:bidi="he-IL"/>
              </w:rPr>
            </w:pPr>
            <w:r w:rsidRPr="002D077E">
              <w:rPr>
                <w:color w:val="000000"/>
                <w:sz w:val="20"/>
                <w:lang w:val="en-US" w:bidi="he-IL"/>
              </w:rPr>
              <w:t>787.00</w:t>
            </w:r>
          </w:p>
        </w:tc>
        <w:tc>
          <w:tcPr>
            <w:tcW w:w="644" w:type="dxa"/>
            <w:shd w:val="clear" w:color="auto" w:fill="auto"/>
            <w:hideMark/>
          </w:tcPr>
          <w:p w14:paraId="0B28378B" w14:textId="77777777" w:rsidR="002D077E" w:rsidRPr="002D077E" w:rsidRDefault="002D077E" w:rsidP="002D077E">
            <w:pPr>
              <w:rPr>
                <w:color w:val="000000"/>
                <w:sz w:val="20"/>
                <w:lang w:val="en-US" w:bidi="he-IL"/>
              </w:rPr>
            </w:pPr>
            <w:r w:rsidRPr="002D077E">
              <w:rPr>
                <w:color w:val="000000"/>
                <w:sz w:val="20"/>
                <w:lang w:val="en-US" w:bidi="he-IL"/>
              </w:rPr>
              <w:t>14</w:t>
            </w:r>
          </w:p>
        </w:tc>
        <w:tc>
          <w:tcPr>
            <w:tcW w:w="852" w:type="dxa"/>
            <w:shd w:val="clear" w:color="auto" w:fill="auto"/>
            <w:hideMark/>
          </w:tcPr>
          <w:p w14:paraId="20E7821D" w14:textId="77777777" w:rsidR="002D077E" w:rsidRPr="002D077E" w:rsidRDefault="002D077E" w:rsidP="002D077E">
            <w:pPr>
              <w:rPr>
                <w:color w:val="000000"/>
                <w:sz w:val="20"/>
                <w:lang w:val="en-US" w:bidi="he-IL"/>
              </w:rPr>
            </w:pPr>
            <w:r w:rsidRPr="002D077E">
              <w:rPr>
                <w:color w:val="000000"/>
                <w:sz w:val="20"/>
                <w:lang w:val="en-US" w:bidi="he-IL"/>
              </w:rPr>
              <w:t>AB</w:t>
            </w:r>
          </w:p>
        </w:tc>
        <w:tc>
          <w:tcPr>
            <w:tcW w:w="5478" w:type="dxa"/>
            <w:shd w:val="clear" w:color="auto" w:fill="auto"/>
            <w:hideMark/>
          </w:tcPr>
          <w:p w14:paraId="6C774D9D" w14:textId="42957AAE" w:rsidR="002D077E" w:rsidRPr="002D077E" w:rsidRDefault="002D077E" w:rsidP="002D077E">
            <w:pPr>
              <w:rPr>
                <w:color w:val="000000"/>
                <w:sz w:val="20"/>
                <w:lang w:val="en-US" w:bidi="he-IL"/>
              </w:rPr>
            </w:pPr>
            <w:r w:rsidRPr="002D077E">
              <w:rPr>
                <w:color w:val="000000"/>
                <w:sz w:val="20"/>
                <w:lang w:val="en-US" w:bidi="he-IL"/>
              </w:rPr>
              <w:t>Annex AB</w:t>
            </w:r>
            <w:r w:rsidRPr="002D077E">
              <w:rPr>
                <w:color w:val="000000"/>
                <w:sz w:val="20"/>
                <w:lang w:val="en-US" w:bidi="he-IL"/>
              </w:rPr>
              <w:br/>
              <w:t>"Figure AB1 shows an example of an extended wireless network formation by devices that implement DMG STA functionality." There is no explanation of the Figure AB1 that makes the figure useless.</w:t>
            </w:r>
          </w:p>
        </w:tc>
        <w:tc>
          <w:tcPr>
            <w:tcW w:w="1121" w:type="dxa"/>
            <w:shd w:val="clear" w:color="auto" w:fill="auto"/>
            <w:hideMark/>
          </w:tcPr>
          <w:p w14:paraId="37E975A3" w14:textId="77777777" w:rsidR="002D077E" w:rsidRPr="002D077E" w:rsidRDefault="002D077E" w:rsidP="002D077E">
            <w:pPr>
              <w:rPr>
                <w:color w:val="000000"/>
                <w:sz w:val="20"/>
                <w:lang w:val="en-US" w:bidi="he-IL"/>
              </w:rPr>
            </w:pPr>
            <w:r w:rsidRPr="002D077E">
              <w:rPr>
                <w:color w:val="000000"/>
                <w:sz w:val="20"/>
                <w:lang w:val="en-US" w:bidi="he-IL"/>
              </w:rPr>
              <w:t>Remove the annex</w:t>
            </w:r>
          </w:p>
        </w:tc>
        <w:tc>
          <w:tcPr>
            <w:tcW w:w="1219" w:type="dxa"/>
            <w:shd w:val="clear" w:color="auto" w:fill="auto"/>
            <w:hideMark/>
          </w:tcPr>
          <w:p w14:paraId="1252B82C" w14:textId="2C4582D5" w:rsidR="002D077E" w:rsidRPr="002D077E" w:rsidRDefault="00596EF2" w:rsidP="002D077E">
            <w:pPr>
              <w:rPr>
                <w:color w:val="000000"/>
                <w:sz w:val="20"/>
                <w:lang w:val="en-US" w:bidi="he-IL"/>
              </w:rPr>
            </w:pPr>
            <w:r w:rsidRPr="004375C8">
              <w:rPr>
                <w:color w:val="000000"/>
                <w:sz w:val="20"/>
                <w:lang w:val="en-US" w:bidi="he-IL"/>
              </w:rPr>
              <w:t>Accept</w:t>
            </w:r>
          </w:p>
        </w:tc>
      </w:tr>
      <w:tr w:rsidR="004375C8" w:rsidRPr="004375C8" w14:paraId="5666FEBA" w14:textId="77777777" w:rsidTr="004375C8">
        <w:trPr>
          <w:trHeight w:val="1790"/>
        </w:trPr>
        <w:tc>
          <w:tcPr>
            <w:tcW w:w="660" w:type="dxa"/>
            <w:shd w:val="clear" w:color="auto" w:fill="auto"/>
            <w:hideMark/>
          </w:tcPr>
          <w:p w14:paraId="0CA8450D" w14:textId="77777777" w:rsidR="002D077E" w:rsidRPr="002D077E" w:rsidRDefault="002D077E" w:rsidP="002D077E">
            <w:pPr>
              <w:jc w:val="right"/>
              <w:rPr>
                <w:color w:val="000000"/>
                <w:sz w:val="20"/>
                <w:lang w:val="en-US" w:bidi="he-IL"/>
              </w:rPr>
            </w:pPr>
            <w:r w:rsidRPr="002D077E">
              <w:rPr>
                <w:color w:val="000000"/>
                <w:sz w:val="20"/>
                <w:lang w:val="en-US" w:bidi="he-IL"/>
              </w:rPr>
              <w:t>6106</w:t>
            </w:r>
          </w:p>
        </w:tc>
        <w:tc>
          <w:tcPr>
            <w:tcW w:w="826" w:type="dxa"/>
            <w:shd w:val="clear" w:color="auto" w:fill="auto"/>
            <w:hideMark/>
          </w:tcPr>
          <w:p w14:paraId="2E6DA8E3" w14:textId="77777777" w:rsidR="002D077E" w:rsidRPr="002D077E" w:rsidRDefault="002D077E" w:rsidP="002D077E">
            <w:pPr>
              <w:jc w:val="right"/>
              <w:rPr>
                <w:color w:val="000000"/>
                <w:sz w:val="20"/>
                <w:lang w:val="en-US" w:bidi="he-IL"/>
              </w:rPr>
            </w:pPr>
            <w:r w:rsidRPr="002D077E">
              <w:rPr>
                <w:color w:val="000000"/>
                <w:sz w:val="20"/>
                <w:lang w:val="en-US" w:bidi="he-IL"/>
              </w:rPr>
              <w:t>787.00</w:t>
            </w:r>
          </w:p>
        </w:tc>
        <w:tc>
          <w:tcPr>
            <w:tcW w:w="644" w:type="dxa"/>
            <w:shd w:val="clear" w:color="auto" w:fill="auto"/>
            <w:hideMark/>
          </w:tcPr>
          <w:p w14:paraId="3FF4E9E7" w14:textId="77777777" w:rsidR="002D077E" w:rsidRPr="002D077E" w:rsidRDefault="002D077E" w:rsidP="002D077E">
            <w:pPr>
              <w:rPr>
                <w:color w:val="000000"/>
                <w:sz w:val="20"/>
                <w:lang w:val="en-US" w:bidi="he-IL"/>
              </w:rPr>
            </w:pPr>
            <w:r w:rsidRPr="002D077E">
              <w:rPr>
                <w:color w:val="000000"/>
                <w:sz w:val="20"/>
                <w:lang w:val="en-US" w:bidi="he-IL"/>
              </w:rPr>
              <w:t>20</w:t>
            </w:r>
          </w:p>
        </w:tc>
        <w:tc>
          <w:tcPr>
            <w:tcW w:w="852" w:type="dxa"/>
            <w:shd w:val="clear" w:color="auto" w:fill="auto"/>
            <w:hideMark/>
          </w:tcPr>
          <w:p w14:paraId="31BE09CD" w14:textId="77777777" w:rsidR="002D077E" w:rsidRPr="002D077E" w:rsidRDefault="002D077E" w:rsidP="002D077E">
            <w:pPr>
              <w:rPr>
                <w:color w:val="000000"/>
                <w:sz w:val="20"/>
                <w:lang w:val="en-US" w:bidi="he-IL"/>
              </w:rPr>
            </w:pPr>
            <w:r w:rsidRPr="002D077E">
              <w:rPr>
                <w:color w:val="000000"/>
                <w:sz w:val="20"/>
                <w:lang w:val="en-US" w:bidi="he-IL"/>
              </w:rPr>
              <w:t>AB</w:t>
            </w:r>
          </w:p>
        </w:tc>
        <w:tc>
          <w:tcPr>
            <w:tcW w:w="5478" w:type="dxa"/>
            <w:shd w:val="clear" w:color="auto" w:fill="auto"/>
            <w:hideMark/>
          </w:tcPr>
          <w:p w14:paraId="628AD0DE" w14:textId="77777777" w:rsidR="002D077E" w:rsidRPr="002D077E" w:rsidRDefault="002D077E" w:rsidP="002D077E">
            <w:pPr>
              <w:rPr>
                <w:color w:val="000000"/>
                <w:sz w:val="20"/>
                <w:lang w:val="en-US" w:bidi="he-IL"/>
              </w:rPr>
            </w:pPr>
            <w:r w:rsidRPr="002D077E">
              <w:rPr>
                <w:color w:val="000000"/>
                <w:sz w:val="20"/>
                <w:lang w:val="en-US" w:bidi="he-IL"/>
              </w:rPr>
              <w:t>"AB.2 Layer 3 network consists of multiple BSSs" The sentence wrongfully mixes different layers. The most popular L3 network is IP network built around routers. Below IP, the architecture allows for arbitrarily many different network technologies, ranging from Ethernet to wireless to single point-to-point links. The L3 network does not need and is not aware of the BSS and vice versa.</w:t>
            </w:r>
          </w:p>
        </w:tc>
        <w:tc>
          <w:tcPr>
            <w:tcW w:w="1121" w:type="dxa"/>
            <w:shd w:val="clear" w:color="auto" w:fill="auto"/>
            <w:hideMark/>
          </w:tcPr>
          <w:p w14:paraId="027BB4DC" w14:textId="77777777" w:rsidR="002D077E" w:rsidRPr="002D077E" w:rsidRDefault="002D077E" w:rsidP="002D077E">
            <w:pPr>
              <w:rPr>
                <w:color w:val="000000"/>
                <w:sz w:val="20"/>
                <w:lang w:val="en-US" w:bidi="he-IL"/>
              </w:rPr>
            </w:pPr>
            <w:r w:rsidRPr="002D077E">
              <w:rPr>
                <w:color w:val="000000"/>
                <w:sz w:val="20"/>
                <w:lang w:val="en-US" w:bidi="he-IL"/>
              </w:rPr>
              <w:t>Remove the annex</w:t>
            </w:r>
          </w:p>
        </w:tc>
        <w:tc>
          <w:tcPr>
            <w:tcW w:w="1219" w:type="dxa"/>
            <w:shd w:val="clear" w:color="auto" w:fill="auto"/>
            <w:hideMark/>
          </w:tcPr>
          <w:p w14:paraId="5ED61816" w14:textId="01B8E167" w:rsidR="002D077E" w:rsidRPr="002D077E" w:rsidRDefault="00596EF2" w:rsidP="002D077E">
            <w:pPr>
              <w:rPr>
                <w:color w:val="000000"/>
                <w:sz w:val="20"/>
                <w:lang w:val="en-US" w:bidi="he-IL"/>
              </w:rPr>
            </w:pPr>
            <w:r w:rsidRPr="004375C8">
              <w:rPr>
                <w:color w:val="000000"/>
                <w:sz w:val="20"/>
                <w:lang w:val="en-US" w:bidi="he-IL"/>
              </w:rPr>
              <w:t>Accept</w:t>
            </w:r>
          </w:p>
        </w:tc>
      </w:tr>
      <w:tr w:rsidR="004375C8" w:rsidRPr="004375C8" w14:paraId="450F7005" w14:textId="77777777" w:rsidTr="004375C8">
        <w:trPr>
          <w:trHeight w:val="1250"/>
        </w:trPr>
        <w:tc>
          <w:tcPr>
            <w:tcW w:w="660" w:type="dxa"/>
            <w:shd w:val="clear" w:color="auto" w:fill="auto"/>
            <w:hideMark/>
          </w:tcPr>
          <w:p w14:paraId="48470448" w14:textId="77777777" w:rsidR="002D077E" w:rsidRPr="002D077E" w:rsidRDefault="002D077E" w:rsidP="002D077E">
            <w:pPr>
              <w:jc w:val="right"/>
              <w:rPr>
                <w:color w:val="000000"/>
                <w:sz w:val="20"/>
                <w:lang w:val="en-US" w:bidi="he-IL"/>
              </w:rPr>
            </w:pPr>
            <w:r w:rsidRPr="002D077E">
              <w:rPr>
                <w:color w:val="000000"/>
                <w:sz w:val="20"/>
                <w:lang w:val="en-US" w:bidi="he-IL"/>
              </w:rPr>
              <w:t>6107</w:t>
            </w:r>
          </w:p>
        </w:tc>
        <w:tc>
          <w:tcPr>
            <w:tcW w:w="826" w:type="dxa"/>
            <w:shd w:val="clear" w:color="auto" w:fill="auto"/>
            <w:hideMark/>
          </w:tcPr>
          <w:p w14:paraId="677C0868" w14:textId="77777777" w:rsidR="002D077E" w:rsidRPr="002D077E" w:rsidRDefault="002D077E" w:rsidP="002D077E">
            <w:pPr>
              <w:jc w:val="right"/>
              <w:rPr>
                <w:color w:val="000000"/>
                <w:sz w:val="20"/>
                <w:lang w:val="en-US" w:bidi="he-IL"/>
              </w:rPr>
            </w:pPr>
            <w:r w:rsidRPr="002D077E">
              <w:rPr>
                <w:color w:val="000000"/>
                <w:sz w:val="20"/>
                <w:lang w:val="en-US" w:bidi="he-IL"/>
              </w:rPr>
              <w:t>787.00</w:t>
            </w:r>
          </w:p>
        </w:tc>
        <w:tc>
          <w:tcPr>
            <w:tcW w:w="644" w:type="dxa"/>
            <w:shd w:val="clear" w:color="auto" w:fill="auto"/>
            <w:hideMark/>
          </w:tcPr>
          <w:p w14:paraId="1C5B7E36" w14:textId="77777777" w:rsidR="002D077E" w:rsidRPr="002D077E" w:rsidRDefault="002D077E" w:rsidP="002D077E">
            <w:pPr>
              <w:rPr>
                <w:color w:val="000000"/>
                <w:sz w:val="20"/>
                <w:lang w:val="en-US" w:bidi="he-IL"/>
              </w:rPr>
            </w:pPr>
            <w:r w:rsidRPr="002D077E">
              <w:rPr>
                <w:color w:val="000000"/>
                <w:sz w:val="20"/>
                <w:lang w:val="en-US" w:bidi="he-IL"/>
              </w:rPr>
              <w:t>21</w:t>
            </w:r>
          </w:p>
        </w:tc>
        <w:tc>
          <w:tcPr>
            <w:tcW w:w="852" w:type="dxa"/>
            <w:shd w:val="clear" w:color="auto" w:fill="auto"/>
            <w:hideMark/>
          </w:tcPr>
          <w:p w14:paraId="7D059DD4" w14:textId="77777777" w:rsidR="002D077E" w:rsidRPr="002D077E" w:rsidRDefault="002D077E" w:rsidP="002D077E">
            <w:pPr>
              <w:rPr>
                <w:color w:val="000000"/>
                <w:sz w:val="20"/>
                <w:lang w:val="en-US" w:bidi="he-IL"/>
              </w:rPr>
            </w:pPr>
            <w:r w:rsidRPr="002D077E">
              <w:rPr>
                <w:color w:val="000000"/>
                <w:sz w:val="20"/>
                <w:lang w:val="en-US" w:bidi="he-IL"/>
              </w:rPr>
              <w:t>AB</w:t>
            </w:r>
          </w:p>
        </w:tc>
        <w:tc>
          <w:tcPr>
            <w:tcW w:w="5478" w:type="dxa"/>
            <w:shd w:val="clear" w:color="auto" w:fill="auto"/>
            <w:hideMark/>
          </w:tcPr>
          <w:p w14:paraId="1B1FAFFC" w14:textId="77777777" w:rsidR="002D077E" w:rsidRPr="004375C8" w:rsidRDefault="002D077E" w:rsidP="002D077E">
            <w:pPr>
              <w:rPr>
                <w:color w:val="000000"/>
                <w:sz w:val="20"/>
                <w:lang w:val="en-US" w:bidi="he-IL"/>
              </w:rPr>
            </w:pPr>
            <w:r w:rsidRPr="002D077E">
              <w:rPr>
                <w:color w:val="000000"/>
                <w:sz w:val="20"/>
                <w:lang w:val="en-US" w:bidi="he-IL"/>
              </w:rPr>
              <w:t>Annex AB</w:t>
            </w:r>
          </w:p>
          <w:p w14:paraId="5B84C167" w14:textId="100496F3" w:rsidR="002D077E" w:rsidRPr="002D077E" w:rsidRDefault="002D077E" w:rsidP="002D077E">
            <w:pPr>
              <w:rPr>
                <w:color w:val="000000"/>
                <w:sz w:val="20"/>
                <w:lang w:val="en-US" w:bidi="he-IL"/>
              </w:rPr>
            </w:pPr>
            <w:r w:rsidRPr="002D077E">
              <w:rPr>
                <w:color w:val="000000"/>
                <w:sz w:val="20"/>
                <w:lang w:val="en-US" w:bidi="he-IL"/>
              </w:rPr>
              <w:t>"DMG STAs can form either an infrastructure BSS or a PBSS." It is not true - the DMG STAs can participate in the IBSS as well. The DMG STAs establish infrastructure BSS and IBSS same as non-DMG STAs.</w:t>
            </w:r>
          </w:p>
        </w:tc>
        <w:tc>
          <w:tcPr>
            <w:tcW w:w="1121" w:type="dxa"/>
            <w:shd w:val="clear" w:color="auto" w:fill="auto"/>
            <w:hideMark/>
          </w:tcPr>
          <w:p w14:paraId="0EFC8222" w14:textId="77777777" w:rsidR="002D077E" w:rsidRPr="002D077E" w:rsidRDefault="002D077E" w:rsidP="002D077E">
            <w:pPr>
              <w:rPr>
                <w:color w:val="000000"/>
                <w:sz w:val="20"/>
                <w:lang w:val="en-US" w:bidi="he-IL"/>
              </w:rPr>
            </w:pPr>
            <w:r w:rsidRPr="002D077E">
              <w:rPr>
                <w:color w:val="000000"/>
                <w:sz w:val="20"/>
                <w:lang w:val="en-US" w:bidi="he-IL"/>
              </w:rPr>
              <w:t>Remove the annex</w:t>
            </w:r>
          </w:p>
        </w:tc>
        <w:tc>
          <w:tcPr>
            <w:tcW w:w="1219" w:type="dxa"/>
            <w:shd w:val="clear" w:color="auto" w:fill="auto"/>
            <w:hideMark/>
          </w:tcPr>
          <w:p w14:paraId="0819138B" w14:textId="2CABCC7D" w:rsidR="002D077E" w:rsidRPr="002D077E" w:rsidRDefault="00596EF2" w:rsidP="002D077E">
            <w:pPr>
              <w:rPr>
                <w:color w:val="000000"/>
                <w:sz w:val="20"/>
                <w:lang w:val="en-US" w:bidi="he-IL"/>
              </w:rPr>
            </w:pPr>
            <w:r w:rsidRPr="004375C8">
              <w:rPr>
                <w:color w:val="000000"/>
                <w:sz w:val="20"/>
                <w:lang w:val="en-US" w:bidi="he-IL"/>
              </w:rPr>
              <w:t>Accept</w:t>
            </w:r>
          </w:p>
        </w:tc>
      </w:tr>
      <w:tr w:rsidR="004375C8" w:rsidRPr="004375C8" w14:paraId="3B6D7B19" w14:textId="77777777" w:rsidTr="004375C8">
        <w:trPr>
          <w:trHeight w:val="4040"/>
        </w:trPr>
        <w:tc>
          <w:tcPr>
            <w:tcW w:w="660" w:type="dxa"/>
            <w:shd w:val="clear" w:color="auto" w:fill="auto"/>
            <w:hideMark/>
          </w:tcPr>
          <w:p w14:paraId="7C495651" w14:textId="77777777" w:rsidR="002D077E" w:rsidRPr="002D077E" w:rsidRDefault="002D077E" w:rsidP="002D077E">
            <w:pPr>
              <w:jc w:val="right"/>
              <w:rPr>
                <w:color w:val="000000"/>
                <w:sz w:val="20"/>
                <w:lang w:val="en-US" w:bidi="he-IL"/>
              </w:rPr>
            </w:pPr>
            <w:r w:rsidRPr="002D077E">
              <w:rPr>
                <w:color w:val="000000"/>
                <w:sz w:val="20"/>
                <w:lang w:val="en-US" w:bidi="he-IL"/>
              </w:rPr>
              <w:lastRenderedPageBreak/>
              <w:t>6108</w:t>
            </w:r>
          </w:p>
        </w:tc>
        <w:tc>
          <w:tcPr>
            <w:tcW w:w="826" w:type="dxa"/>
            <w:shd w:val="clear" w:color="auto" w:fill="auto"/>
            <w:hideMark/>
          </w:tcPr>
          <w:p w14:paraId="24814DD9" w14:textId="77777777" w:rsidR="002D077E" w:rsidRPr="002D077E" w:rsidRDefault="002D077E" w:rsidP="002D077E">
            <w:pPr>
              <w:jc w:val="right"/>
              <w:rPr>
                <w:color w:val="000000"/>
                <w:sz w:val="20"/>
                <w:lang w:val="en-US" w:bidi="he-IL"/>
              </w:rPr>
            </w:pPr>
            <w:r w:rsidRPr="002D077E">
              <w:rPr>
                <w:color w:val="000000"/>
                <w:sz w:val="20"/>
                <w:lang w:val="en-US" w:bidi="he-IL"/>
              </w:rPr>
              <w:t>787.00</w:t>
            </w:r>
          </w:p>
        </w:tc>
        <w:tc>
          <w:tcPr>
            <w:tcW w:w="644" w:type="dxa"/>
            <w:shd w:val="clear" w:color="auto" w:fill="auto"/>
            <w:hideMark/>
          </w:tcPr>
          <w:p w14:paraId="0F945161" w14:textId="77777777" w:rsidR="002D077E" w:rsidRPr="002D077E" w:rsidRDefault="002D077E" w:rsidP="002D077E">
            <w:pPr>
              <w:rPr>
                <w:color w:val="000000"/>
                <w:sz w:val="20"/>
                <w:lang w:val="en-US" w:bidi="he-IL"/>
              </w:rPr>
            </w:pPr>
            <w:r w:rsidRPr="002D077E">
              <w:rPr>
                <w:color w:val="000000"/>
                <w:sz w:val="20"/>
                <w:lang w:val="en-US" w:bidi="he-IL"/>
              </w:rPr>
              <w:t>22</w:t>
            </w:r>
          </w:p>
        </w:tc>
        <w:tc>
          <w:tcPr>
            <w:tcW w:w="852" w:type="dxa"/>
            <w:shd w:val="clear" w:color="auto" w:fill="auto"/>
            <w:hideMark/>
          </w:tcPr>
          <w:p w14:paraId="4802BE05" w14:textId="77777777" w:rsidR="002D077E" w:rsidRPr="002D077E" w:rsidRDefault="002D077E" w:rsidP="002D077E">
            <w:pPr>
              <w:rPr>
                <w:color w:val="000000"/>
                <w:sz w:val="20"/>
                <w:lang w:val="en-US" w:bidi="he-IL"/>
              </w:rPr>
            </w:pPr>
            <w:r w:rsidRPr="002D077E">
              <w:rPr>
                <w:color w:val="000000"/>
                <w:sz w:val="20"/>
                <w:lang w:val="en-US" w:bidi="he-IL"/>
              </w:rPr>
              <w:t>AB</w:t>
            </w:r>
          </w:p>
        </w:tc>
        <w:tc>
          <w:tcPr>
            <w:tcW w:w="5478" w:type="dxa"/>
            <w:shd w:val="clear" w:color="auto" w:fill="auto"/>
            <w:hideMark/>
          </w:tcPr>
          <w:p w14:paraId="2C40A01B" w14:textId="29AF29DE" w:rsidR="002D077E" w:rsidRPr="002D077E" w:rsidRDefault="002D077E" w:rsidP="002D077E">
            <w:pPr>
              <w:rPr>
                <w:color w:val="000000"/>
                <w:sz w:val="20"/>
                <w:lang w:val="en-US" w:bidi="he-IL"/>
              </w:rPr>
            </w:pPr>
            <w:r w:rsidRPr="002D077E">
              <w:rPr>
                <w:color w:val="000000"/>
                <w:sz w:val="20"/>
                <w:lang w:val="en-US" w:bidi="he-IL"/>
              </w:rPr>
              <w:t>Annex AB</w:t>
            </w:r>
            <w:r w:rsidRPr="002D077E">
              <w:rPr>
                <w:color w:val="000000"/>
                <w:sz w:val="20"/>
                <w:lang w:val="en-US" w:bidi="he-IL"/>
              </w:rPr>
              <w:br/>
              <w:t>"Neither DMG BSS nor PBSS is intended to form mesh topology network by itself." By definition "Mesh topology is a type of networking where all nodes cooperate to distribute data amongst each other" so, indeed the Infrastructure BSS and PBSS are not mesh networks with no relation to is it DMG BSS or not. From the other side the 802.11 introduces and defines mesh basic service set (MBSS).  From the data delivery point of view, it appears as if all STAs in a mesh BSS are directly connected at the MAC layer even if the STAs are not within range of each other. The multi-hop capability enhances the range of the STAs and benefits wireless LAN deployments. Further, using the multi-hop capability, MSDUs and Management frames can be transferred between STAs that are not in direct communication with each other over a single instance of the wireless medium. There is no reason presented that the mesh BSS is not relevant and does not provide a benefit to the DMG STAs.</w:t>
            </w:r>
          </w:p>
        </w:tc>
        <w:tc>
          <w:tcPr>
            <w:tcW w:w="1121" w:type="dxa"/>
            <w:shd w:val="clear" w:color="auto" w:fill="auto"/>
            <w:hideMark/>
          </w:tcPr>
          <w:p w14:paraId="464B00ED" w14:textId="77777777" w:rsidR="002D077E" w:rsidRPr="002D077E" w:rsidRDefault="002D077E" w:rsidP="002D077E">
            <w:pPr>
              <w:rPr>
                <w:color w:val="000000"/>
                <w:sz w:val="20"/>
                <w:lang w:val="en-US" w:bidi="he-IL"/>
              </w:rPr>
            </w:pPr>
            <w:r w:rsidRPr="002D077E">
              <w:rPr>
                <w:color w:val="000000"/>
                <w:sz w:val="20"/>
                <w:lang w:val="en-US" w:bidi="he-IL"/>
              </w:rPr>
              <w:t>Remove the annex</w:t>
            </w:r>
          </w:p>
        </w:tc>
        <w:tc>
          <w:tcPr>
            <w:tcW w:w="1219" w:type="dxa"/>
            <w:shd w:val="clear" w:color="auto" w:fill="auto"/>
            <w:hideMark/>
          </w:tcPr>
          <w:p w14:paraId="466F6B20" w14:textId="55D0A75C" w:rsidR="002D077E" w:rsidRPr="002D077E" w:rsidRDefault="00596EF2" w:rsidP="002D077E">
            <w:pPr>
              <w:rPr>
                <w:color w:val="000000"/>
                <w:sz w:val="20"/>
                <w:lang w:val="en-US" w:bidi="he-IL"/>
              </w:rPr>
            </w:pPr>
            <w:r w:rsidRPr="004375C8">
              <w:rPr>
                <w:color w:val="000000"/>
                <w:sz w:val="20"/>
                <w:lang w:val="en-US" w:bidi="he-IL"/>
              </w:rPr>
              <w:t>Accept</w:t>
            </w:r>
          </w:p>
        </w:tc>
      </w:tr>
      <w:tr w:rsidR="004375C8" w:rsidRPr="004375C8" w14:paraId="34F8B06E" w14:textId="77777777" w:rsidTr="004375C8">
        <w:trPr>
          <w:trHeight w:val="1970"/>
        </w:trPr>
        <w:tc>
          <w:tcPr>
            <w:tcW w:w="660" w:type="dxa"/>
            <w:shd w:val="clear" w:color="auto" w:fill="auto"/>
            <w:hideMark/>
          </w:tcPr>
          <w:p w14:paraId="72184B11" w14:textId="77777777" w:rsidR="002D077E" w:rsidRPr="002D077E" w:rsidRDefault="002D077E" w:rsidP="002D077E">
            <w:pPr>
              <w:jc w:val="right"/>
              <w:rPr>
                <w:color w:val="000000"/>
                <w:sz w:val="20"/>
                <w:lang w:val="en-US" w:bidi="he-IL"/>
              </w:rPr>
            </w:pPr>
            <w:r w:rsidRPr="002D077E">
              <w:rPr>
                <w:color w:val="000000"/>
                <w:sz w:val="20"/>
                <w:lang w:val="en-US" w:bidi="he-IL"/>
              </w:rPr>
              <w:t>6109</w:t>
            </w:r>
          </w:p>
        </w:tc>
        <w:tc>
          <w:tcPr>
            <w:tcW w:w="826" w:type="dxa"/>
            <w:shd w:val="clear" w:color="auto" w:fill="auto"/>
            <w:hideMark/>
          </w:tcPr>
          <w:p w14:paraId="2904B4FA" w14:textId="77777777" w:rsidR="002D077E" w:rsidRPr="002D077E" w:rsidRDefault="002D077E" w:rsidP="002D077E">
            <w:pPr>
              <w:jc w:val="right"/>
              <w:rPr>
                <w:color w:val="000000"/>
                <w:sz w:val="20"/>
                <w:lang w:val="en-US" w:bidi="he-IL"/>
              </w:rPr>
            </w:pPr>
            <w:r w:rsidRPr="002D077E">
              <w:rPr>
                <w:color w:val="000000"/>
                <w:sz w:val="20"/>
                <w:lang w:val="en-US" w:bidi="he-IL"/>
              </w:rPr>
              <w:t>788.00</w:t>
            </w:r>
          </w:p>
        </w:tc>
        <w:tc>
          <w:tcPr>
            <w:tcW w:w="644" w:type="dxa"/>
            <w:shd w:val="clear" w:color="auto" w:fill="auto"/>
            <w:hideMark/>
          </w:tcPr>
          <w:p w14:paraId="349FA094" w14:textId="77777777" w:rsidR="002D077E" w:rsidRPr="002D077E" w:rsidRDefault="002D077E" w:rsidP="002D077E">
            <w:pPr>
              <w:rPr>
                <w:color w:val="000000"/>
                <w:sz w:val="20"/>
                <w:lang w:val="en-US" w:bidi="he-IL"/>
              </w:rPr>
            </w:pPr>
            <w:r w:rsidRPr="002D077E">
              <w:rPr>
                <w:color w:val="000000"/>
                <w:sz w:val="20"/>
                <w:lang w:val="en-US" w:bidi="he-IL"/>
              </w:rPr>
              <w:t>4</w:t>
            </w:r>
          </w:p>
        </w:tc>
        <w:tc>
          <w:tcPr>
            <w:tcW w:w="852" w:type="dxa"/>
            <w:shd w:val="clear" w:color="auto" w:fill="auto"/>
            <w:hideMark/>
          </w:tcPr>
          <w:p w14:paraId="6AE02BB9" w14:textId="77777777" w:rsidR="002D077E" w:rsidRPr="002D077E" w:rsidRDefault="002D077E" w:rsidP="002D077E">
            <w:pPr>
              <w:rPr>
                <w:color w:val="000000"/>
                <w:sz w:val="20"/>
                <w:lang w:val="en-US" w:bidi="he-IL"/>
              </w:rPr>
            </w:pPr>
            <w:r w:rsidRPr="002D077E">
              <w:rPr>
                <w:color w:val="000000"/>
                <w:sz w:val="20"/>
                <w:lang w:val="en-US" w:bidi="he-IL"/>
              </w:rPr>
              <w:t>AB</w:t>
            </w:r>
          </w:p>
        </w:tc>
        <w:tc>
          <w:tcPr>
            <w:tcW w:w="5478" w:type="dxa"/>
            <w:shd w:val="clear" w:color="auto" w:fill="auto"/>
            <w:hideMark/>
          </w:tcPr>
          <w:p w14:paraId="34FA4FDE" w14:textId="2F325E30" w:rsidR="002D077E" w:rsidRPr="002D077E" w:rsidRDefault="002D077E" w:rsidP="002D077E">
            <w:pPr>
              <w:rPr>
                <w:color w:val="000000"/>
                <w:sz w:val="20"/>
                <w:lang w:val="en-US" w:bidi="he-IL"/>
              </w:rPr>
            </w:pPr>
            <w:r w:rsidRPr="002D077E">
              <w:rPr>
                <w:color w:val="000000"/>
                <w:sz w:val="20"/>
                <w:lang w:val="en-US" w:bidi="he-IL"/>
              </w:rPr>
              <w:t>Annex AB</w:t>
            </w:r>
            <w:r w:rsidRPr="002D077E">
              <w:rPr>
                <w:color w:val="000000"/>
                <w:sz w:val="20"/>
                <w:lang w:val="en-US" w:bidi="he-IL"/>
              </w:rPr>
              <w:br/>
              <w:t>"Multiple STA instances inside a device can be managed by a single SME using either MM-SME (see 4.9.3) or cochannel coordinated management (see 4.9.5). The SME can manage multiple DMG STA instances in a device so that each STA is bridged from a higher layer perspective." Misconception of layering - SME has nothing to do with the bridging. The bridging belongs to the data path that the SME is not involved.</w:t>
            </w:r>
          </w:p>
        </w:tc>
        <w:tc>
          <w:tcPr>
            <w:tcW w:w="1121" w:type="dxa"/>
            <w:shd w:val="clear" w:color="auto" w:fill="auto"/>
            <w:hideMark/>
          </w:tcPr>
          <w:p w14:paraId="01D6D4A3" w14:textId="77777777" w:rsidR="002D077E" w:rsidRPr="002D077E" w:rsidRDefault="002D077E" w:rsidP="002D077E">
            <w:pPr>
              <w:rPr>
                <w:color w:val="000000"/>
                <w:sz w:val="20"/>
                <w:lang w:val="en-US" w:bidi="he-IL"/>
              </w:rPr>
            </w:pPr>
            <w:r w:rsidRPr="002D077E">
              <w:rPr>
                <w:color w:val="000000"/>
                <w:sz w:val="20"/>
                <w:lang w:val="en-US" w:bidi="he-IL"/>
              </w:rPr>
              <w:t>Remove the annex</w:t>
            </w:r>
          </w:p>
        </w:tc>
        <w:tc>
          <w:tcPr>
            <w:tcW w:w="1219" w:type="dxa"/>
            <w:shd w:val="clear" w:color="auto" w:fill="auto"/>
            <w:hideMark/>
          </w:tcPr>
          <w:p w14:paraId="29A834A7" w14:textId="40B15DFF" w:rsidR="002D077E" w:rsidRPr="002D077E" w:rsidRDefault="00596EF2" w:rsidP="002D077E">
            <w:pPr>
              <w:rPr>
                <w:color w:val="000000"/>
                <w:sz w:val="20"/>
                <w:lang w:val="en-US" w:bidi="he-IL"/>
              </w:rPr>
            </w:pPr>
            <w:r w:rsidRPr="004375C8">
              <w:rPr>
                <w:color w:val="000000"/>
                <w:sz w:val="20"/>
                <w:lang w:val="en-US" w:bidi="he-IL"/>
              </w:rPr>
              <w:t>Accept</w:t>
            </w:r>
          </w:p>
        </w:tc>
      </w:tr>
    </w:tbl>
    <w:p w14:paraId="712E161F" w14:textId="77777777" w:rsidR="002D077E" w:rsidRDefault="002D077E" w:rsidP="00FB65C0"/>
    <w:p w14:paraId="580C10AC" w14:textId="77777777" w:rsidR="002D077E" w:rsidRDefault="002D077E" w:rsidP="00FB65C0"/>
    <w:p w14:paraId="14E74F14" w14:textId="0D129FFE" w:rsidR="00FB65C0" w:rsidRDefault="00B90A37" w:rsidP="00FB65C0">
      <w:pPr>
        <w:rPr>
          <w:sz w:val="20"/>
        </w:rPr>
      </w:pPr>
      <w:r w:rsidRPr="00B54B8C">
        <w:rPr>
          <w:sz w:val="20"/>
        </w:rPr>
        <w:t>Discussion:</w:t>
      </w:r>
    </w:p>
    <w:p w14:paraId="7087BE78" w14:textId="659B790E" w:rsidR="004375C8" w:rsidRPr="004375C8" w:rsidRDefault="004375C8" w:rsidP="004375C8">
      <w:pPr>
        <w:rPr>
          <w:sz w:val="20"/>
          <w:lang w:val="en-US" w:bidi="he-IL"/>
        </w:rPr>
      </w:pPr>
      <w:r w:rsidRPr="004375C8">
        <w:rPr>
          <w:sz w:val="20"/>
        </w:rPr>
        <w:t>The CIDs 6102-6109 address different aspects of the Annex AB (Extended wireless network formation by DMG STAs).</w:t>
      </w:r>
      <w:r w:rsidRPr="004375C8">
        <w:rPr>
          <w:sz w:val="20"/>
        </w:rPr>
        <w:t xml:space="preserve"> </w:t>
      </w:r>
      <w:r w:rsidRPr="004375C8">
        <w:rPr>
          <w:sz w:val="20"/>
        </w:rPr>
        <w:t xml:space="preserve">The Annex AB is irrelevant to the normative part of the spec, does not provide any information that is useful for the features defined in the spec, contains errors and misleading sentences. I propose to </w:t>
      </w:r>
      <w:r>
        <w:rPr>
          <w:sz w:val="20"/>
        </w:rPr>
        <w:t>accept the proposed change and remove the Annex AB.</w:t>
      </w:r>
    </w:p>
    <w:p w14:paraId="1E9086C0" w14:textId="0E3020F5" w:rsidR="00B45078" w:rsidRDefault="00B45078">
      <w:pPr>
        <w:rPr>
          <w:sz w:val="20"/>
        </w:rPr>
      </w:pPr>
      <w:r>
        <w:rPr>
          <w:sz w:val="20"/>
        </w:rPr>
        <w:br w:type="page"/>
      </w:r>
    </w:p>
    <w:p w14:paraId="676D04A2" w14:textId="566E6552" w:rsidR="004375C8" w:rsidRPr="00B45078" w:rsidRDefault="00B45078" w:rsidP="004375C8">
      <w:pPr>
        <w:rPr>
          <w:sz w:val="20"/>
        </w:rPr>
      </w:pPr>
      <w:r w:rsidRPr="00B45078">
        <w:rPr>
          <w:sz w:val="20"/>
        </w:rPr>
        <w:lastRenderedPageBreak/>
        <w:t xml:space="preserve">Reference: </w:t>
      </w:r>
      <w:r w:rsidRPr="00B45078">
        <w:rPr>
          <w:sz w:val="20"/>
        </w:rPr>
        <w:t>IEEE P802.11ay/D5.0, October 2019</w:t>
      </w:r>
    </w:p>
    <w:sectPr w:rsidR="004375C8" w:rsidRPr="00B4507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0CBD3" w14:textId="77777777" w:rsidR="00061C48" w:rsidRDefault="00061C48">
      <w:r>
        <w:separator/>
      </w:r>
    </w:p>
  </w:endnote>
  <w:endnote w:type="continuationSeparator" w:id="0">
    <w:p w14:paraId="56610EB8" w14:textId="77777777" w:rsidR="00061C48" w:rsidRDefault="0006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9D4A" w14:textId="310B1AFA" w:rsidR="0029020B" w:rsidRDefault="00061C48">
    <w:pPr>
      <w:pStyle w:val="Footer"/>
      <w:tabs>
        <w:tab w:val="clear" w:pos="6480"/>
        <w:tab w:val="center" w:pos="4680"/>
        <w:tab w:val="right" w:pos="9360"/>
      </w:tabs>
    </w:pPr>
    <w:r>
      <w:fldChar w:fldCharType="begin"/>
    </w:r>
    <w:r>
      <w:instrText xml:space="preserve"> SUBJECT  \* MERGEFORMAT </w:instrText>
    </w:r>
    <w:r>
      <w:fldChar w:fldCharType="separate"/>
    </w:r>
    <w:r w:rsidR="00FB65C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FB65C0">
      <w:t>Solomon Trainin, Qualcomm</w:t>
    </w:r>
  </w:p>
  <w:p w14:paraId="1FE300B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B6657" w14:textId="77777777" w:rsidR="00061C48" w:rsidRDefault="00061C48">
      <w:r>
        <w:separator/>
      </w:r>
    </w:p>
  </w:footnote>
  <w:footnote w:type="continuationSeparator" w:id="0">
    <w:p w14:paraId="57EFCA12" w14:textId="77777777" w:rsidR="00061C48" w:rsidRDefault="0006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84A4" w14:textId="48EFB89D" w:rsidR="0029020B" w:rsidRDefault="002D077E">
    <w:pPr>
      <w:pStyle w:val="Header"/>
      <w:tabs>
        <w:tab w:val="clear" w:pos="6480"/>
        <w:tab w:val="center" w:pos="4680"/>
        <w:tab w:val="right" w:pos="9360"/>
      </w:tabs>
    </w:pPr>
    <w:r>
      <w:t>April 2020</w:t>
    </w:r>
    <w:r w:rsidR="0029020B">
      <w:tab/>
    </w:r>
    <w:r w:rsidR="0029020B">
      <w:tab/>
    </w:r>
    <w:r w:rsidR="00061C48">
      <w:fldChar w:fldCharType="begin"/>
    </w:r>
    <w:r w:rsidR="00061C48">
      <w:instrText xml:space="preserve"> TITLE  \* MERGEFORMAT </w:instrText>
    </w:r>
    <w:r w:rsidR="00061C48">
      <w:fldChar w:fldCharType="separate"/>
    </w:r>
    <w:r w:rsidR="00FB65C0">
      <w:t>doc.: IEEE 802.11-</w:t>
    </w:r>
    <w:r w:rsidR="00A26C28">
      <w:t>20</w:t>
    </w:r>
    <w:r w:rsidR="00FB65C0">
      <w:t>/</w:t>
    </w:r>
    <w:r w:rsidR="00A26C28">
      <w:t>0611</w:t>
    </w:r>
    <w:r w:rsidR="00FB65C0">
      <w:t>r0</w:t>
    </w:r>
    <w:r w:rsidR="00061C4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855A7"/>
    <w:multiLevelType w:val="hybridMultilevel"/>
    <w:tmpl w:val="E4D8C58E"/>
    <w:lvl w:ilvl="0" w:tplc="1DE06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E3C93"/>
    <w:multiLevelType w:val="hybridMultilevel"/>
    <w:tmpl w:val="83A602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E44021"/>
    <w:multiLevelType w:val="hybridMultilevel"/>
    <w:tmpl w:val="7C22B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A345A4"/>
    <w:multiLevelType w:val="hybridMultilevel"/>
    <w:tmpl w:val="AA702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9D4B68"/>
    <w:multiLevelType w:val="hybridMultilevel"/>
    <w:tmpl w:val="768C61D4"/>
    <w:lvl w:ilvl="0" w:tplc="C52EFE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33055"/>
    <w:multiLevelType w:val="hybridMultilevel"/>
    <w:tmpl w:val="67CEC1F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566FB1"/>
    <w:multiLevelType w:val="hybridMultilevel"/>
    <w:tmpl w:val="93A4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C0"/>
    <w:rsid w:val="00023F03"/>
    <w:rsid w:val="00061C48"/>
    <w:rsid w:val="000835BD"/>
    <w:rsid w:val="000B112C"/>
    <w:rsid w:val="000C17AE"/>
    <w:rsid w:val="00113399"/>
    <w:rsid w:val="00124035"/>
    <w:rsid w:val="00124D6B"/>
    <w:rsid w:val="00136063"/>
    <w:rsid w:val="00150C8D"/>
    <w:rsid w:val="001602F5"/>
    <w:rsid w:val="001652F6"/>
    <w:rsid w:val="001C7AC5"/>
    <w:rsid w:val="001D723B"/>
    <w:rsid w:val="001F4D6A"/>
    <w:rsid w:val="00257D2F"/>
    <w:rsid w:val="0029020B"/>
    <w:rsid w:val="002A3E09"/>
    <w:rsid w:val="002B2EF4"/>
    <w:rsid w:val="002D077E"/>
    <w:rsid w:val="002D44BE"/>
    <w:rsid w:val="002E3D97"/>
    <w:rsid w:val="00315F8D"/>
    <w:rsid w:val="00331CF7"/>
    <w:rsid w:val="00334265"/>
    <w:rsid w:val="00354393"/>
    <w:rsid w:val="003D2C30"/>
    <w:rsid w:val="003D7A44"/>
    <w:rsid w:val="004375C8"/>
    <w:rsid w:val="00442037"/>
    <w:rsid w:val="0046271F"/>
    <w:rsid w:val="004B064B"/>
    <w:rsid w:val="004E50B7"/>
    <w:rsid w:val="00511568"/>
    <w:rsid w:val="00532BB8"/>
    <w:rsid w:val="00540604"/>
    <w:rsid w:val="00596EF2"/>
    <w:rsid w:val="005B06BC"/>
    <w:rsid w:val="0062440B"/>
    <w:rsid w:val="00640263"/>
    <w:rsid w:val="006C0727"/>
    <w:rsid w:val="006D21DE"/>
    <w:rsid w:val="006E145F"/>
    <w:rsid w:val="00755182"/>
    <w:rsid w:val="00770572"/>
    <w:rsid w:val="007E310E"/>
    <w:rsid w:val="008305D0"/>
    <w:rsid w:val="00845934"/>
    <w:rsid w:val="008B2359"/>
    <w:rsid w:val="008F14D6"/>
    <w:rsid w:val="008F27AF"/>
    <w:rsid w:val="009322FE"/>
    <w:rsid w:val="00947CEA"/>
    <w:rsid w:val="009615C8"/>
    <w:rsid w:val="0098041A"/>
    <w:rsid w:val="0098204C"/>
    <w:rsid w:val="009A565F"/>
    <w:rsid w:val="009B684D"/>
    <w:rsid w:val="009F2FBC"/>
    <w:rsid w:val="00A15568"/>
    <w:rsid w:val="00A23D25"/>
    <w:rsid w:val="00A26C28"/>
    <w:rsid w:val="00A313FD"/>
    <w:rsid w:val="00A62524"/>
    <w:rsid w:val="00A7246F"/>
    <w:rsid w:val="00A8097A"/>
    <w:rsid w:val="00AA427C"/>
    <w:rsid w:val="00AB3762"/>
    <w:rsid w:val="00B37B94"/>
    <w:rsid w:val="00B45078"/>
    <w:rsid w:val="00B45379"/>
    <w:rsid w:val="00B54B8C"/>
    <w:rsid w:val="00B63C1D"/>
    <w:rsid w:val="00B90A37"/>
    <w:rsid w:val="00BE68C2"/>
    <w:rsid w:val="00BF1B01"/>
    <w:rsid w:val="00C16ACA"/>
    <w:rsid w:val="00C20A1B"/>
    <w:rsid w:val="00C419DB"/>
    <w:rsid w:val="00C57728"/>
    <w:rsid w:val="00CA09B2"/>
    <w:rsid w:val="00CD41EB"/>
    <w:rsid w:val="00DC5A7B"/>
    <w:rsid w:val="00E21AE2"/>
    <w:rsid w:val="00E704DF"/>
    <w:rsid w:val="00F23946"/>
    <w:rsid w:val="00F54183"/>
    <w:rsid w:val="00FB6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B8C8C"/>
  <w15:chartTrackingRefBased/>
  <w15:docId w15:val="{28207251-B9F2-4CDD-A43A-27ED930D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B65C0"/>
    <w:pPr>
      <w:spacing w:after="160" w:line="259" w:lineRule="auto"/>
      <w:ind w:left="720"/>
      <w:contextualSpacing/>
    </w:pPr>
    <w:rPr>
      <w:rFonts w:ascii="Calibri" w:eastAsia="Calibri" w:hAnsi="Calibri" w:cs="Arial"/>
      <w:szCs w:val="22"/>
      <w:lang w:val="en-US"/>
    </w:rPr>
  </w:style>
  <w:style w:type="paragraph" w:customStyle="1" w:styleId="Default">
    <w:name w:val="Default"/>
    <w:rsid w:val="00540604"/>
    <w:pPr>
      <w:autoSpaceDE w:val="0"/>
      <w:autoSpaceDN w:val="0"/>
      <w:adjustRightInd w:val="0"/>
    </w:pPr>
    <w:rPr>
      <w:color w:val="000000"/>
      <w:sz w:val="24"/>
      <w:szCs w:val="24"/>
    </w:rPr>
  </w:style>
  <w:style w:type="paragraph" w:styleId="BalloonText">
    <w:name w:val="Balloon Text"/>
    <w:basedOn w:val="Normal"/>
    <w:link w:val="BalloonTextChar"/>
    <w:rsid w:val="00334265"/>
    <w:rPr>
      <w:rFonts w:ascii="Segoe UI" w:hAnsi="Segoe UI" w:cs="Segoe UI"/>
      <w:sz w:val="18"/>
      <w:szCs w:val="18"/>
    </w:rPr>
  </w:style>
  <w:style w:type="character" w:customStyle="1" w:styleId="BalloonTextChar">
    <w:name w:val="Balloon Text Char"/>
    <w:basedOn w:val="DefaultParagraphFont"/>
    <w:link w:val="BalloonText"/>
    <w:rsid w:val="00334265"/>
    <w:rPr>
      <w:rFonts w:ascii="Segoe UI" w:hAnsi="Segoe UI" w:cs="Segoe UI"/>
      <w:sz w:val="18"/>
      <w:szCs w:val="18"/>
      <w:lang w:val="en-GB" w:bidi="ar-SA"/>
    </w:rPr>
  </w:style>
  <w:style w:type="character" w:styleId="CommentReference">
    <w:name w:val="annotation reference"/>
    <w:basedOn w:val="DefaultParagraphFont"/>
    <w:rsid w:val="001133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46214">
      <w:bodyDiv w:val="1"/>
      <w:marLeft w:val="0"/>
      <w:marRight w:val="0"/>
      <w:marTop w:val="0"/>
      <w:marBottom w:val="0"/>
      <w:divBdr>
        <w:top w:val="none" w:sz="0" w:space="0" w:color="auto"/>
        <w:left w:val="none" w:sz="0" w:space="0" w:color="auto"/>
        <w:bottom w:val="none" w:sz="0" w:space="0" w:color="auto"/>
        <w:right w:val="none" w:sz="0" w:space="0" w:color="auto"/>
      </w:divBdr>
    </w:div>
    <w:div w:id="1071656839">
      <w:bodyDiv w:val="1"/>
      <w:marLeft w:val="0"/>
      <w:marRight w:val="0"/>
      <w:marTop w:val="0"/>
      <w:marBottom w:val="0"/>
      <w:divBdr>
        <w:top w:val="none" w:sz="0" w:space="0" w:color="auto"/>
        <w:left w:val="none" w:sz="0" w:space="0" w:color="auto"/>
        <w:bottom w:val="none" w:sz="0" w:space="0" w:color="auto"/>
        <w:right w:val="none" w:sz="0" w:space="0" w:color="auto"/>
      </w:divBdr>
    </w:div>
    <w:div w:id="11981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(12)</Template>
  <TotalTime>2</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3</cp:revision>
  <cp:lastPrinted>1899-12-31T22:00:00Z</cp:lastPrinted>
  <dcterms:created xsi:type="dcterms:W3CDTF">2020-04-14T08:52:00Z</dcterms:created>
  <dcterms:modified xsi:type="dcterms:W3CDTF">2020-04-14T08:52:00Z</dcterms:modified>
</cp:coreProperties>
</file>