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674F9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5A748A">
        <w:rPr>
          <w:lang w:eastAsia="ko-KR"/>
        </w:rPr>
        <w:t>7</w:t>
      </w:r>
      <w:r w:rsidR="00941A27">
        <w:rPr>
          <w:lang w:eastAsia="ko-KR"/>
        </w:rPr>
        <w:t xml:space="preserve"> CIDs)</w:t>
      </w:r>
      <w:r w:rsidR="00E920E1">
        <w:rPr>
          <w:lang w:eastAsia="ko-KR"/>
        </w:rPr>
        <w:t>:</w:t>
      </w:r>
    </w:p>
    <w:p w14:paraId="1A20E2DE" w14:textId="2EA99B01" w:rsidR="00535EBE" w:rsidRPr="00535EBE" w:rsidRDefault="00256451" w:rsidP="00880240">
      <w:pPr>
        <w:pStyle w:val="ListParagraph"/>
        <w:numPr>
          <w:ilvl w:val="0"/>
          <w:numId w:val="30"/>
        </w:numPr>
        <w:ind w:leftChars="0"/>
        <w:jc w:val="both"/>
        <w:rPr>
          <w:lang w:eastAsia="ko-KR"/>
        </w:rPr>
      </w:pPr>
      <w:r>
        <w:rPr>
          <w:lang w:eastAsia="ko-KR"/>
        </w:rPr>
        <w:t>24299, 24361, 24421, 24422, 24464, 24492, 24493</w:t>
      </w:r>
      <w:r w:rsidR="005A748A">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A3F0E" w:rsidRPr="001F620B" w14:paraId="070E35F5" w14:textId="77777777" w:rsidTr="004C4A47">
        <w:trPr>
          <w:trHeight w:val="220"/>
        </w:trPr>
        <w:tc>
          <w:tcPr>
            <w:tcW w:w="696" w:type="dxa"/>
            <w:shd w:val="clear" w:color="auto" w:fill="auto"/>
            <w:noWrap/>
          </w:tcPr>
          <w:p w14:paraId="6516BEC0" w14:textId="55934FC2" w:rsidR="00FA3F0E" w:rsidRPr="002130DC" w:rsidRDefault="00FA3F0E" w:rsidP="00FA3F0E">
            <w:pPr>
              <w:jc w:val="both"/>
              <w:rPr>
                <w:rFonts w:eastAsia="Times New Roman"/>
                <w:bCs/>
                <w:color w:val="000000"/>
                <w:sz w:val="16"/>
                <w:szCs w:val="16"/>
                <w:lang w:val="en-US"/>
              </w:rPr>
            </w:pPr>
            <w:r w:rsidRPr="00E31880">
              <w:t>24299</w:t>
            </w:r>
          </w:p>
        </w:tc>
        <w:tc>
          <w:tcPr>
            <w:tcW w:w="1061" w:type="dxa"/>
            <w:shd w:val="clear" w:color="auto" w:fill="auto"/>
            <w:noWrap/>
          </w:tcPr>
          <w:p w14:paraId="34A0CA4E" w14:textId="0F679E5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77DE429" w14:textId="4EC82CEA"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53A6B9DB" w14:textId="1C37A5AC" w:rsidR="00FA3F0E" w:rsidRPr="002130DC" w:rsidRDefault="0049760A" w:rsidP="00FA3F0E">
            <w:pPr>
              <w:jc w:val="both"/>
              <w:rPr>
                <w:rFonts w:eastAsia="Times New Roman"/>
                <w:bCs/>
                <w:color w:val="000000"/>
                <w:sz w:val="16"/>
                <w:szCs w:val="16"/>
                <w:lang w:val="en-US"/>
              </w:rPr>
            </w:pPr>
            <w:r w:rsidRPr="0049760A">
              <w:t>"of all MSDUs and A-MSDUs buffered at the STA".  A STA does not buffer A-MSDUs.  The things it receives via MA-</w:t>
            </w:r>
            <w:proofErr w:type="spellStart"/>
            <w:r w:rsidRPr="0049760A">
              <w:t>UNITDATA.request</w:t>
            </w:r>
            <w:proofErr w:type="spellEnd"/>
            <w:r w:rsidRPr="0049760A">
              <w:t xml:space="preserve"> are MSDUs, and those are the things it buffers prior to transmission Change the cited text to "of all MSDUs buffered at the STA"</w:t>
            </w:r>
          </w:p>
        </w:tc>
        <w:tc>
          <w:tcPr>
            <w:tcW w:w="2453" w:type="dxa"/>
            <w:shd w:val="clear" w:color="auto" w:fill="auto"/>
            <w:noWrap/>
          </w:tcPr>
          <w:p w14:paraId="316147AB" w14:textId="77777777" w:rsidR="00A74FBC" w:rsidRDefault="00A74FBC" w:rsidP="00A74FBC">
            <w:pPr>
              <w:jc w:val="both"/>
            </w:pPr>
            <w:r>
              <w:t>In 9.4.2.5.6 change "The queue size value is the approximate total size, rounded up to the nearest multiple of 256 octets</w:t>
            </w:r>
          </w:p>
          <w:p w14:paraId="7C07470E" w14:textId="77777777" w:rsidR="00A74FBC" w:rsidRDefault="00A74FBC" w:rsidP="00A74FBC">
            <w:pPr>
              <w:jc w:val="both"/>
            </w:pPr>
            <w:r>
              <w:t>and expressed in units of 256 octets, of all MSDUs and A-MSDUs buffered at the STA (excluding</w:t>
            </w:r>
          </w:p>
          <w:p w14:paraId="3E3DDF6B" w14:textId="77777777" w:rsidR="00A74FBC" w:rsidRDefault="00A74FBC" w:rsidP="00A74FBC">
            <w:pPr>
              <w:jc w:val="both"/>
            </w:pPr>
            <w:r>
              <w:t>the MSDU or A-MSDU of the present QoS Data frame) in the delivery queue used for MSDUs and</w:t>
            </w:r>
          </w:p>
          <w:p w14:paraId="66B0E51C" w14:textId="77777777" w:rsidR="00A74FBC" w:rsidRDefault="00A74FBC" w:rsidP="00A74FBC">
            <w:pPr>
              <w:jc w:val="both"/>
            </w:pPr>
            <w:r>
              <w:t>A-MSDUs with TID values equal to the value in the TID subfield of this QoS Control field." to "The queue size value is the approximate total size, rounded up to the nearest multiple of 256 octets</w:t>
            </w:r>
          </w:p>
          <w:p w14:paraId="2B5249D3" w14:textId="77777777" w:rsidR="00A74FBC" w:rsidRDefault="00A74FBC" w:rsidP="00A74FBC">
            <w:pPr>
              <w:jc w:val="both"/>
            </w:pPr>
            <w:r>
              <w:t>and expressed in units of 256 octets, of all MSDUs buffered at the STA (excluding</w:t>
            </w:r>
          </w:p>
          <w:p w14:paraId="0EE6F7A6" w14:textId="77777777" w:rsidR="00A74FBC" w:rsidRDefault="00A74FBC" w:rsidP="00A74FBC">
            <w:pPr>
              <w:jc w:val="both"/>
            </w:pPr>
            <w:r>
              <w:t>the MSDU(s) of the present QoS Data frame) in the delivery queue used for MSDUs and</w:t>
            </w:r>
          </w:p>
          <w:p w14:paraId="4DB76688" w14:textId="77777777" w:rsidR="00A74FBC" w:rsidRDefault="00A74FBC" w:rsidP="00A74FBC">
            <w:pPr>
              <w:jc w:val="both"/>
            </w:pPr>
            <w:r>
              <w:t>A-MSDUs with TID values equal to the value in the TID subfield of this QoS Control field." and "The queue size, QS, is the approximate total size in octets, of all MSDUs and A-MSDUs buffered at the STA</w:t>
            </w:r>
          </w:p>
          <w:p w14:paraId="0FE55756" w14:textId="77777777" w:rsidR="00A74FBC" w:rsidRDefault="00A74FBC" w:rsidP="00A74FBC">
            <w:pPr>
              <w:jc w:val="both"/>
            </w:pPr>
            <w:r>
              <w:t>(including the MSDUs or A-MSDUs in the same PSDU as the frame containing the Queue Size subfield) in</w:t>
            </w:r>
          </w:p>
          <w:p w14:paraId="6C542F3E" w14:textId="77777777" w:rsidR="00A74FBC" w:rsidRDefault="00A74FBC" w:rsidP="00A74FBC">
            <w:pPr>
              <w:jc w:val="both"/>
            </w:pPr>
            <w:r>
              <w:t>the delivery queue used for MSDUs and A-MSDUs with TID values equal to the value in the TID subfield</w:t>
            </w:r>
          </w:p>
          <w:p w14:paraId="74A555C8" w14:textId="77777777" w:rsidR="00A74FBC" w:rsidRDefault="00A74FBC" w:rsidP="00A74FBC">
            <w:pPr>
              <w:jc w:val="both"/>
            </w:pPr>
            <w:r>
              <w:t>of this QoS Control field." to "The queue size, QS, is the approximate total size in octets, of all MSDUs buffered at the STA</w:t>
            </w:r>
          </w:p>
          <w:p w14:paraId="05D8C808" w14:textId="77777777" w:rsidR="00A74FBC" w:rsidRDefault="00A74FBC" w:rsidP="00A74FBC">
            <w:pPr>
              <w:jc w:val="both"/>
            </w:pPr>
            <w:r>
              <w:t>(including the MSDUs in the same PSDU as the frame containing the Queue Size subfield) in</w:t>
            </w:r>
          </w:p>
          <w:p w14:paraId="687E7D72" w14:textId="77777777" w:rsidR="00A74FBC" w:rsidRDefault="00A74FBC" w:rsidP="00A74FBC">
            <w:pPr>
              <w:jc w:val="both"/>
            </w:pPr>
            <w:r>
              <w:lastRenderedPageBreak/>
              <w:t>the delivery queue used for MSDUs and A-MSDUs with TID values equal to the value in the TID subfield</w:t>
            </w:r>
          </w:p>
          <w:p w14:paraId="579F7480" w14:textId="77777777" w:rsidR="00A74FBC" w:rsidRDefault="00A74FBC" w:rsidP="00A74FBC">
            <w:pPr>
              <w:jc w:val="both"/>
            </w:pPr>
            <w:r>
              <w:t>of this QoS Control field.".  In 9.2.4.6a.4 change "The queue size values in the Queue Size High and Queue Size All subfields are the total sizes, rounded up to</w:t>
            </w:r>
          </w:p>
          <w:p w14:paraId="1B453688" w14:textId="77777777" w:rsidR="00A74FBC" w:rsidRDefault="00A74FBC" w:rsidP="00A74FBC">
            <w:pPr>
              <w:jc w:val="both"/>
            </w:pPr>
            <w:r>
              <w:t>the nearest multiple of SF octets, of all MSDUs and A-MSDUs buffered at the STA (including the MSDUs</w:t>
            </w:r>
          </w:p>
          <w:p w14:paraId="4949C5B0" w14:textId="77777777" w:rsidR="00A74FBC" w:rsidRDefault="00A74FBC" w:rsidP="00A74FBC">
            <w:pPr>
              <w:jc w:val="both"/>
            </w:pPr>
            <w:r>
              <w:t>or A-MSDUs in the same PSDU as the frame containing the BSR Control subfield) in the delivery queues</w:t>
            </w:r>
          </w:p>
          <w:p w14:paraId="2E31D950" w14:textId="77777777" w:rsidR="00A74FBC" w:rsidRDefault="00A74FBC" w:rsidP="00A74FBC">
            <w:pPr>
              <w:jc w:val="both"/>
            </w:pPr>
            <w:r>
              <w:t>used for MSDUs and A-MSDUs with AC(s) that are specified in the ACI High and ACI Bitmap subfields,</w:t>
            </w:r>
          </w:p>
          <w:p w14:paraId="496AACE0" w14:textId="77777777" w:rsidR="00A74FBC" w:rsidRDefault="00A74FBC" w:rsidP="00A74FBC">
            <w:pPr>
              <w:jc w:val="both"/>
            </w:pPr>
            <w:r>
              <w:t>respectively." to "The queue size values in the Queue Size High and Queue Size All subfields are the total sizes, rounded up to</w:t>
            </w:r>
          </w:p>
          <w:p w14:paraId="1C76ECE9" w14:textId="77777777" w:rsidR="00A74FBC" w:rsidRDefault="00A74FBC" w:rsidP="00A74FBC">
            <w:pPr>
              <w:jc w:val="both"/>
            </w:pPr>
            <w:r>
              <w:t>the nearest multiple of SF octets, of all MSDUs buffered at the STA (including the MSDUs</w:t>
            </w:r>
          </w:p>
          <w:p w14:paraId="196B70D4" w14:textId="77777777" w:rsidR="00A74FBC" w:rsidRDefault="00A74FBC" w:rsidP="00A74FBC">
            <w:pPr>
              <w:jc w:val="both"/>
            </w:pPr>
            <w:r>
              <w:t>in the same PSDU as the frame containing the BSR Control subfield) in the delivery queues</w:t>
            </w:r>
          </w:p>
          <w:p w14:paraId="49D421BF" w14:textId="77777777" w:rsidR="00A74FBC" w:rsidRDefault="00A74FBC" w:rsidP="00A74FBC">
            <w:pPr>
              <w:jc w:val="both"/>
            </w:pPr>
            <w:r>
              <w:t>used for MSDUs and A-MSDUs with AC(s) that are specified in the ACI High and ACI Bitmap subfields,</w:t>
            </w:r>
          </w:p>
          <w:p w14:paraId="3E34F2E8" w14:textId="6A1F8715" w:rsidR="00FA3F0E" w:rsidRPr="002130DC" w:rsidRDefault="00A74FBC" w:rsidP="00A74FBC">
            <w:pPr>
              <w:jc w:val="both"/>
              <w:rPr>
                <w:rFonts w:eastAsia="Times New Roman"/>
                <w:bCs/>
                <w:color w:val="000000"/>
                <w:sz w:val="16"/>
                <w:szCs w:val="16"/>
                <w:lang w:val="en-US"/>
              </w:rPr>
            </w:pPr>
            <w:r>
              <w:t>respectively."</w:t>
            </w:r>
          </w:p>
        </w:tc>
        <w:tc>
          <w:tcPr>
            <w:tcW w:w="3757" w:type="dxa"/>
            <w:shd w:val="clear" w:color="auto" w:fill="auto"/>
            <w:vAlign w:val="center"/>
          </w:tcPr>
          <w:p w14:paraId="59F4CE47" w14:textId="77777777" w:rsidR="004066E2" w:rsidRDefault="004066E2" w:rsidP="004066E2">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1F9A52E3" w14:textId="77777777" w:rsidR="004066E2" w:rsidRDefault="004066E2" w:rsidP="004066E2">
            <w:pPr>
              <w:jc w:val="both"/>
              <w:rPr>
                <w:rFonts w:eastAsia="Times New Roman"/>
                <w:bCs/>
                <w:color w:val="000000"/>
                <w:sz w:val="16"/>
                <w:szCs w:val="16"/>
                <w:lang w:val="en-US"/>
              </w:rPr>
            </w:pPr>
          </w:p>
          <w:p w14:paraId="7E6A80D0" w14:textId="60429BC9" w:rsidR="004066E2" w:rsidRDefault="004066E2" w:rsidP="004066E2">
            <w:pPr>
              <w:jc w:val="both"/>
              <w:rPr>
                <w:rFonts w:eastAsia="Times New Roman"/>
                <w:bCs/>
                <w:color w:val="000000"/>
                <w:sz w:val="16"/>
                <w:szCs w:val="16"/>
                <w:lang w:val="en-US"/>
              </w:rPr>
            </w:pPr>
            <w:r>
              <w:rPr>
                <w:rFonts w:eastAsia="Times New Roman"/>
                <w:bCs/>
                <w:color w:val="000000"/>
                <w:sz w:val="16"/>
                <w:szCs w:val="16"/>
                <w:lang w:val="en-US"/>
              </w:rPr>
              <w:t xml:space="preserve">Whether MSDUs are buffered internally as MSDUs or A-MSDUs is indeed an implementation detail. However, there is no technical reason to not expose it (even though it is not exposing anything because as the spec stands so far the STA can chose to do either of the two. </w:t>
            </w:r>
          </w:p>
          <w:p w14:paraId="56DCAE29" w14:textId="77777777" w:rsidR="004066E2" w:rsidRDefault="004066E2" w:rsidP="004066E2">
            <w:pPr>
              <w:jc w:val="both"/>
              <w:rPr>
                <w:rFonts w:eastAsia="Times New Roman"/>
                <w:bCs/>
                <w:color w:val="000000"/>
                <w:sz w:val="16"/>
                <w:szCs w:val="16"/>
                <w:lang w:val="en-US"/>
              </w:rPr>
            </w:pPr>
          </w:p>
          <w:p w14:paraId="10577AC9" w14:textId="6B124BCF" w:rsidR="00FA3F0E" w:rsidRPr="00002955" w:rsidRDefault="004066E2" w:rsidP="004066E2">
            <w:pPr>
              <w:jc w:val="both"/>
              <w:rPr>
                <w:rFonts w:eastAsia="Times New Roman"/>
                <w:bCs/>
                <w:color w:val="000000"/>
                <w:sz w:val="16"/>
                <w:szCs w:val="16"/>
                <w:lang w:val="en-US"/>
              </w:rPr>
            </w:pPr>
            <w:r>
              <w:rPr>
                <w:rFonts w:eastAsia="Times New Roman"/>
                <w:bCs/>
                <w:color w:val="000000"/>
                <w:sz w:val="16"/>
                <w:szCs w:val="16"/>
                <w:lang w:val="en-US"/>
              </w:rPr>
              <w:t>Providing information of the queue size, including A-MSDUs, is also beneficial because the STA may be transmitting these MSDUs as A-MSDU, so the reporting would include the A-MSDU subframe headers, which is better from the reporting perspective because the AP will account for these extra bytes when triggering the STA.</w:t>
            </w:r>
          </w:p>
        </w:tc>
      </w:tr>
      <w:tr w:rsidR="00FA3F0E" w:rsidRPr="001F620B" w14:paraId="4E4E7B55" w14:textId="77777777" w:rsidTr="004C4A47">
        <w:trPr>
          <w:trHeight w:val="220"/>
        </w:trPr>
        <w:tc>
          <w:tcPr>
            <w:tcW w:w="696" w:type="dxa"/>
            <w:shd w:val="clear" w:color="auto" w:fill="auto"/>
            <w:noWrap/>
          </w:tcPr>
          <w:p w14:paraId="197132BB" w14:textId="153259C8" w:rsidR="00FA3F0E" w:rsidRPr="002130DC" w:rsidRDefault="00FA3F0E" w:rsidP="00FA3F0E">
            <w:pPr>
              <w:jc w:val="both"/>
              <w:rPr>
                <w:rFonts w:eastAsia="Times New Roman"/>
                <w:bCs/>
                <w:color w:val="000000"/>
                <w:sz w:val="16"/>
                <w:szCs w:val="16"/>
                <w:lang w:val="en-US"/>
              </w:rPr>
            </w:pPr>
            <w:r w:rsidRPr="00E31880">
              <w:t>24361</w:t>
            </w:r>
          </w:p>
        </w:tc>
        <w:tc>
          <w:tcPr>
            <w:tcW w:w="1061" w:type="dxa"/>
            <w:shd w:val="clear" w:color="auto" w:fill="auto"/>
            <w:noWrap/>
          </w:tcPr>
          <w:p w14:paraId="26B3F9BD" w14:textId="47AB0FE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1809E47" w14:textId="2FC3FC7E" w:rsidR="00FA3F0E" w:rsidRPr="002130DC" w:rsidRDefault="00FA3F0E" w:rsidP="00FA3F0E">
            <w:pPr>
              <w:jc w:val="both"/>
              <w:rPr>
                <w:rFonts w:eastAsia="Times New Roman"/>
                <w:bCs/>
                <w:color w:val="000000"/>
                <w:sz w:val="16"/>
                <w:szCs w:val="16"/>
                <w:lang w:val="en-US"/>
              </w:rPr>
            </w:pPr>
            <w:r w:rsidRPr="00262523">
              <w:t>91.05</w:t>
            </w:r>
          </w:p>
        </w:tc>
        <w:tc>
          <w:tcPr>
            <w:tcW w:w="2810" w:type="dxa"/>
            <w:shd w:val="clear" w:color="auto" w:fill="auto"/>
            <w:noWrap/>
          </w:tcPr>
          <w:p w14:paraId="15B23EC3" w14:textId="77777777" w:rsidR="00C52144" w:rsidRDefault="00C52144" w:rsidP="00C52144">
            <w:pPr>
              <w:jc w:val="both"/>
            </w:pPr>
            <w:r>
              <w:t>"The RU Allocation subfield indicates the resource unit (RU) assigned for transmitting the HE TB PPDU</w:t>
            </w:r>
          </w:p>
          <w:p w14:paraId="1E44E2BC" w14:textId="721E7709" w:rsidR="00FA3F0E" w:rsidRPr="002130DC" w:rsidRDefault="00C52144" w:rsidP="00C52144">
            <w:pPr>
              <w:jc w:val="both"/>
              <w:rPr>
                <w:rFonts w:eastAsia="Times New Roman"/>
                <w:bCs/>
                <w:color w:val="000000"/>
                <w:sz w:val="16"/>
                <w:szCs w:val="16"/>
                <w:lang w:val="en-US"/>
              </w:rPr>
            </w:pPr>
            <w:r>
              <w:t>response and the encoding is defined in Table 9-31h (B7-B1 of the RU Allocation subfield)." -- but Table 9-31h only covers 7 bits.  Either state that b0 is always 0 (i.e. TRS Control not used for 80+80/160 secondary segment) or specify that it indicates the segment, for 80+80/160</w:t>
            </w:r>
          </w:p>
        </w:tc>
        <w:tc>
          <w:tcPr>
            <w:tcW w:w="2453" w:type="dxa"/>
            <w:shd w:val="clear" w:color="auto" w:fill="auto"/>
            <w:noWrap/>
          </w:tcPr>
          <w:p w14:paraId="53BB1113" w14:textId="25A9A3F7" w:rsidR="00FA3F0E" w:rsidRPr="002130DC" w:rsidRDefault="00C52144" w:rsidP="00FA3F0E">
            <w:pPr>
              <w:jc w:val="both"/>
              <w:rPr>
                <w:rFonts w:eastAsia="Times New Roman"/>
                <w:bCs/>
                <w:color w:val="000000"/>
                <w:sz w:val="16"/>
                <w:szCs w:val="16"/>
                <w:lang w:val="en-US"/>
              </w:rPr>
            </w:pPr>
            <w:r w:rsidRPr="00C52144">
              <w:rPr>
                <w:rFonts w:eastAsia="Times New Roman"/>
                <w:bCs/>
                <w:color w:val="000000"/>
                <w:sz w:val="16"/>
                <w:szCs w:val="16"/>
                <w:lang w:val="en-US"/>
              </w:rPr>
              <w:t>As it says in the comment</w:t>
            </w:r>
          </w:p>
        </w:tc>
        <w:tc>
          <w:tcPr>
            <w:tcW w:w="3757" w:type="dxa"/>
            <w:shd w:val="clear" w:color="auto" w:fill="auto"/>
            <w:vAlign w:val="center"/>
          </w:tcPr>
          <w:p w14:paraId="1A7AE631" w14:textId="0D987016" w:rsidR="00FA3F0E" w:rsidRDefault="0013482D" w:rsidP="00FA3F0E">
            <w:pPr>
              <w:jc w:val="both"/>
              <w:rPr>
                <w:rFonts w:eastAsia="Times New Roman"/>
                <w:bCs/>
                <w:color w:val="000000"/>
                <w:sz w:val="16"/>
                <w:szCs w:val="16"/>
                <w:lang w:val="en-US"/>
              </w:rPr>
            </w:pPr>
            <w:r>
              <w:rPr>
                <w:rFonts w:eastAsia="Times New Roman"/>
                <w:bCs/>
                <w:color w:val="000000"/>
                <w:sz w:val="16"/>
                <w:szCs w:val="16"/>
                <w:lang w:val="en-US"/>
              </w:rPr>
              <w:t>Revised –</w:t>
            </w:r>
          </w:p>
          <w:p w14:paraId="179B5B18" w14:textId="77777777" w:rsidR="0013482D" w:rsidRDefault="0013482D" w:rsidP="00FA3F0E">
            <w:pPr>
              <w:jc w:val="both"/>
              <w:rPr>
                <w:rFonts w:eastAsia="Times New Roman"/>
                <w:bCs/>
                <w:color w:val="000000"/>
                <w:sz w:val="16"/>
                <w:szCs w:val="16"/>
                <w:lang w:val="en-US"/>
              </w:rPr>
            </w:pPr>
          </w:p>
          <w:p w14:paraId="1856C878" w14:textId="0E586809" w:rsidR="0013482D" w:rsidRDefault="0013482D" w:rsidP="00FA3F0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specifies that the setting of B0 is the same as for Trigger frames (i.e., allowed to have 80 plus 80/160 solicitation).</w:t>
            </w:r>
            <w:r w:rsidR="00481DE7">
              <w:rPr>
                <w:rFonts w:eastAsia="Times New Roman"/>
                <w:bCs/>
                <w:color w:val="000000"/>
                <w:sz w:val="16"/>
                <w:szCs w:val="16"/>
                <w:lang w:val="en-US"/>
              </w:rPr>
              <w:t xml:space="preserve"> Essentially the proposal is to refer to the general subclause which covers all bits of the RU allocation rather than the table which covers only bits 1 to 7.</w:t>
            </w:r>
          </w:p>
          <w:p w14:paraId="7BC55265" w14:textId="77777777" w:rsidR="00EB4FB5" w:rsidRDefault="00EB4FB5" w:rsidP="00FA3F0E">
            <w:pPr>
              <w:jc w:val="both"/>
              <w:rPr>
                <w:rFonts w:eastAsia="Times New Roman"/>
                <w:bCs/>
                <w:color w:val="000000"/>
                <w:sz w:val="16"/>
                <w:szCs w:val="16"/>
                <w:lang w:val="en-US"/>
              </w:rPr>
            </w:pPr>
          </w:p>
          <w:p w14:paraId="4A8AEA62" w14:textId="5A6FA5F7" w:rsidR="00EB4FB5" w:rsidRPr="00002955" w:rsidRDefault="00EB4FB5" w:rsidP="00FA3F0E">
            <w:pPr>
              <w:jc w:val="both"/>
              <w:rPr>
                <w:rFonts w:eastAsia="Times New Roman"/>
                <w:bCs/>
                <w:color w:val="000000"/>
                <w:sz w:val="16"/>
                <w:szCs w:val="16"/>
                <w:lang w:val="en-US"/>
              </w:rPr>
            </w:pPr>
            <w:r>
              <w:rPr>
                <w:rFonts w:eastAsia="Times New Roman"/>
                <w:bCs/>
                <w:color w:val="000000"/>
                <w:sz w:val="16"/>
                <w:szCs w:val="16"/>
                <w:lang w:val="en-US"/>
              </w:rPr>
              <w:t xml:space="preserve">TGax editor: Please replace </w:t>
            </w:r>
            <w:r w:rsidR="0069652B">
              <w:rPr>
                <w:rFonts w:eastAsia="Times New Roman"/>
                <w:bCs/>
                <w:color w:val="000000"/>
                <w:sz w:val="16"/>
                <w:szCs w:val="16"/>
                <w:lang w:val="en-US"/>
              </w:rPr>
              <w:t xml:space="preserve">“is defined in </w:t>
            </w:r>
            <w:r w:rsidR="0069652B" w:rsidRPr="0069652B">
              <w:rPr>
                <w:rFonts w:eastAsia="Times New Roman"/>
                <w:bCs/>
                <w:color w:val="000000"/>
                <w:sz w:val="16"/>
                <w:szCs w:val="16"/>
                <w:lang w:val="en-US"/>
              </w:rPr>
              <w:t>Table 9-31h (B7–B1 of the RU Allocation subfield)</w:t>
            </w:r>
            <w:r w:rsidR="0069652B">
              <w:rPr>
                <w:rFonts w:eastAsia="Times New Roman"/>
                <w:bCs/>
                <w:color w:val="000000"/>
                <w:sz w:val="16"/>
                <w:szCs w:val="16"/>
                <w:lang w:val="en-US"/>
              </w:rPr>
              <w:t>”</w:t>
            </w:r>
            <w:r w:rsidR="00BC7F0F">
              <w:rPr>
                <w:rFonts w:eastAsia="Times New Roman"/>
                <w:bCs/>
                <w:color w:val="000000"/>
                <w:sz w:val="16"/>
                <w:szCs w:val="16"/>
                <w:lang w:val="en-US"/>
              </w:rPr>
              <w:t xml:space="preserve"> with “is defined in </w:t>
            </w:r>
            <w:r w:rsidR="009D603D">
              <w:rPr>
                <w:rFonts w:eastAsia="Times New Roman"/>
                <w:bCs/>
                <w:color w:val="000000"/>
                <w:sz w:val="16"/>
                <w:szCs w:val="16"/>
                <w:lang w:val="en-US"/>
              </w:rPr>
              <w:t>9.3.1.22.1 (General)”.</w:t>
            </w:r>
          </w:p>
        </w:tc>
      </w:tr>
      <w:tr w:rsidR="00FA3F0E" w:rsidRPr="001F620B" w14:paraId="676D2805" w14:textId="77777777" w:rsidTr="004C4A47">
        <w:trPr>
          <w:trHeight w:val="220"/>
        </w:trPr>
        <w:tc>
          <w:tcPr>
            <w:tcW w:w="696" w:type="dxa"/>
            <w:shd w:val="clear" w:color="auto" w:fill="auto"/>
            <w:noWrap/>
          </w:tcPr>
          <w:p w14:paraId="4E0B9269" w14:textId="088D8D8D" w:rsidR="00FA3F0E" w:rsidRPr="002130DC" w:rsidRDefault="00FA3F0E" w:rsidP="00FA3F0E">
            <w:pPr>
              <w:jc w:val="both"/>
              <w:rPr>
                <w:rFonts w:eastAsia="Times New Roman"/>
                <w:bCs/>
                <w:color w:val="000000"/>
                <w:sz w:val="16"/>
                <w:szCs w:val="16"/>
                <w:lang w:val="en-US"/>
              </w:rPr>
            </w:pPr>
            <w:r w:rsidRPr="00E31880">
              <w:t>24421</w:t>
            </w:r>
          </w:p>
        </w:tc>
        <w:tc>
          <w:tcPr>
            <w:tcW w:w="1061" w:type="dxa"/>
            <w:shd w:val="clear" w:color="auto" w:fill="auto"/>
            <w:noWrap/>
          </w:tcPr>
          <w:p w14:paraId="2CFCA754" w14:textId="397C070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73AC0B8B" w14:textId="0CBA49DD"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A43BF05" w14:textId="364FCD0C"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0403EF79" w14:textId="0D2331B9"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Set b25 of the TRS Control to 1 (rather than being reserved) so it can be distinguished</w:t>
            </w:r>
          </w:p>
        </w:tc>
        <w:tc>
          <w:tcPr>
            <w:tcW w:w="3757" w:type="dxa"/>
            <w:shd w:val="clear" w:color="auto" w:fill="auto"/>
            <w:vAlign w:val="center"/>
          </w:tcPr>
          <w:p w14:paraId="05314BD7" w14:textId="77777777" w:rsidR="00BB06D3" w:rsidRDefault="00BB06D3" w:rsidP="00BB06D3">
            <w:pPr>
              <w:jc w:val="both"/>
              <w:rPr>
                <w:rFonts w:eastAsia="Times New Roman"/>
                <w:bCs/>
                <w:color w:val="000000"/>
                <w:sz w:val="16"/>
                <w:szCs w:val="16"/>
                <w:lang w:val="en-US"/>
              </w:rPr>
            </w:pPr>
            <w:r>
              <w:rPr>
                <w:rFonts w:eastAsia="Times New Roman"/>
                <w:bCs/>
                <w:color w:val="000000"/>
                <w:sz w:val="16"/>
                <w:szCs w:val="16"/>
                <w:lang w:val="en-US"/>
              </w:rPr>
              <w:t>Rejected –</w:t>
            </w:r>
          </w:p>
          <w:p w14:paraId="4F372838" w14:textId="77777777" w:rsidR="00BB06D3" w:rsidRDefault="00BB06D3" w:rsidP="00BB06D3">
            <w:pPr>
              <w:jc w:val="both"/>
              <w:rPr>
                <w:rFonts w:eastAsia="Times New Roman"/>
                <w:bCs/>
                <w:color w:val="000000"/>
                <w:sz w:val="16"/>
                <w:szCs w:val="16"/>
                <w:lang w:val="en-US"/>
              </w:rPr>
            </w:pPr>
          </w:p>
          <w:p w14:paraId="2606A177" w14:textId="120EDBE1" w:rsidR="00FA3F0E" w:rsidRPr="00002955" w:rsidRDefault="00BB06D3" w:rsidP="00BB06D3">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padding i.e., it always follows another Control subfield (which will at least contain one nonzero bit, since TSR Control field is the only one that may contain all zeroes bits but when TRS Control field is added then no padding is added as the length is already filled). As such if a sequence of all zeroes is present in the A-Control field that is a clear indication that it is a TRS Control field with all bits set to 0.</w:t>
            </w:r>
          </w:p>
        </w:tc>
      </w:tr>
      <w:tr w:rsidR="00FA3F0E" w:rsidRPr="001F620B" w14:paraId="2E8E974E" w14:textId="77777777" w:rsidTr="004C4A47">
        <w:trPr>
          <w:trHeight w:val="220"/>
        </w:trPr>
        <w:tc>
          <w:tcPr>
            <w:tcW w:w="696" w:type="dxa"/>
            <w:shd w:val="clear" w:color="auto" w:fill="auto"/>
            <w:noWrap/>
          </w:tcPr>
          <w:p w14:paraId="1C2FDF0A" w14:textId="66268935" w:rsidR="00FA3F0E" w:rsidRPr="002130DC" w:rsidRDefault="00FA3F0E" w:rsidP="00FA3F0E">
            <w:pPr>
              <w:jc w:val="both"/>
              <w:rPr>
                <w:rFonts w:eastAsia="Times New Roman"/>
                <w:bCs/>
                <w:color w:val="000000"/>
                <w:sz w:val="16"/>
                <w:szCs w:val="16"/>
                <w:lang w:val="en-US"/>
              </w:rPr>
            </w:pPr>
            <w:r w:rsidRPr="00E31880">
              <w:t>24422</w:t>
            </w:r>
          </w:p>
        </w:tc>
        <w:tc>
          <w:tcPr>
            <w:tcW w:w="1061" w:type="dxa"/>
            <w:shd w:val="clear" w:color="auto" w:fill="auto"/>
            <w:noWrap/>
          </w:tcPr>
          <w:p w14:paraId="738C32A9" w14:textId="6F6AA52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48067CA" w14:textId="61B05FD3"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D1AADE4" w14:textId="41DC8C1B"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w:t>
            </w:r>
            <w:r w:rsidRPr="00471F89">
              <w:rPr>
                <w:rFonts w:eastAsia="Times New Roman"/>
                <w:bCs/>
                <w:color w:val="000000"/>
                <w:sz w:val="16"/>
                <w:szCs w:val="16"/>
                <w:lang w:val="en-US"/>
              </w:rPr>
              <w:lastRenderedPageBreak/>
              <w:t xml:space="preserve">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738DC0D1" w14:textId="3D0FFF5D"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lastRenderedPageBreak/>
              <w:t>Add a para at the end of the referenced subclause "A TRS Control field specifying zero for all fields is not used."</w:t>
            </w:r>
          </w:p>
        </w:tc>
        <w:tc>
          <w:tcPr>
            <w:tcW w:w="3757" w:type="dxa"/>
            <w:shd w:val="clear" w:color="auto" w:fill="auto"/>
            <w:vAlign w:val="center"/>
          </w:tcPr>
          <w:p w14:paraId="017AE33B" w14:textId="669A61E8" w:rsidR="00FA3F0E" w:rsidRDefault="00B67A4B"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797ECE10" w14:textId="77777777" w:rsidR="00B67A4B" w:rsidRDefault="00B67A4B" w:rsidP="00FA3F0E">
            <w:pPr>
              <w:jc w:val="both"/>
              <w:rPr>
                <w:rFonts w:eastAsia="Times New Roman"/>
                <w:bCs/>
                <w:color w:val="000000"/>
                <w:sz w:val="16"/>
                <w:szCs w:val="16"/>
                <w:lang w:val="en-US"/>
              </w:rPr>
            </w:pPr>
          </w:p>
          <w:p w14:paraId="202B0C96" w14:textId="0D730616" w:rsidR="00B67A4B" w:rsidRPr="00002955" w:rsidRDefault="00B67A4B" w:rsidP="00FA3F0E">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w:t>
            </w:r>
            <w:r w:rsidR="00C34AB3">
              <w:rPr>
                <w:rFonts w:eastAsia="Times New Roman"/>
                <w:bCs/>
                <w:color w:val="000000"/>
                <w:sz w:val="16"/>
                <w:szCs w:val="16"/>
                <w:lang w:val="en-US"/>
              </w:rPr>
              <w:t>g</w:t>
            </w:r>
            <w:r w:rsidR="005668C3">
              <w:rPr>
                <w:rFonts w:eastAsia="Times New Roman"/>
                <w:bCs/>
                <w:color w:val="000000"/>
                <w:sz w:val="16"/>
                <w:szCs w:val="16"/>
                <w:lang w:val="en-US"/>
              </w:rPr>
              <w:t xml:space="preserve"> i.e., it always follows another Control </w:t>
            </w:r>
            <w:r w:rsidR="005668C3">
              <w:rPr>
                <w:rFonts w:eastAsia="Times New Roman"/>
                <w:bCs/>
                <w:color w:val="000000"/>
                <w:sz w:val="16"/>
                <w:szCs w:val="16"/>
                <w:lang w:val="en-US"/>
              </w:rPr>
              <w:lastRenderedPageBreak/>
              <w:t>subfield (which will at least contain one nonzero bit, since TSR Control field is the only one that may contain all zeroes bits but when TRS Control field is added then no padding is added as the length is already filled)</w:t>
            </w:r>
            <w:r>
              <w:rPr>
                <w:rFonts w:eastAsia="Times New Roman"/>
                <w:bCs/>
                <w:color w:val="000000"/>
                <w:sz w:val="16"/>
                <w:szCs w:val="16"/>
                <w:lang w:val="en-US"/>
              </w:rPr>
              <w:t>. As such if a sequence of all zeroes is present in the A-Control field that is a clear indication that it is a TRS Control field with all bits set to 0.</w:t>
            </w:r>
          </w:p>
        </w:tc>
      </w:tr>
      <w:tr w:rsidR="00FA3F0E" w:rsidRPr="001F620B" w14:paraId="38DDC629" w14:textId="77777777" w:rsidTr="004C4A47">
        <w:trPr>
          <w:trHeight w:val="220"/>
        </w:trPr>
        <w:tc>
          <w:tcPr>
            <w:tcW w:w="696" w:type="dxa"/>
            <w:shd w:val="clear" w:color="auto" w:fill="auto"/>
            <w:noWrap/>
          </w:tcPr>
          <w:p w14:paraId="0D1B4311" w14:textId="694E760C" w:rsidR="00FA3F0E" w:rsidRPr="002130DC" w:rsidRDefault="00FA3F0E" w:rsidP="00FA3F0E">
            <w:pPr>
              <w:jc w:val="both"/>
              <w:rPr>
                <w:rFonts w:eastAsia="Times New Roman"/>
                <w:bCs/>
                <w:color w:val="000000"/>
                <w:sz w:val="16"/>
                <w:szCs w:val="16"/>
                <w:lang w:val="en-US"/>
              </w:rPr>
            </w:pPr>
            <w:r w:rsidRPr="00E31880">
              <w:lastRenderedPageBreak/>
              <w:t>24464</w:t>
            </w:r>
          </w:p>
        </w:tc>
        <w:tc>
          <w:tcPr>
            <w:tcW w:w="1061" w:type="dxa"/>
            <w:shd w:val="clear" w:color="auto" w:fill="auto"/>
            <w:noWrap/>
          </w:tcPr>
          <w:p w14:paraId="69E89168" w14:textId="0213A313"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A1F1F65"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37042CA6" w14:textId="2DFAAF8E" w:rsidR="00FA3F0E" w:rsidRPr="002130DC" w:rsidRDefault="006013D1" w:rsidP="00FA3F0E">
            <w:pPr>
              <w:jc w:val="both"/>
              <w:rPr>
                <w:rFonts w:eastAsia="Times New Roman"/>
                <w:bCs/>
                <w:color w:val="000000"/>
                <w:sz w:val="16"/>
                <w:szCs w:val="16"/>
                <w:lang w:val="en-US"/>
              </w:rPr>
            </w:pPr>
            <w:r w:rsidRPr="006013D1">
              <w:rPr>
                <w:rFonts w:eastAsia="Times New Roman"/>
                <w:bCs/>
                <w:color w:val="000000"/>
                <w:sz w:val="16"/>
                <w:szCs w:val="16"/>
                <w:lang w:val="en-US"/>
              </w:rPr>
              <w:t>"MSDUs and A-MSDUs buffered at the STA" -- the STA does not buffer A-MSDUs, it buffers MSDUs because these are the things received at the MAC SAP.  Any buffering of A-MSDUs is an internal implementation detail that should not be exposed.  CID 4462 on REVmd/D3.0 has been raised to fix this issue in the baseline</w:t>
            </w:r>
          </w:p>
        </w:tc>
        <w:tc>
          <w:tcPr>
            <w:tcW w:w="2453" w:type="dxa"/>
            <w:shd w:val="clear" w:color="auto" w:fill="auto"/>
            <w:noWrap/>
          </w:tcPr>
          <w:p w14:paraId="5B431804"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9.2.4.5.6 change ""all MSDUs and A-MSDUs buffered at the STA (excluding</w:t>
            </w:r>
          </w:p>
          <w:p w14:paraId="37FD278C"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 or A-MSDU of the present QoS Data frame) in the delivery queue used for MSDUs and</w:t>
            </w:r>
          </w:p>
          <w:p w14:paraId="05E2F463"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A-MSDUs with TID values equal to the value in the TID subfield of this QoS Control field."" to ""all MSDUs buffered at the STA (excluding</w:t>
            </w:r>
          </w:p>
          <w:p w14:paraId="6EC63B3A"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MSDU(s) in the present QoS Data frame) in the delivery queue used for MSDUs with TID values equal to the value in the TID subfield of this QoS Control field."" and ""The queue size, QS, is the approximate total size in octets, of all MSDUs and A-MSDUs buffered at the STA</w:t>
            </w:r>
          </w:p>
          <w:p w14:paraId="45DB01ED"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or A-MSDUs in the same PSDU as the frame containing the Queue Size subfield) in</w:t>
            </w:r>
          </w:p>
          <w:p w14:paraId="7DE5C3A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and A-MSDUs with TID values equal to the value in the TID subfield</w:t>
            </w:r>
          </w:p>
          <w:p w14:paraId="728ECBD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to ""The queue size, QS, is the approximate total size in octets, of all MSDUs buffered at the STA</w:t>
            </w:r>
          </w:p>
          <w:p w14:paraId="6B2F7EC7"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in the same PSDU as the frame containing the Queue Size subfield) in</w:t>
            </w:r>
          </w:p>
          <w:p w14:paraId="181F79A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with TID values equal to the value in the TID subfield</w:t>
            </w:r>
          </w:p>
          <w:p w14:paraId="0A89C72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In 9.2.4.6a.4 change ""all MSDUs and A-MSDUs buffered at the STA (including the MSDUs</w:t>
            </w:r>
          </w:p>
          <w:p w14:paraId="62AA808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or A-MSDUs in the same PSDU as the frame containing the BSR Control subfield) in the delivery queues</w:t>
            </w:r>
          </w:p>
          <w:p w14:paraId="4210C46F"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 and A-MSDUs"" to ""all MSDUs buffered at the STA (including the MSDUs</w:t>
            </w:r>
          </w:p>
          <w:p w14:paraId="184C9B9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the same PSDU as the frame containing the BSR Control subfield) in the delivery queues</w:t>
            </w:r>
          </w:p>
          <w:p w14:paraId="3631B6AB" w14:textId="4DF8907E" w:rsidR="00FA3F0E" w:rsidRPr="002130DC"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w:t>
            </w:r>
          </w:p>
        </w:tc>
        <w:tc>
          <w:tcPr>
            <w:tcW w:w="3757" w:type="dxa"/>
            <w:shd w:val="clear" w:color="auto" w:fill="auto"/>
            <w:vAlign w:val="center"/>
          </w:tcPr>
          <w:p w14:paraId="1FE43185" w14:textId="77777777" w:rsidR="005244E1" w:rsidRDefault="005244E1" w:rsidP="005244E1">
            <w:pPr>
              <w:jc w:val="both"/>
              <w:rPr>
                <w:rFonts w:eastAsia="Times New Roman"/>
                <w:bCs/>
                <w:color w:val="000000"/>
                <w:sz w:val="16"/>
                <w:szCs w:val="16"/>
                <w:lang w:val="en-US"/>
              </w:rPr>
            </w:pPr>
            <w:r>
              <w:rPr>
                <w:rFonts w:eastAsia="Times New Roman"/>
                <w:bCs/>
                <w:color w:val="000000"/>
                <w:sz w:val="16"/>
                <w:szCs w:val="16"/>
                <w:lang w:val="en-US"/>
              </w:rPr>
              <w:t>Rejected –</w:t>
            </w:r>
          </w:p>
          <w:p w14:paraId="1FF7609A" w14:textId="77777777" w:rsidR="00E97FB1" w:rsidRDefault="00E97FB1" w:rsidP="005244E1">
            <w:pPr>
              <w:jc w:val="both"/>
              <w:rPr>
                <w:rFonts w:eastAsia="Times New Roman"/>
                <w:bCs/>
                <w:color w:val="000000"/>
                <w:sz w:val="16"/>
                <w:szCs w:val="16"/>
                <w:lang w:val="en-US"/>
              </w:rPr>
            </w:pPr>
          </w:p>
          <w:p w14:paraId="2643F48E" w14:textId="7A761B04" w:rsidR="00FA3F0E" w:rsidRDefault="00FE55B8" w:rsidP="005244E1">
            <w:pPr>
              <w:jc w:val="both"/>
              <w:rPr>
                <w:rFonts w:eastAsia="Times New Roman"/>
                <w:bCs/>
                <w:color w:val="000000"/>
                <w:sz w:val="16"/>
                <w:szCs w:val="16"/>
                <w:lang w:val="en-US"/>
              </w:rPr>
            </w:pPr>
            <w:r>
              <w:rPr>
                <w:rFonts w:eastAsia="Times New Roman"/>
                <w:bCs/>
                <w:color w:val="000000"/>
                <w:sz w:val="16"/>
                <w:szCs w:val="16"/>
                <w:lang w:val="en-US"/>
              </w:rPr>
              <w:t xml:space="preserve">Whether MSDUs are buffered </w:t>
            </w:r>
            <w:r w:rsidR="00BC7C92">
              <w:rPr>
                <w:rFonts w:eastAsia="Times New Roman"/>
                <w:bCs/>
                <w:color w:val="000000"/>
                <w:sz w:val="16"/>
                <w:szCs w:val="16"/>
                <w:lang w:val="en-US"/>
              </w:rPr>
              <w:t>internally as MSDUs or A-MSDUs is indeed an implementation detail. However</w:t>
            </w:r>
            <w:r w:rsidR="00F216AF">
              <w:rPr>
                <w:rFonts w:eastAsia="Times New Roman"/>
                <w:bCs/>
                <w:color w:val="000000"/>
                <w:sz w:val="16"/>
                <w:szCs w:val="16"/>
                <w:lang w:val="en-US"/>
              </w:rPr>
              <w:t>,</w:t>
            </w:r>
            <w:r w:rsidR="00BC7C92">
              <w:rPr>
                <w:rFonts w:eastAsia="Times New Roman"/>
                <w:bCs/>
                <w:color w:val="000000"/>
                <w:sz w:val="16"/>
                <w:szCs w:val="16"/>
                <w:lang w:val="en-US"/>
              </w:rPr>
              <w:t xml:space="preserve"> there is no technical reason to not expose it</w:t>
            </w:r>
            <w:r w:rsidR="00F216AF">
              <w:rPr>
                <w:rFonts w:eastAsia="Times New Roman"/>
                <w:bCs/>
                <w:color w:val="000000"/>
                <w:sz w:val="16"/>
                <w:szCs w:val="16"/>
                <w:lang w:val="en-US"/>
              </w:rPr>
              <w:t xml:space="preserve"> (even though it is not exposing anything because</w:t>
            </w:r>
            <w:r w:rsidR="00BC7C92">
              <w:rPr>
                <w:rFonts w:eastAsia="Times New Roman"/>
                <w:bCs/>
                <w:color w:val="000000"/>
                <w:sz w:val="16"/>
                <w:szCs w:val="16"/>
                <w:lang w:val="en-US"/>
              </w:rPr>
              <w:t xml:space="preserve"> as the spec stands so far the STA can chose to do either of the two. </w:t>
            </w:r>
          </w:p>
          <w:p w14:paraId="44D192DB" w14:textId="77777777" w:rsidR="009E2E73" w:rsidRDefault="009E2E73" w:rsidP="005244E1">
            <w:pPr>
              <w:jc w:val="both"/>
              <w:rPr>
                <w:rFonts w:eastAsia="Times New Roman"/>
                <w:bCs/>
                <w:color w:val="000000"/>
                <w:sz w:val="16"/>
                <w:szCs w:val="16"/>
                <w:lang w:val="en-US"/>
              </w:rPr>
            </w:pPr>
          </w:p>
          <w:p w14:paraId="2C399A36" w14:textId="2FCA4798" w:rsidR="009E2E73" w:rsidRPr="00002955" w:rsidRDefault="009E2E73" w:rsidP="005244E1">
            <w:pPr>
              <w:jc w:val="both"/>
              <w:rPr>
                <w:rFonts w:eastAsia="Times New Roman"/>
                <w:bCs/>
                <w:color w:val="000000"/>
                <w:sz w:val="16"/>
                <w:szCs w:val="16"/>
                <w:lang w:val="en-US"/>
              </w:rPr>
            </w:pPr>
            <w:r>
              <w:rPr>
                <w:rFonts w:eastAsia="Times New Roman"/>
                <w:bCs/>
                <w:color w:val="000000"/>
                <w:sz w:val="16"/>
                <w:szCs w:val="16"/>
                <w:lang w:val="en-US"/>
              </w:rPr>
              <w:t xml:space="preserve">Providing information of the queue size, including A-MSDUs, is also beneficial because the STA may be transmitting these MSDUs as A-MSDU, so the reporting would include the </w:t>
            </w:r>
            <w:r w:rsidR="00D04965">
              <w:rPr>
                <w:rFonts w:eastAsia="Times New Roman"/>
                <w:bCs/>
                <w:color w:val="000000"/>
                <w:sz w:val="16"/>
                <w:szCs w:val="16"/>
                <w:lang w:val="en-US"/>
              </w:rPr>
              <w:t xml:space="preserve">A-MSDU subframe headers, which is better from the reporting perspective because the AP will account for these extra </w:t>
            </w:r>
            <w:r w:rsidR="004066E2">
              <w:rPr>
                <w:rFonts w:eastAsia="Times New Roman"/>
                <w:bCs/>
                <w:color w:val="000000"/>
                <w:sz w:val="16"/>
                <w:szCs w:val="16"/>
                <w:lang w:val="en-US"/>
              </w:rPr>
              <w:t>bytes when triggering the STA.</w:t>
            </w:r>
          </w:p>
        </w:tc>
      </w:tr>
      <w:tr w:rsidR="00FA3F0E" w:rsidRPr="001F620B" w14:paraId="5C891BEF" w14:textId="77777777" w:rsidTr="004C4A47">
        <w:trPr>
          <w:trHeight w:val="220"/>
        </w:trPr>
        <w:tc>
          <w:tcPr>
            <w:tcW w:w="696" w:type="dxa"/>
            <w:shd w:val="clear" w:color="auto" w:fill="auto"/>
            <w:noWrap/>
          </w:tcPr>
          <w:p w14:paraId="6F4FC352" w14:textId="4663B4EB" w:rsidR="00FA3F0E" w:rsidRPr="002130DC" w:rsidRDefault="00FA3F0E" w:rsidP="00FA3F0E">
            <w:pPr>
              <w:jc w:val="both"/>
              <w:rPr>
                <w:rFonts w:eastAsia="Times New Roman"/>
                <w:bCs/>
                <w:color w:val="000000"/>
                <w:sz w:val="16"/>
                <w:szCs w:val="16"/>
                <w:lang w:val="en-US"/>
              </w:rPr>
            </w:pPr>
            <w:r w:rsidRPr="00E31880">
              <w:t>24492</w:t>
            </w:r>
          </w:p>
        </w:tc>
        <w:tc>
          <w:tcPr>
            <w:tcW w:w="1061" w:type="dxa"/>
            <w:shd w:val="clear" w:color="auto" w:fill="auto"/>
            <w:noWrap/>
          </w:tcPr>
          <w:p w14:paraId="620523B0" w14:textId="7A206ADE"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7A36FD5C"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2AA2BE3D" w14:textId="0CDBF4E5" w:rsidR="00FA3F0E" w:rsidRPr="002130DC" w:rsidRDefault="00664FD0" w:rsidP="00FA3F0E">
            <w:pPr>
              <w:jc w:val="both"/>
              <w:rPr>
                <w:rFonts w:eastAsia="Times New Roman"/>
                <w:bCs/>
                <w:color w:val="000000"/>
                <w:sz w:val="16"/>
                <w:szCs w:val="16"/>
                <w:lang w:val="en-US"/>
              </w:rPr>
            </w:pPr>
            <w:r w:rsidRPr="00664FD0">
              <w:rPr>
                <w:rFonts w:eastAsia="Times New Roman"/>
                <w:bCs/>
                <w:color w:val="000000"/>
                <w:sz w:val="16"/>
                <w:szCs w:val="16"/>
                <w:lang w:val="en-US"/>
              </w:rPr>
              <w:t xml:space="preserve">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w:t>
            </w:r>
            <w:r w:rsidRPr="00664FD0">
              <w:rPr>
                <w:rFonts w:eastAsia="Times New Roman"/>
                <w:bCs/>
                <w:color w:val="000000"/>
                <w:sz w:val="16"/>
                <w:szCs w:val="16"/>
                <w:lang w:val="en-US"/>
              </w:rPr>
              <w:lastRenderedPageBreak/>
              <w:t>misleading information as to the amount of data the STA has queued</w:t>
            </w:r>
          </w:p>
        </w:tc>
        <w:tc>
          <w:tcPr>
            <w:tcW w:w="2453" w:type="dxa"/>
            <w:shd w:val="clear" w:color="auto" w:fill="auto"/>
            <w:noWrap/>
          </w:tcPr>
          <w:p w14:paraId="0C00FBB2" w14:textId="77777777" w:rsidR="00664FD0" w:rsidRPr="00664FD0"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lastRenderedPageBreak/>
              <w:t>"In 9.2.4.5.6 Queue Size subfield, after NOTE 2, add ""The queue size may additionally include the approximate total size in octets, of MSDUs buffered above the MAC SAP with priority values equal to the value in the TID subfield</w:t>
            </w:r>
          </w:p>
          <w:p w14:paraId="406901E7" w14:textId="1CC49F7A" w:rsidR="00FA3F0E" w:rsidRPr="002130DC"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of this QoS Control field.  The mechanism by which the MAC is informed of this is outside the scope of this standard."""</w:t>
            </w:r>
          </w:p>
        </w:tc>
        <w:tc>
          <w:tcPr>
            <w:tcW w:w="3757" w:type="dxa"/>
            <w:shd w:val="clear" w:color="auto" w:fill="auto"/>
            <w:vAlign w:val="center"/>
          </w:tcPr>
          <w:p w14:paraId="5DF9535B" w14:textId="77777777" w:rsidR="001639DA" w:rsidRDefault="001639DA" w:rsidP="001639DA">
            <w:pPr>
              <w:jc w:val="both"/>
              <w:rPr>
                <w:rFonts w:eastAsia="Times New Roman"/>
                <w:bCs/>
                <w:color w:val="000000"/>
                <w:sz w:val="16"/>
                <w:szCs w:val="16"/>
                <w:lang w:val="en-US"/>
              </w:rPr>
            </w:pPr>
            <w:r>
              <w:rPr>
                <w:rFonts w:eastAsia="Times New Roman"/>
                <w:bCs/>
                <w:color w:val="000000"/>
                <w:sz w:val="16"/>
                <w:szCs w:val="16"/>
                <w:lang w:val="en-US"/>
              </w:rPr>
              <w:t>Rejected –</w:t>
            </w:r>
          </w:p>
          <w:p w14:paraId="44BD2394" w14:textId="77777777" w:rsidR="008448F8" w:rsidRDefault="008448F8" w:rsidP="001639DA">
            <w:pPr>
              <w:jc w:val="both"/>
              <w:rPr>
                <w:rFonts w:eastAsia="Times New Roman"/>
                <w:bCs/>
                <w:color w:val="000000"/>
                <w:sz w:val="16"/>
                <w:szCs w:val="16"/>
                <w:lang w:val="en-US"/>
              </w:rPr>
            </w:pPr>
          </w:p>
          <w:p w14:paraId="177AC94C" w14:textId="726E9F23" w:rsidR="00FA3F0E" w:rsidRPr="00002955" w:rsidRDefault="001639DA" w:rsidP="001639DA">
            <w:pPr>
              <w:jc w:val="both"/>
              <w:rPr>
                <w:rFonts w:eastAsia="Times New Roman"/>
                <w:bCs/>
                <w:color w:val="000000"/>
                <w:sz w:val="16"/>
                <w:szCs w:val="16"/>
                <w:lang w:val="en-US"/>
              </w:rPr>
            </w:pPr>
            <w:r>
              <w:rPr>
                <w:rFonts w:eastAsia="Times New Roman"/>
                <w:bCs/>
                <w:color w:val="000000"/>
                <w:sz w:val="16"/>
                <w:szCs w:val="16"/>
                <w:lang w:val="en-US"/>
              </w:rPr>
              <w:t xml:space="preserve">Please note that the MAC does not know what resides above the MAC SAP. It only knows what the MAC SAP </w:t>
            </w:r>
            <w:r w:rsidR="001B3718">
              <w:rPr>
                <w:rFonts w:eastAsia="Times New Roman"/>
                <w:bCs/>
                <w:color w:val="000000"/>
                <w:sz w:val="16"/>
                <w:szCs w:val="16"/>
                <w:lang w:val="en-US"/>
              </w:rPr>
              <w:t>indicating</w:t>
            </w:r>
            <w:bookmarkStart w:id="0" w:name="_GoBack"/>
            <w:bookmarkEnd w:id="0"/>
            <w:r>
              <w:rPr>
                <w:rFonts w:eastAsia="Times New Roman"/>
                <w:bCs/>
                <w:color w:val="000000"/>
                <w:sz w:val="16"/>
                <w:szCs w:val="16"/>
                <w:lang w:val="en-US"/>
              </w:rPr>
              <w:t>. Hence referring to what is being provided via the MAC SAP is correct.</w:t>
            </w:r>
          </w:p>
        </w:tc>
      </w:tr>
      <w:tr w:rsidR="00FA3F0E" w:rsidRPr="001F620B" w14:paraId="3BBAEB5D" w14:textId="77777777" w:rsidTr="004C4A47">
        <w:trPr>
          <w:trHeight w:val="220"/>
        </w:trPr>
        <w:tc>
          <w:tcPr>
            <w:tcW w:w="696" w:type="dxa"/>
            <w:shd w:val="clear" w:color="auto" w:fill="auto"/>
            <w:noWrap/>
          </w:tcPr>
          <w:p w14:paraId="130189ED" w14:textId="48B0D324" w:rsidR="00FA3F0E" w:rsidRPr="002130DC" w:rsidRDefault="00FA3F0E" w:rsidP="00FA3F0E">
            <w:pPr>
              <w:jc w:val="both"/>
              <w:rPr>
                <w:rFonts w:eastAsia="Times New Roman"/>
                <w:bCs/>
                <w:color w:val="000000"/>
                <w:sz w:val="16"/>
                <w:szCs w:val="16"/>
                <w:lang w:val="en-US"/>
              </w:rPr>
            </w:pPr>
            <w:r w:rsidRPr="00E31880">
              <w:t>24493</w:t>
            </w:r>
          </w:p>
        </w:tc>
        <w:tc>
          <w:tcPr>
            <w:tcW w:w="1061" w:type="dxa"/>
            <w:shd w:val="clear" w:color="auto" w:fill="auto"/>
            <w:noWrap/>
          </w:tcPr>
          <w:p w14:paraId="3D15045E" w14:textId="42A0D5BC"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A55579F"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670F67EB" w14:textId="77722744" w:rsidR="00FA3F0E" w:rsidRPr="002130DC" w:rsidRDefault="00664FD0" w:rsidP="00FA3F0E">
            <w:pPr>
              <w:jc w:val="both"/>
              <w:rPr>
                <w:rFonts w:eastAsia="Times New Roman"/>
                <w:bCs/>
                <w:color w:val="000000"/>
                <w:sz w:val="16"/>
                <w:szCs w:val="16"/>
                <w:lang w:val="en-US"/>
              </w:rPr>
            </w:pPr>
            <w:r w:rsidRPr="00664FD0">
              <w:rPr>
                <w:rFonts w:eastAsia="Times New Roman"/>
                <w:bCs/>
                <w:color w:val="000000"/>
                <w:sz w:val="16"/>
                <w:szCs w:val="16"/>
                <w:lang w:val="en-US"/>
              </w:rPr>
              <w:t>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misleading information as to the amount of data the STA has queued</w:t>
            </w:r>
          </w:p>
        </w:tc>
        <w:tc>
          <w:tcPr>
            <w:tcW w:w="2453" w:type="dxa"/>
            <w:shd w:val="clear" w:color="auto" w:fill="auto"/>
            <w:noWrap/>
          </w:tcPr>
          <w:p w14:paraId="2C635911" w14:textId="77777777" w:rsidR="00664FD0" w:rsidRPr="00664FD0"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"In 9.2.4.5.6 Queue Size subfield, after NOTE 2, add ""The queue size may additionally include the approximate total size in octets, of MSDUs buffered above the MAC SAP with priority values equal to the value in the TID subfield</w:t>
            </w:r>
          </w:p>
          <w:p w14:paraId="5512978F" w14:textId="7A5CBAA3" w:rsidR="00FA3F0E" w:rsidRPr="002130DC"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of this QoS Control field."" and add a MLME-</w:t>
            </w:r>
            <w:proofErr w:type="spellStart"/>
            <w:r w:rsidRPr="00664FD0">
              <w:rPr>
                <w:rFonts w:eastAsia="Times New Roman"/>
                <w:bCs/>
                <w:color w:val="000000"/>
                <w:sz w:val="16"/>
                <w:szCs w:val="16"/>
                <w:lang w:val="en-US"/>
              </w:rPr>
              <w:t>PENDINGUNITDATA.indication</w:t>
            </w:r>
            <w:proofErr w:type="spellEnd"/>
            <w:r w:rsidRPr="00664FD0">
              <w:rPr>
                <w:rFonts w:eastAsia="Times New Roman"/>
                <w:bCs/>
                <w:color w:val="000000"/>
                <w:sz w:val="16"/>
                <w:szCs w:val="16"/>
                <w:lang w:val="en-US"/>
              </w:rPr>
              <w:t xml:space="preserve"> to allow the MAC to find out how much data is pending above it"</w:t>
            </w:r>
          </w:p>
        </w:tc>
        <w:tc>
          <w:tcPr>
            <w:tcW w:w="3757" w:type="dxa"/>
            <w:shd w:val="clear" w:color="auto" w:fill="auto"/>
            <w:vAlign w:val="center"/>
          </w:tcPr>
          <w:p w14:paraId="51D2055B" w14:textId="695FDBA1" w:rsidR="00FA3F0E" w:rsidRDefault="006732D6"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41F5986F" w14:textId="77777777" w:rsidR="006732D6" w:rsidRDefault="006732D6" w:rsidP="00FA3F0E">
            <w:pPr>
              <w:jc w:val="both"/>
              <w:rPr>
                <w:rFonts w:eastAsia="Times New Roman"/>
                <w:bCs/>
                <w:color w:val="000000"/>
                <w:sz w:val="16"/>
                <w:szCs w:val="16"/>
                <w:lang w:val="en-US"/>
              </w:rPr>
            </w:pPr>
          </w:p>
          <w:p w14:paraId="454D2616" w14:textId="388B8661" w:rsidR="006732D6" w:rsidRPr="00002955" w:rsidRDefault="002A45BD" w:rsidP="00FA3F0E">
            <w:pPr>
              <w:jc w:val="both"/>
              <w:rPr>
                <w:rFonts w:eastAsia="Times New Roman"/>
                <w:bCs/>
                <w:color w:val="000000"/>
                <w:sz w:val="16"/>
                <w:szCs w:val="16"/>
                <w:lang w:val="en-US"/>
              </w:rPr>
            </w:pPr>
            <w:r>
              <w:rPr>
                <w:rFonts w:eastAsia="Times New Roman"/>
                <w:bCs/>
                <w:color w:val="000000"/>
                <w:sz w:val="16"/>
                <w:szCs w:val="16"/>
                <w:lang w:val="en-US"/>
              </w:rPr>
              <w:t xml:space="preserve">Please note that the MAC does not know what resides above the MAC SAP. It only knows what the MAC SAP is </w:t>
            </w:r>
            <w:r w:rsidR="001B3718">
              <w:rPr>
                <w:rFonts w:eastAsia="Times New Roman"/>
                <w:bCs/>
                <w:color w:val="000000"/>
                <w:sz w:val="16"/>
                <w:szCs w:val="16"/>
                <w:lang w:val="en-US"/>
              </w:rPr>
              <w:t>indicating</w:t>
            </w:r>
            <w:r>
              <w:rPr>
                <w:rFonts w:eastAsia="Times New Roman"/>
                <w:bCs/>
                <w:color w:val="000000"/>
                <w:sz w:val="16"/>
                <w:szCs w:val="16"/>
                <w:lang w:val="en-US"/>
              </w:rPr>
              <w:t>. Hence referring to what is being provided via the MAC SAP is correct.</w:t>
            </w:r>
          </w:p>
        </w:tc>
      </w:tr>
    </w:tbl>
    <w:p w14:paraId="09CC109C" w14:textId="77777777" w:rsidR="0053566B" w:rsidRDefault="0053566B" w:rsidP="00F2637D"/>
    <w:p w14:paraId="5CE6E680" w14:textId="1D034EC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0677F">
        <w:rPr>
          <w:rFonts w:ascii="Arial" w:hAnsi="Arial" w:cs="Arial"/>
          <w:b/>
          <w:bCs/>
          <w:i/>
          <w:color w:val="000000"/>
          <w:sz w:val="22"/>
          <w:szCs w:val="22"/>
          <w:u w:val="single"/>
          <w:lang w:val="en-US" w:eastAsia="ko-KR"/>
        </w:rPr>
        <w:t>None.</w:t>
      </w:r>
    </w:p>
    <w:p w14:paraId="5969E606" w14:textId="1632855A" w:rsidR="00ED52FE" w:rsidRPr="001B6B30" w:rsidRDefault="00ED52F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ED52FE"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5BA1" w14:textId="77777777" w:rsidR="003B3E64" w:rsidRDefault="003B3E64">
      <w:r>
        <w:separator/>
      </w:r>
    </w:p>
  </w:endnote>
  <w:endnote w:type="continuationSeparator" w:id="0">
    <w:p w14:paraId="285C1F4A" w14:textId="77777777" w:rsidR="003B3E64" w:rsidRDefault="003B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B3718">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1046C" w14:textId="77777777" w:rsidR="003B3E64" w:rsidRDefault="003B3E64">
      <w:r>
        <w:separator/>
      </w:r>
    </w:p>
  </w:footnote>
  <w:footnote w:type="continuationSeparator" w:id="0">
    <w:p w14:paraId="086AC3BE" w14:textId="77777777" w:rsidR="003B3E64" w:rsidRDefault="003B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2E0C911"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1B3718">
      <w:fldChar w:fldCharType="begin"/>
    </w:r>
    <w:r w:rsidR="001B3718">
      <w:instrText xml:space="preserve"> TITLE  \* MERGEFORMAT </w:instrText>
    </w:r>
    <w:r w:rsidR="001B3718">
      <w:fldChar w:fldCharType="separate"/>
    </w:r>
    <w:r w:rsidR="00FE05E8">
      <w:t>doc.: IEEE 802.11-</w:t>
    </w:r>
    <w:r w:rsidR="00831924">
      <w:t>20</w:t>
    </w:r>
    <w:r w:rsidR="00FE05E8">
      <w:t>/</w:t>
    </w:r>
    <w:r w:rsidR="006F55EA">
      <w:rPr>
        <w:lang w:eastAsia="ko-KR"/>
      </w:rPr>
      <w:t>0445</w:t>
    </w:r>
    <w:r w:rsidR="00FE05E8">
      <w:rPr>
        <w:lang w:eastAsia="ko-KR"/>
      </w:rPr>
      <w:t>r</w:t>
    </w:r>
    <w:r w:rsidR="001B3718">
      <w:rPr>
        <w:lang w:eastAsia="ko-KR"/>
      </w:rPr>
      <w:fldChar w:fldCharType="end"/>
    </w:r>
    <w:r w:rsidR="00AB405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724"/>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2D"/>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3718"/>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51"/>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3883"/>
    <w:rsid w:val="00294B37"/>
    <w:rsid w:val="00296722"/>
    <w:rsid w:val="00297F3F"/>
    <w:rsid w:val="002A195C"/>
    <w:rsid w:val="002A1B13"/>
    <w:rsid w:val="002A251F"/>
    <w:rsid w:val="002A3AAB"/>
    <w:rsid w:val="002A45BD"/>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77F"/>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E64"/>
    <w:rsid w:val="003B4DAD"/>
    <w:rsid w:val="003B52F2"/>
    <w:rsid w:val="003B5C8F"/>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66E2"/>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ECD"/>
    <w:rsid w:val="00471F89"/>
    <w:rsid w:val="004721EF"/>
    <w:rsid w:val="0047267B"/>
    <w:rsid w:val="00472EA0"/>
    <w:rsid w:val="00475A71"/>
    <w:rsid w:val="00475D9E"/>
    <w:rsid w:val="00476F40"/>
    <w:rsid w:val="004804A4"/>
    <w:rsid w:val="00481659"/>
    <w:rsid w:val="00481DE7"/>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60A"/>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4E1"/>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68C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A748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3D1"/>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BD0"/>
    <w:rsid w:val="00657D18"/>
    <w:rsid w:val="00657DBD"/>
    <w:rsid w:val="00660ACE"/>
    <w:rsid w:val="00660F53"/>
    <w:rsid w:val="00661810"/>
    <w:rsid w:val="00662343"/>
    <w:rsid w:val="0066483B"/>
    <w:rsid w:val="00664CCC"/>
    <w:rsid w:val="00664FD0"/>
    <w:rsid w:val="0067069C"/>
    <w:rsid w:val="00671898"/>
    <w:rsid w:val="00671F29"/>
    <w:rsid w:val="00672466"/>
    <w:rsid w:val="0067305F"/>
    <w:rsid w:val="006732D6"/>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52B"/>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5EA"/>
    <w:rsid w:val="006F594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3D4"/>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8F8"/>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667C"/>
    <w:rsid w:val="008771D6"/>
    <w:rsid w:val="008776B0"/>
    <w:rsid w:val="0088012D"/>
    <w:rsid w:val="00880858"/>
    <w:rsid w:val="00881C47"/>
    <w:rsid w:val="008831D9"/>
    <w:rsid w:val="00883E1F"/>
    <w:rsid w:val="00884237"/>
    <w:rsid w:val="0088596C"/>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1BD9"/>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1CC6"/>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03D"/>
    <w:rsid w:val="009E03F1"/>
    <w:rsid w:val="009E1533"/>
    <w:rsid w:val="009E2715"/>
    <w:rsid w:val="009E2785"/>
    <w:rsid w:val="009E2E73"/>
    <w:rsid w:val="009E3EE1"/>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4FBC"/>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05A"/>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4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06D3"/>
    <w:rsid w:val="00BB20F2"/>
    <w:rsid w:val="00BB5178"/>
    <w:rsid w:val="00BB67AE"/>
    <w:rsid w:val="00BB728B"/>
    <w:rsid w:val="00BB7702"/>
    <w:rsid w:val="00BB7718"/>
    <w:rsid w:val="00BC049F"/>
    <w:rsid w:val="00BC3609"/>
    <w:rsid w:val="00BC465F"/>
    <w:rsid w:val="00BC5869"/>
    <w:rsid w:val="00BC62F7"/>
    <w:rsid w:val="00BC6B01"/>
    <w:rsid w:val="00BC757F"/>
    <w:rsid w:val="00BC7C92"/>
    <w:rsid w:val="00BC7F0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AB3"/>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44"/>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65"/>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601F"/>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2630"/>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FB1"/>
    <w:rsid w:val="00EA0BB5"/>
    <w:rsid w:val="00EA2CE4"/>
    <w:rsid w:val="00EA48D0"/>
    <w:rsid w:val="00EA678C"/>
    <w:rsid w:val="00EA6A6E"/>
    <w:rsid w:val="00EA6DCB"/>
    <w:rsid w:val="00EB41AE"/>
    <w:rsid w:val="00EB4FB5"/>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6AF"/>
    <w:rsid w:val="00F233C0"/>
    <w:rsid w:val="00F2375B"/>
    <w:rsid w:val="00F24F93"/>
    <w:rsid w:val="00F2561F"/>
    <w:rsid w:val="00F2637D"/>
    <w:rsid w:val="00F3078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4BAD"/>
    <w:rsid w:val="00F85369"/>
    <w:rsid w:val="00F858DD"/>
    <w:rsid w:val="00F93DC9"/>
    <w:rsid w:val="00F94872"/>
    <w:rsid w:val="00F9547F"/>
    <w:rsid w:val="00F967E0"/>
    <w:rsid w:val="00F96A6A"/>
    <w:rsid w:val="00F97C20"/>
    <w:rsid w:val="00FA0362"/>
    <w:rsid w:val="00FA08AC"/>
    <w:rsid w:val="00FA156D"/>
    <w:rsid w:val="00FA3F0E"/>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5B8"/>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762069">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42435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4977">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8651202">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11471">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35526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33981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245096">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5237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9283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97919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492C-A62C-454D-8ED2-A1C73151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5</Pages>
  <Words>2087</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11879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141</cp:revision>
  <cp:lastPrinted>2010-05-04T03:47:00Z</cp:lastPrinted>
  <dcterms:created xsi:type="dcterms:W3CDTF">2018-07-11T18:28:00Z</dcterms:created>
  <dcterms:modified xsi:type="dcterms:W3CDTF">2020-03-23T02:00:00Z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