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06EC1A" w14:textId="77777777" w:rsidR="00CA09B2" w:rsidRPr="00DF7397" w:rsidRDefault="00CA09B2">
      <w:pPr>
        <w:pStyle w:val="T1"/>
        <w:pBdr>
          <w:bottom w:val="single" w:sz="6" w:space="0" w:color="auto"/>
        </w:pBdr>
        <w:spacing w:after="240"/>
        <w:rPr>
          <w:noProof/>
          <w:lang w:val="en-US"/>
        </w:rPr>
      </w:pPr>
      <w:r w:rsidRPr="00DF7397">
        <w:rPr>
          <w:noProof/>
          <w:lang w:val="en-US"/>
        </w:rPr>
        <w:t>IEEE P802.11</w:t>
      </w:r>
      <w:r w:rsidRPr="00DF7397">
        <w:rPr>
          <w:noProof/>
          <w:lang w:val="en-US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5"/>
        <w:gridCol w:w="1785"/>
        <w:gridCol w:w="1982"/>
        <w:gridCol w:w="1417"/>
        <w:gridCol w:w="2777"/>
      </w:tblGrid>
      <w:tr w:rsidR="008275C0" w:rsidRPr="00DF7397" w14:paraId="09CE013B" w14:textId="77777777" w:rsidTr="00CD4A8B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19C71FF" w14:textId="77161B3E" w:rsidR="00CA09B2" w:rsidRPr="00DF7397" w:rsidRDefault="00FC6CC9" w:rsidP="00882268">
            <w:pPr>
              <w:pStyle w:val="T2"/>
              <w:rPr>
                <w:noProof/>
                <w:lang w:val="en-US"/>
              </w:rPr>
            </w:pPr>
            <w:r w:rsidRPr="00DF7397">
              <w:t>Comment Resolution</w:t>
            </w:r>
            <w:r w:rsidR="00B73CEC" w:rsidRPr="00DF7397">
              <w:t xml:space="preserve"> on CID </w:t>
            </w:r>
            <w:r w:rsidR="006B57A2">
              <w:rPr>
                <w:rFonts w:hint="eastAsia"/>
                <w:lang w:eastAsia="ja-JP"/>
              </w:rPr>
              <w:t>6216</w:t>
            </w:r>
          </w:p>
        </w:tc>
      </w:tr>
      <w:tr w:rsidR="008275C0" w:rsidRPr="00DF7397" w14:paraId="2EC0D2E2" w14:textId="77777777" w:rsidTr="00CD4A8B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F11F3C0" w14:textId="3E2651CF" w:rsidR="00CA09B2" w:rsidRPr="00DF7397" w:rsidRDefault="00CA09B2" w:rsidP="00B73CEC">
            <w:pPr>
              <w:pStyle w:val="T2"/>
              <w:ind w:left="0"/>
              <w:rPr>
                <w:noProof/>
                <w:sz w:val="20"/>
                <w:lang w:val="en-US"/>
              </w:rPr>
            </w:pPr>
            <w:r w:rsidRPr="00DF7397">
              <w:rPr>
                <w:noProof/>
                <w:sz w:val="20"/>
                <w:lang w:val="en-US"/>
              </w:rPr>
              <w:t>Date:</w:t>
            </w:r>
            <w:r w:rsidR="00CD4A8B" w:rsidRPr="00DF7397">
              <w:rPr>
                <w:b w:val="0"/>
                <w:noProof/>
                <w:sz w:val="20"/>
                <w:lang w:val="en-US"/>
              </w:rPr>
              <w:t xml:space="preserve">  </w:t>
            </w:r>
            <w:r w:rsidR="00D57245">
              <w:rPr>
                <w:b w:val="0"/>
                <w:noProof/>
                <w:sz w:val="20"/>
                <w:lang w:val="en-US"/>
              </w:rPr>
              <w:t>2020</w:t>
            </w:r>
            <w:r w:rsidR="00B73CEC" w:rsidRPr="00DF7397">
              <w:rPr>
                <w:b w:val="0"/>
                <w:noProof/>
                <w:sz w:val="20"/>
                <w:lang w:val="en-US"/>
              </w:rPr>
              <w:t>-</w:t>
            </w:r>
            <w:r w:rsidR="00D57245">
              <w:rPr>
                <w:rFonts w:hint="eastAsia"/>
                <w:b w:val="0"/>
                <w:noProof/>
                <w:sz w:val="20"/>
                <w:lang w:val="en-US" w:eastAsia="ja-JP"/>
              </w:rPr>
              <w:t>2</w:t>
            </w:r>
            <w:r w:rsidRPr="00DF7397">
              <w:rPr>
                <w:b w:val="0"/>
                <w:noProof/>
                <w:sz w:val="20"/>
                <w:lang w:val="en-US"/>
              </w:rPr>
              <w:t>-</w:t>
            </w:r>
            <w:r w:rsidR="00D57245">
              <w:rPr>
                <w:rFonts w:hint="eastAsia"/>
                <w:b w:val="0"/>
                <w:noProof/>
                <w:sz w:val="20"/>
                <w:lang w:val="en-US" w:eastAsia="ja-JP"/>
              </w:rPr>
              <w:t>2</w:t>
            </w:r>
            <w:r w:rsidR="00C94151">
              <w:rPr>
                <w:rFonts w:hint="eastAsia"/>
                <w:b w:val="0"/>
                <w:noProof/>
                <w:sz w:val="20"/>
                <w:lang w:val="en-US" w:eastAsia="ja-JP"/>
              </w:rPr>
              <w:t>6</w:t>
            </w:r>
            <w:bookmarkStart w:id="0" w:name="_GoBack"/>
            <w:bookmarkEnd w:id="0"/>
          </w:p>
        </w:tc>
      </w:tr>
      <w:tr w:rsidR="008275C0" w:rsidRPr="00DF7397" w14:paraId="28D94B31" w14:textId="77777777" w:rsidTr="00CD4A8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667028A" w14:textId="77777777" w:rsidR="00CA09B2" w:rsidRPr="00DF7397" w:rsidRDefault="00CA09B2">
            <w:pPr>
              <w:pStyle w:val="T2"/>
              <w:spacing w:after="0"/>
              <w:ind w:left="0" w:right="0"/>
              <w:jc w:val="left"/>
              <w:rPr>
                <w:noProof/>
                <w:sz w:val="20"/>
                <w:lang w:val="en-US"/>
              </w:rPr>
            </w:pPr>
            <w:r w:rsidRPr="00DF7397">
              <w:rPr>
                <w:noProof/>
                <w:sz w:val="20"/>
                <w:lang w:val="en-US"/>
              </w:rPr>
              <w:t>Author(s):</w:t>
            </w:r>
          </w:p>
        </w:tc>
      </w:tr>
      <w:tr w:rsidR="008275C0" w:rsidRPr="00DF7397" w14:paraId="03FFDC4E" w14:textId="77777777" w:rsidTr="002F5FD7">
        <w:trPr>
          <w:jc w:val="center"/>
        </w:trPr>
        <w:tc>
          <w:tcPr>
            <w:tcW w:w="1615" w:type="dxa"/>
            <w:vAlign w:val="center"/>
          </w:tcPr>
          <w:p w14:paraId="33264F39" w14:textId="77777777" w:rsidR="00CA09B2" w:rsidRPr="00DF7397" w:rsidRDefault="00CA09B2">
            <w:pPr>
              <w:pStyle w:val="T2"/>
              <w:spacing w:after="0"/>
              <w:ind w:left="0" w:right="0"/>
              <w:jc w:val="left"/>
              <w:rPr>
                <w:noProof/>
                <w:sz w:val="20"/>
                <w:lang w:val="en-US"/>
              </w:rPr>
            </w:pPr>
            <w:r w:rsidRPr="00DF7397">
              <w:rPr>
                <w:noProof/>
                <w:sz w:val="20"/>
                <w:lang w:val="en-US"/>
              </w:rPr>
              <w:t>Name</w:t>
            </w:r>
          </w:p>
        </w:tc>
        <w:tc>
          <w:tcPr>
            <w:tcW w:w="1785" w:type="dxa"/>
            <w:vAlign w:val="center"/>
          </w:tcPr>
          <w:p w14:paraId="5FBA0EED" w14:textId="77777777" w:rsidR="00CA09B2" w:rsidRPr="00DF7397" w:rsidRDefault="0062440B">
            <w:pPr>
              <w:pStyle w:val="T2"/>
              <w:spacing w:after="0"/>
              <w:ind w:left="0" w:right="0"/>
              <w:jc w:val="left"/>
              <w:rPr>
                <w:noProof/>
                <w:sz w:val="20"/>
                <w:lang w:val="en-US"/>
              </w:rPr>
            </w:pPr>
            <w:r w:rsidRPr="00DF7397">
              <w:rPr>
                <w:noProof/>
                <w:sz w:val="20"/>
                <w:lang w:val="en-US"/>
              </w:rPr>
              <w:t>Affiliation</w:t>
            </w:r>
          </w:p>
        </w:tc>
        <w:tc>
          <w:tcPr>
            <w:tcW w:w="1982" w:type="dxa"/>
            <w:vAlign w:val="center"/>
          </w:tcPr>
          <w:p w14:paraId="7FDB9666" w14:textId="77777777" w:rsidR="00CA09B2" w:rsidRPr="00DF7397" w:rsidRDefault="00CA09B2">
            <w:pPr>
              <w:pStyle w:val="T2"/>
              <w:spacing w:after="0"/>
              <w:ind w:left="0" w:right="0"/>
              <w:jc w:val="left"/>
              <w:rPr>
                <w:noProof/>
                <w:sz w:val="20"/>
                <w:lang w:val="en-US"/>
              </w:rPr>
            </w:pPr>
            <w:r w:rsidRPr="00DF7397">
              <w:rPr>
                <w:noProof/>
                <w:sz w:val="20"/>
                <w:lang w:val="en-US"/>
              </w:rPr>
              <w:t>Address</w:t>
            </w:r>
          </w:p>
        </w:tc>
        <w:tc>
          <w:tcPr>
            <w:tcW w:w="1417" w:type="dxa"/>
            <w:vAlign w:val="center"/>
          </w:tcPr>
          <w:p w14:paraId="2625D45F" w14:textId="77777777" w:rsidR="00CA09B2" w:rsidRPr="00DF7397" w:rsidRDefault="00CA09B2">
            <w:pPr>
              <w:pStyle w:val="T2"/>
              <w:spacing w:after="0"/>
              <w:ind w:left="0" w:right="0"/>
              <w:jc w:val="left"/>
              <w:rPr>
                <w:noProof/>
                <w:sz w:val="20"/>
                <w:lang w:val="en-US"/>
              </w:rPr>
            </w:pPr>
            <w:r w:rsidRPr="00DF7397">
              <w:rPr>
                <w:noProof/>
                <w:sz w:val="20"/>
                <w:lang w:val="en-US"/>
              </w:rPr>
              <w:t>Phone</w:t>
            </w:r>
          </w:p>
        </w:tc>
        <w:tc>
          <w:tcPr>
            <w:tcW w:w="2777" w:type="dxa"/>
            <w:vAlign w:val="center"/>
          </w:tcPr>
          <w:p w14:paraId="14510A2B" w14:textId="77777777" w:rsidR="00CA09B2" w:rsidRPr="00DF7397" w:rsidRDefault="00CA09B2">
            <w:pPr>
              <w:pStyle w:val="T2"/>
              <w:spacing w:after="0"/>
              <w:ind w:left="0" w:right="0"/>
              <w:jc w:val="left"/>
              <w:rPr>
                <w:noProof/>
                <w:sz w:val="20"/>
                <w:lang w:val="en-US"/>
              </w:rPr>
            </w:pPr>
            <w:r w:rsidRPr="00DF7397">
              <w:rPr>
                <w:noProof/>
                <w:sz w:val="20"/>
                <w:lang w:val="en-US"/>
              </w:rPr>
              <w:t>email</w:t>
            </w:r>
          </w:p>
        </w:tc>
      </w:tr>
      <w:tr w:rsidR="008275C0" w:rsidRPr="00DF7397" w14:paraId="4D7F3566" w14:textId="77777777" w:rsidTr="002F5FD7">
        <w:trPr>
          <w:jc w:val="center"/>
        </w:trPr>
        <w:tc>
          <w:tcPr>
            <w:tcW w:w="1615" w:type="dxa"/>
            <w:vAlign w:val="center"/>
          </w:tcPr>
          <w:p w14:paraId="09B35729" w14:textId="4E89EE4A" w:rsidR="00CA09B2" w:rsidRPr="00DF7397" w:rsidRDefault="002F5FD7">
            <w:pPr>
              <w:pStyle w:val="T2"/>
              <w:spacing w:after="0"/>
              <w:ind w:left="0" w:right="0"/>
              <w:rPr>
                <w:b w:val="0"/>
                <w:noProof/>
                <w:sz w:val="20"/>
                <w:lang w:val="en-US"/>
              </w:rPr>
            </w:pPr>
            <w:r w:rsidRPr="00DF7397">
              <w:rPr>
                <w:b w:val="0"/>
                <w:noProof/>
                <w:sz w:val="20"/>
                <w:lang w:val="en-US"/>
              </w:rPr>
              <w:t>Takenori Sakamoto</w:t>
            </w:r>
          </w:p>
        </w:tc>
        <w:tc>
          <w:tcPr>
            <w:tcW w:w="1785" w:type="dxa"/>
            <w:vAlign w:val="center"/>
          </w:tcPr>
          <w:p w14:paraId="40236390" w14:textId="62A4B9B2" w:rsidR="00CA09B2" w:rsidRPr="00DF7397" w:rsidRDefault="002F5FD7">
            <w:pPr>
              <w:pStyle w:val="T2"/>
              <w:spacing w:after="0"/>
              <w:ind w:left="0" w:right="0"/>
              <w:rPr>
                <w:b w:val="0"/>
                <w:noProof/>
                <w:sz w:val="20"/>
                <w:lang w:val="en-US" w:eastAsia="ja-JP"/>
              </w:rPr>
            </w:pPr>
            <w:r w:rsidRPr="00DF7397">
              <w:rPr>
                <w:rFonts w:hint="eastAsia"/>
                <w:b w:val="0"/>
                <w:noProof/>
                <w:sz w:val="20"/>
                <w:lang w:val="en-US" w:eastAsia="ja-JP"/>
              </w:rPr>
              <w:t>Panasonic</w:t>
            </w:r>
          </w:p>
        </w:tc>
        <w:tc>
          <w:tcPr>
            <w:tcW w:w="1982" w:type="dxa"/>
            <w:vAlign w:val="center"/>
          </w:tcPr>
          <w:p w14:paraId="28AF5079" w14:textId="77777777" w:rsidR="00CA09B2" w:rsidRPr="00DF7397" w:rsidRDefault="00CA09B2">
            <w:pPr>
              <w:pStyle w:val="T2"/>
              <w:spacing w:after="0"/>
              <w:ind w:left="0" w:right="0"/>
              <w:rPr>
                <w:b w:val="0"/>
                <w:noProof/>
                <w:sz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68AEFE88" w14:textId="77777777" w:rsidR="00CA09B2" w:rsidRPr="00DF7397" w:rsidRDefault="00CA09B2">
            <w:pPr>
              <w:pStyle w:val="T2"/>
              <w:spacing w:after="0"/>
              <w:ind w:left="0" w:right="0"/>
              <w:rPr>
                <w:b w:val="0"/>
                <w:noProof/>
                <w:sz w:val="20"/>
                <w:lang w:val="en-US"/>
              </w:rPr>
            </w:pPr>
          </w:p>
        </w:tc>
        <w:tc>
          <w:tcPr>
            <w:tcW w:w="2777" w:type="dxa"/>
            <w:vAlign w:val="center"/>
          </w:tcPr>
          <w:p w14:paraId="1C6799AD" w14:textId="1FD5A39D" w:rsidR="00CA09B2" w:rsidRPr="00DF7397" w:rsidRDefault="002F5FD7">
            <w:pPr>
              <w:pStyle w:val="T2"/>
              <w:spacing w:after="0"/>
              <w:ind w:left="0" w:right="0"/>
              <w:rPr>
                <w:b w:val="0"/>
                <w:noProof/>
                <w:sz w:val="16"/>
                <w:lang w:val="en-US"/>
              </w:rPr>
            </w:pPr>
            <w:r w:rsidRPr="00DF7397">
              <w:rPr>
                <w:b w:val="0"/>
                <w:noProof/>
                <w:sz w:val="16"/>
                <w:lang w:val="en-US"/>
              </w:rPr>
              <w:t>sakamoto.takenori@jp.panasonic.com</w:t>
            </w:r>
          </w:p>
        </w:tc>
      </w:tr>
      <w:tr w:rsidR="008275C0" w:rsidRPr="00DF7397" w14:paraId="5A0CD765" w14:textId="77777777" w:rsidTr="002F5FD7">
        <w:trPr>
          <w:jc w:val="center"/>
        </w:trPr>
        <w:tc>
          <w:tcPr>
            <w:tcW w:w="1615" w:type="dxa"/>
            <w:vAlign w:val="center"/>
          </w:tcPr>
          <w:p w14:paraId="243062B2" w14:textId="52F56BD8" w:rsidR="00CA09B2" w:rsidRPr="00DF7397" w:rsidRDefault="002F5FD7">
            <w:pPr>
              <w:pStyle w:val="T2"/>
              <w:spacing w:after="0"/>
              <w:ind w:left="0" w:right="0"/>
              <w:rPr>
                <w:b w:val="0"/>
                <w:noProof/>
                <w:sz w:val="20"/>
                <w:lang w:val="en-US" w:eastAsia="ja-JP"/>
              </w:rPr>
            </w:pPr>
            <w:r w:rsidRPr="00DF7397">
              <w:rPr>
                <w:rFonts w:hint="eastAsia"/>
                <w:b w:val="0"/>
                <w:noProof/>
                <w:sz w:val="20"/>
                <w:lang w:val="en-US" w:eastAsia="ja-JP"/>
              </w:rPr>
              <w:t>Hiroyuki Motozuka</w:t>
            </w:r>
          </w:p>
        </w:tc>
        <w:tc>
          <w:tcPr>
            <w:tcW w:w="1785" w:type="dxa"/>
            <w:vAlign w:val="center"/>
          </w:tcPr>
          <w:p w14:paraId="6F471BEE" w14:textId="13C6021F" w:rsidR="00CA09B2" w:rsidRPr="00DF7397" w:rsidRDefault="002F5FD7">
            <w:pPr>
              <w:pStyle w:val="T2"/>
              <w:spacing w:after="0"/>
              <w:ind w:left="0" w:right="0"/>
              <w:rPr>
                <w:b w:val="0"/>
                <w:noProof/>
                <w:sz w:val="20"/>
                <w:lang w:val="en-US" w:eastAsia="ja-JP"/>
              </w:rPr>
            </w:pPr>
            <w:r w:rsidRPr="00DF7397">
              <w:rPr>
                <w:rFonts w:hint="eastAsia"/>
                <w:b w:val="0"/>
                <w:noProof/>
                <w:sz w:val="20"/>
                <w:lang w:val="en-US" w:eastAsia="ja-JP"/>
              </w:rPr>
              <w:t>Pa</w:t>
            </w:r>
            <w:r w:rsidRPr="00DF7397">
              <w:rPr>
                <w:b w:val="0"/>
                <w:noProof/>
                <w:sz w:val="20"/>
                <w:lang w:val="en-US" w:eastAsia="ja-JP"/>
              </w:rPr>
              <w:t>nasonic</w:t>
            </w:r>
          </w:p>
        </w:tc>
        <w:tc>
          <w:tcPr>
            <w:tcW w:w="1982" w:type="dxa"/>
            <w:vAlign w:val="center"/>
          </w:tcPr>
          <w:p w14:paraId="16076E6D" w14:textId="77777777" w:rsidR="00CA09B2" w:rsidRPr="00DF7397" w:rsidRDefault="00CA09B2">
            <w:pPr>
              <w:pStyle w:val="T2"/>
              <w:spacing w:after="0"/>
              <w:ind w:left="0" w:right="0"/>
              <w:rPr>
                <w:b w:val="0"/>
                <w:noProof/>
                <w:sz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362413E8" w14:textId="77777777" w:rsidR="00CA09B2" w:rsidRPr="00DF7397" w:rsidRDefault="00CA09B2">
            <w:pPr>
              <w:pStyle w:val="T2"/>
              <w:spacing w:after="0"/>
              <w:ind w:left="0" w:right="0"/>
              <w:rPr>
                <w:b w:val="0"/>
                <w:noProof/>
                <w:sz w:val="20"/>
                <w:lang w:val="en-US"/>
              </w:rPr>
            </w:pPr>
          </w:p>
        </w:tc>
        <w:tc>
          <w:tcPr>
            <w:tcW w:w="2777" w:type="dxa"/>
            <w:vAlign w:val="center"/>
          </w:tcPr>
          <w:p w14:paraId="211C69A0" w14:textId="77777777" w:rsidR="00CA09B2" w:rsidRPr="00DF7397" w:rsidRDefault="00CA09B2">
            <w:pPr>
              <w:pStyle w:val="T2"/>
              <w:spacing w:after="0"/>
              <w:ind w:left="0" w:right="0"/>
              <w:rPr>
                <w:b w:val="0"/>
                <w:noProof/>
                <w:sz w:val="16"/>
                <w:lang w:val="en-US"/>
              </w:rPr>
            </w:pPr>
          </w:p>
        </w:tc>
      </w:tr>
    </w:tbl>
    <w:p w14:paraId="39B02757" w14:textId="77777777" w:rsidR="00CA09B2" w:rsidRPr="00DF7397" w:rsidRDefault="006A5A9A">
      <w:pPr>
        <w:pStyle w:val="T1"/>
        <w:spacing w:after="120"/>
        <w:rPr>
          <w:noProof/>
          <w:sz w:val="22"/>
          <w:lang w:val="en-US"/>
        </w:rPr>
      </w:pPr>
      <w:r w:rsidRPr="00DF7397"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F9939EE" wp14:editId="045006BA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0D7520" w14:textId="77777777" w:rsidR="007231A2" w:rsidRDefault="007231A2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45330CE" w14:textId="31DC9C1A" w:rsidR="007231A2" w:rsidRDefault="007231A2" w:rsidP="00F24F34">
                            <w:pPr>
                              <w:jc w:val="both"/>
                            </w:pPr>
                            <w:r w:rsidRPr="00127EA6">
                              <w:t>This submiss</w:t>
                            </w:r>
                            <w:r w:rsidR="006B57A2">
                              <w:t>ion proposes resolutions to CID 6216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9939E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14:paraId="490D7520" w14:textId="77777777" w:rsidR="007231A2" w:rsidRDefault="007231A2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45330CE" w14:textId="31DC9C1A" w:rsidR="007231A2" w:rsidRDefault="007231A2" w:rsidP="00F24F34">
                      <w:pPr>
                        <w:jc w:val="both"/>
                      </w:pPr>
                      <w:r w:rsidRPr="00127EA6">
                        <w:t>This submiss</w:t>
                      </w:r>
                      <w:r w:rsidR="006B57A2">
                        <w:t>ion proposes resolutions to CID 6216</w:t>
                      </w:r>
                    </w:p>
                  </w:txbxContent>
                </v:textbox>
              </v:shape>
            </w:pict>
          </mc:Fallback>
        </mc:AlternateContent>
      </w:r>
    </w:p>
    <w:p w14:paraId="35E212CB" w14:textId="77777777" w:rsidR="004D7177" w:rsidRPr="00DF7397" w:rsidRDefault="004D7177">
      <w:pPr>
        <w:rPr>
          <w:noProof/>
          <w:lang w:val="en-US"/>
        </w:rPr>
      </w:pPr>
    </w:p>
    <w:p w14:paraId="3CF7B596" w14:textId="77777777" w:rsidR="004D7177" w:rsidRPr="00DF7397" w:rsidRDefault="004D7177" w:rsidP="004D7177">
      <w:pPr>
        <w:rPr>
          <w:noProof/>
          <w:lang w:val="en-US"/>
        </w:rPr>
      </w:pPr>
    </w:p>
    <w:p w14:paraId="05FE0C0B" w14:textId="77777777" w:rsidR="004D7177" w:rsidRPr="00DF7397" w:rsidRDefault="004D7177" w:rsidP="004D7177">
      <w:pPr>
        <w:rPr>
          <w:noProof/>
          <w:lang w:val="en-US"/>
        </w:rPr>
      </w:pPr>
    </w:p>
    <w:p w14:paraId="7E20BF95" w14:textId="77777777" w:rsidR="004D7177" w:rsidRPr="00DF7397" w:rsidRDefault="004D7177" w:rsidP="004D7177">
      <w:pPr>
        <w:rPr>
          <w:noProof/>
          <w:lang w:val="en-US"/>
        </w:rPr>
      </w:pPr>
    </w:p>
    <w:p w14:paraId="4962C32B" w14:textId="77777777" w:rsidR="004D7177" w:rsidRPr="00DF7397" w:rsidRDefault="004D7177" w:rsidP="004D7177">
      <w:pPr>
        <w:rPr>
          <w:noProof/>
          <w:lang w:val="en-US"/>
        </w:rPr>
      </w:pPr>
    </w:p>
    <w:p w14:paraId="6CE63531" w14:textId="77777777" w:rsidR="004D7177" w:rsidRPr="00DF7397" w:rsidRDefault="004D7177" w:rsidP="004D7177">
      <w:pPr>
        <w:rPr>
          <w:noProof/>
          <w:lang w:val="en-US"/>
        </w:rPr>
      </w:pPr>
    </w:p>
    <w:p w14:paraId="56937A35" w14:textId="77777777" w:rsidR="004D7177" w:rsidRPr="00DF7397" w:rsidRDefault="004D7177" w:rsidP="004D7177">
      <w:pPr>
        <w:rPr>
          <w:noProof/>
          <w:lang w:val="en-US"/>
        </w:rPr>
      </w:pPr>
    </w:p>
    <w:p w14:paraId="72C4222F" w14:textId="77777777" w:rsidR="004D7177" w:rsidRPr="00DF7397" w:rsidRDefault="004D7177" w:rsidP="004D7177">
      <w:pPr>
        <w:rPr>
          <w:noProof/>
          <w:lang w:val="en-US"/>
        </w:rPr>
      </w:pPr>
    </w:p>
    <w:p w14:paraId="69606A98" w14:textId="77777777" w:rsidR="004D7177" w:rsidRPr="00DF7397" w:rsidRDefault="004D7177" w:rsidP="004D7177">
      <w:pPr>
        <w:rPr>
          <w:noProof/>
          <w:lang w:val="en-US"/>
        </w:rPr>
      </w:pPr>
    </w:p>
    <w:p w14:paraId="32E63D6F" w14:textId="77777777" w:rsidR="004D7177" w:rsidRPr="00DF7397" w:rsidRDefault="004D7177" w:rsidP="004D7177">
      <w:pPr>
        <w:rPr>
          <w:noProof/>
          <w:lang w:val="en-US"/>
        </w:rPr>
      </w:pPr>
    </w:p>
    <w:p w14:paraId="45CF9A99" w14:textId="77777777" w:rsidR="004D7177" w:rsidRPr="00DF7397" w:rsidRDefault="004D7177" w:rsidP="004D7177">
      <w:pPr>
        <w:rPr>
          <w:noProof/>
          <w:lang w:val="en-US"/>
        </w:rPr>
      </w:pPr>
    </w:p>
    <w:p w14:paraId="486AC02A" w14:textId="77777777" w:rsidR="004D7177" w:rsidRPr="00DF7397" w:rsidRDefault="004D7177" w:rsidP="004D7177">
      <w:pPr>
        <w:rPr>
          <w:noProof/>
          <w:lang w:val="en-US"/>
        </w:rPr>
      </w:pPr>
    </w:p>
    <w:p w14:paraId="425AEA44" w14:textId="77777777" w:rsidR="004D7177" w:rsidRPr="00DF7397" w:rsidRDefault="004D7177" w:rsidP="004D7177">
      <w:pPr>
        <w:rPr>
          <w:noProof/>
          <w:lang w:val="en-US"/>
        </w:rPr>
      </w:pPr>
    </w:p>
    <w:p w14:paraId="34DA18D5" w14:textId="77777777" w:rsidR="004D7177" w:rsidRPr="00DF7397" w:rsidRDefault="004D7177" w:rsidP="004D7177">
      <w:pPr>
        <w:rPr>
          <w:noProof/>
          <w:lang w:val="en-US"/>
        </w:rPr>
      </w:pPr>
    </w:p>
    <w:p w14:paraId="2DF76CF6" w14:textId="77777777" w:rsidR="004D7177" w:rsidRPr="00DF7397" w:rsidRDefault="004D7177" w:rsidP="004D7177">
      <w:pPr>
        <w:rPr>
          <w:noProof/>
          <w:lang w:val="en-US"/>
        </w:rPr>
      </w:pPr>
    </w:p>
    <w:p w14:paraId="081BDB15" w14:textId="77777777" w:rsidR="004D7177" w:rsidRPr="00DF7397" w:rsidRDefault="004D7177" w:rsidP="004D7177">
      <w:pPr>
        <w:rPr>
          <w:noProof/>
          <w:lang w:val="en-US"/>
        </w:rPr>
      </w:pPr>
    </w:p>
    <w:p w14:paraId="2FB07392" w14:textId="77777777" w:rsidR="004D7177" w:rsidRPr="00DF7397" w:rsidRDefault="004D7177" w:rsidP="004D7177">
      <w:pPr>
        <w:rPr>
          <w:noProof/>
          <w:lang w:val="en-US"/>
        </w:rPr>
      </w:pPr>
    </w:p>
    <w:p w14:paraId="1F4E71B2" w14:textId="77777777" w:rsidR="004D7177" w:rsidRPr="00DF7397" w:rsidRDefault="004D7177" w:rsidP="004D7177">
      <w:pPr>
        <w:rPr>
          <w:noProof/>
          <w:lang w:val="en-US"/>
        </w:rPr>
      </w:pPr>
    </w:p>
    <w:p w14:paraId="1F6C8259" w14:textId="77777777" w:rsidR="004D7177" w:rsidRPr="00DF7397" w:rsidRDefault="004D7177" w:rsidP="004D7177">
      <w:pPr>
        <w:rPr>
          <w:noProof/>
          <w:lang w:val="en-US"/>
        </w:rPr>
      </w:pPr>
    </w:p>
    <w:p w14:paraId="20D14B27" w14:textId="77777777" w:rsidR="004D7177" w:rsidRPr="00DF7397" w:rsidRDefault="004D7177" w:rsidP="004D7177">
      <w:pPr>
        <w:rPr>
          <w:noProof/>
          <w:lang w:val="en-US"/>
        </w:rPr>
      </w:pPr>
    </w:p>
    <w:p w14:paraId="183CE133" w14:textId="08D75FA4" w:rsidR="002A3E89" w:rsidRPr="00DF7397" w:rsidRDefault="002A3E89">
      <w:pPr>
        <w:rPr>
          <w:noProof/>
          <w:lang w:val="en-US"/>
        </w:rPr>
      </w:pPr>
      <w:r w:rsidRPr="00DF7397">
        <w:rPr>
          <w:noProof/>
          <w:lang w:val="en-US"/>
        </w:rPr>
        <w:br w:type="page"/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56"/>
        <w:gridCol w:w="1316"/>
        <w:gridCol w:w="894"/>
        <w:gridCol w:w="3519"/>
        <w:gridCol w:w="2965"/>
      </w:tblGrid>
      <w:tr w:rsidR="006A3BCD" w:rsidRPr="00DF7397" w14:paraId="46006044" w14:textId="77777777" w:rsidTr="00114A18">
        <w:tc>
          <w:tcPr>
            <w:tcW w:w="656" w:type="dxa"/>
          </w:tcPr>
          <w:p w14:paraId="72C03B9D" w14:textId="77777777" w:rsidR="006A3BCD" w:rsidRPr="00DF7397" w:rsidRDefault="006A3BCD" w:rsidP="00114A18">
            <w:pPr>
              <w:rPr>
                <w:b/>
                <w:szCs w:val="22"/>
              </w:rPr>
            </w:pPr>
            <w:r w:rsidRPr="00DF7397">
              <w:rPr>
                <w:b/>
                <w:szCs w:val="22"/>
              </w:rPr>
              <w:lastRenderedPageBreak/>
              <w:t>CID</w:t>
            </w:r>
          </w:p>
        </w:tc>
        <w:tc>
          <w:tcPr>
            <w:tcW w:w="1316" w:type="dxa"/>
          </w:tcPr>
          <w:p w14:paraId="53BBE095" w14:textId="77777777" w:rsidR="006A3BCD" w:rsidRPr="00DF7397" w:rsidRDefault="006A3BCD" w:rsidP="00114A18">
            <w:pPr>
              <w:rPr>
                <w:b/>
                <w:szCs w:val="22"/>
              </w:rPr>
            </w:pPr>
            <w:r w:rsidRPr="00DF7397">
              <w:rPr>
                <w:b/>
                <w:szCs w:val="22"/>
              </w:rPr>
              <w:t>Clause</w:t>
            </w:r>
          </w:p>
        </w:tc>
        <w:tc>
          <w:tcPr>
            <w:tcW w:w="894" w:type="dxa"/>
          </w:tcPr>
          <w:p w14:paraId="69A3995B" w14:textId="77777777" w:rsidR="006A3BCD" w:rsidRPr="00DF7397" w:rsidRDefault="006A3BCD" w:rsidP="00114A18">
            <w:pPr>
              <w:rPr>
                <w:b/>
                <w:szCs w:val="22"/>
              </w:rPr>
            </w:pPr>
            <w:r w:rsidRPr="00DF7397">
              <w:rPr>
                <w:b/>
                <w:szCs w:val="22"/>
              </w:rPr>
              <w:t>Page</w:t>
            </w:r>
          </w:p>
        </w:tc>
        <w:tc>
          <w:tcPr>
            <w:tcW w:w="3519" w:type="dxa"/>
          </w:tcPr>
          <w:p w14:paraId="443F211C" w14:textId="77777777" w:rsidR="006A3BCD" w:rsidRPr="00DF7397" w:rsidRDefault="006A3BCD" w:rsidP="00114A18">
            <w:pPr>
              <w:rPr>
                <w:b/>
                <w:szCs w:val="22"/>
              </w:rPr>
            </w:pPr>
            <w:r w:rsidRPr="00DF7397">
              <w:rPr>
                <w:b/>
                <w:szCs w:val="22"/>
              </w:rPr>
              <w:t>Comment</w:t>
            </w:r>
          </w:p>
        </w:tc>
        <w:tc>
          <w:tcPr>
            <w:tcW w:w="2965" w:type="dxa"/>
          </w:tcPr>
          <w:p w14:paraId="44E5FBF9" w14:textId="77777777" w:rsidR="006A3BCD" w:rsidRPr="00DF7397" w:rsidRDefault="006A3BCD" w:rsidP="00114A18">
            <w:pPr>
              <w:rPr>
                <w:b/>
                <w:szCs w:val="22"/>
              </w:rPr>
            </w:pPr>
            <w:r w:rsidRPr="00DF7397">
              <w:rPr>
                <w:b/>
                <w:szCs w:val="22"/>
              </w:rPr>
              <w:t>Proposed change</w:t>
            </w:r>
          </w:p>
        </w:tc>
      </w:tr>
      <w:tr w:rsidR="006A3BCD" w:rsidRPr="00DF7397" w14:paraId="756F4F07" w14:textId="77777777" w:rsidTr="00114A18">
        <w:tc>
          <w:tcPr>
            <w:tcW w:w="656" w:type="dxa"/>
          </w:tcPr>
          <w:p w14:paraId="1779DE42" w14:textId="6B4B0D61" w:rsidR="006A3BCD" w:rsidRPr="00DF7397" w:rsidRDefault="006B57A2" w:rsidP="00114A18">
            <w:pPr>
              <w:rPr>
                <w:szCs w:val="22"/>
                <w:lang w:eastAsia="ja-JP"/>
              </w:rPr>
            </w:pPr>
            <w:r>
              <w:rPr>
                <w:rFonts w:hint="eastAsia"/>
                <w:szCs w:val="22"/>
                <w:lang w:eastAsia="ja-JP"/>
              </w:rPr>
              <w:t>6216</w:t>
            </w:r>
          </w:p>
        </w:tc>
        <w:tc>
          <w:tcPr>
            <w:tcW w:w="1316" w:type="dxa"/>
          </w:tcPr>
          <w:p w14:paraId="39503D61" w14:textId="79C46ADD" w:rsidR="006A3BCD" w:rsidRPr="00DF7397" w:rsidRDefault="00D96405" w:rsidP="00114A18">
            <w:pPr>
              <w:rPr>
                <w:szCs w:val="22"/>
                <w:lang w:val="en-US" w:eastAsia="ja-JP"/>
              </w:rPr>
            </w:pPr>
            <w:r w:rsidRPr="00DF7397">
              <w:rPr>
                <w:rFonts w:hint="eastAsia"/>
                <w:szCs w:val="22"/>
                <w:lang w:val="en-US" w:eastAsia="ja-JP"/>
              </w:rPr>
              <w:t>3.2</w:t>
            </w:r>
          </w:p>
        </w:tc>
        <w:tc>
          <w:tcPr>
            <w:tcW w:w="894" w:type="dxa"/>
          </w:tcPr>
          <w:p w14:paraId="564F7CF1" w14:textId="669418ED" w:rsidR="006A3BCD" w:rsidRPr="00DF7397" w:rsidRDefault="00D96405" w:rsidP="00114A18">
            <w:pPr>
              <w:rPr>
                <w:szCs w:val="22"/>
                <w:lang w:eastAsia="ja-JP"/>
              </w:rPr>
            </w:pPr>
            <w:r w:rsidRPr="00DF7397">
              <w:rPr>
                <w:rFonts w:hint="eastAsia"/>
                <w:szCs w:val="22"/>
                <w:lang w:eastAsia="ja-JP"/>
              </w:rPr>
              <w:t>2</w:t>
            </w:r>
            <w:r w:rsidR="006B57A2">
              <w:rPr>
                <w:rFonts w:hint="eastAsia"/>
                <w:szCs w:val="22"/>
                <w:lang w:eastAsia="ja-JP"/>
              </w:rPr>
              <w:t>2</w:t>
            </w:r>
          </w:p>
        </w:tc>
        <w:tc>
          <w:tcPr>
            <w:tcW w:w="3519" w:type="dxa"/>
          </w:tcPr>
          <w:p w14:paraId="42790710" w14:textId="72DE1CD1" w:rsidR="006A3BCD" w:rsidRPr="00DF7397" w:rsidRDefault="006B57A2" w:rsidP="00D57245">
            <w:pPr>
              <w:rPr>
                <w:szCs w:val="22"/>
                <w:lang w:val="en-US"/>
              </w:rPr>
            </w:pPr>
            <w:r w:rsidRPr="006B57A2">
              <w:rPr>
                <w:szCs w:val="22"/>
                <w:lang w:val="en-US"/>
              </w:rPr>
              <w:t>The definition of DMG A-PPDU and EDMG A-PPDU are very confusing.  A DMG PPDU is defined as a clause 20 PPDU. Hence, a DMG A-PPDU is defined to cognatian only DMG PPDUs (which are non-EDMG PPDUs) and an EDMG A-PPDU to contain only EDMG PPDUs.   But DMG is defined to include all operation in a frequency band with a channel greater than 45 GHz, hence both non-EDMG (clause 20) and EDMG (clause 28). To me this is inconsistant.</w:t>
            </w:r>
          </w:p>
        </w:tc>
        <w:tc>
          <w:tcPr>
            <w:tcW w:w="2965" w:type="dxa"/>
          </w:tcPr>
          <w:p w14:paraId="3810BEAA" w14:textId="7F9792DD" w:rsidR="006A3BCD" w:rsidRPr="00DF7397" w:rsidRDefault="006B57A2" w:rsidP="00D96405">
            <w:pPr>
              <w:rPr>
                <w:szCs w:val="22"/>
                <w:lang w:val="en-US"/>
              </w:rPr>
            </w:pPr>
            <w:r w:rsidRPr="006B57A2">
              <w:rPr>
                <w:szCs w:val="22"/>
                <w:lang w:val="en-US"/>
              </w:rPr>
              <w:t>Fix the definitions to remove the inconsistancy and confusion.</w:t>
            </w:r>
          </w:p>
        </w:tc>
      </w:tr>
    </w:tbl>
    <w:p w14:paraId="4A37C67D" w14:textId="77777777" w:rsidR="006A3BCD" w:rsidRPr="00DF7397" w:rsidRDefault="006A3BCD" w:rsidP="006A3BCD">
      <w:pPr>
        <w:rPr>
          <w:szCs w:val="22"/>
        </w:rPr>
      </w:pPr>
    </w:p>
    <w:p w14:paraId="5295E1B4" w14:textId="77777777" w:rsidR="009720E6" w:rsidRDefault="006A3BCD" w:rsidP="006A3BCD">
      <w:pPr>
        <w:rPr>
          <w:color w:val="000000" w:themeColor="text1"/>
          <w:szCs w:val="22"/>
          <w:lang w:eastAsia="ja-JP"/>
        </w:rPr>
      </w:pPr>
      <w:r w:rsidRPr="00DF7397">
        <w:rPr>
          <w:b/>
          <w:color w:val="000000" w:themeColor="text1"/>
          <w:szCs w:val="22"/>
          <w:lang w:eastAsia="ja-JP"/>
        </w:rPr>
        <w:t>Discussion:</w:t>
      </w:r>
      <w:r w:rsidRPr="00FE7DF4">
        <w:rPr>
          <w:color w:val="000000" w:themeColor="text1"/>
          <w:szCs w:val="22"/>
          <w:lang w:eastAsia="ja-JP"/>
        </w:rPr>
        <w:t xml:space="preserve"> </w:t>
      </w:r>
    </w:p>
    <w:p w14:paraId="6F78D5A8" w14:textId="429A31EA" w:rsidR="0001254A" w:rsidRDefault="007E3465" w:rsidP="006A3BCD">
      <w:pPr>
        <w:rPr>
          <w:szCs w:val="22"/>
          <w:lang w:eastAsia="ja-JP"/>
        </w:rPr>
      </w:pPr>
      <w:r>
        <w:rPr>
          <w:rFonts w:hint="eastAsia"/>
          <w:szCs w:val="22"/>
          <w:lang w:eastAsia="ja-JP"/>
        </w:rPr>
        <w:t>The definition</w:t>
      </w:r>
      <w:r>
        <w:rPr>
          <w:szCs w:val="22"/>
          <w:lang w:eastAsia="ja-JP"/>
        </w:rPr>
        <w:t xml:space="preserve">s of DMG STA, CDMG STA and EDMG STA are described in </w:t>
      </w:r>
      <w:r w:rsidR="00B665BB">
        <w:rPr>
          <w:szCs w:val="22"/>
          <w:lang w:eastAsia="ja-JP"/>
        </w:rPr>
        <w:t xml:space="preserve">Section </w:t>
      </w:r>
      <w:r>
        <w:rPr>
          <w:szCs w:val="22"/>
          <w:lang w:eastAsia="ja-JP"/>
        </w:rPr>
        <w:t xml:space="preserve">4.3.21, </w:t>
      </w:r>
      <w:r w:rsidR="00B665BB">
        <w:rPr>
          <w:szCs w:val="22"/>
          <w:lang w:eastAsia="ja-JP"/>
        </w:rPr>
        <w:t xml:space="preserve">Section </w:t>
      </w:r>
      <w:r>
        <w:rPr>
          <w:szCs w:val="22"/>
          <w:lang w:eastAsia="ja-JP"/>
        </w:rPr>
        <w:t xml:space="preserve">4.3.26 and </w:t>
      </w:r>
      <w:r w:rsidR="00B665BB">
        <w:rPr>
          <w:szCs w:val="22"/>
          <w:lang w:eastAsia="ja-JP"/>
        </w:rPr>
        <w:t xml:space="preserve">Section </w:t>
      </w:r>
      <w:r>
        <w:rPr>
          <w:szCs w:val="22"/>
          <w:lang w:eastAsia="ja-JP"/>
        </w:rPr>
        <w:t>4.3.30, respectively.</w:t>
      </w:r>
      <w:r>
        <w:rPr>
          <w:rFonts w:hint="eastAsia"/>
          <w:szCs w:val="22"/>
          <w:lang w:eastAsia="ja-JP"/>
        </w:rPr>
        <w:t xml:space="preserve"> </w:t>
      </w:r>
    </w:p>
    <w:p w14:paraId="098F439E" w14:textId="77777777" w:rsidR="0080688E" w:rsidRPr="00B665BB" w:rsidRDefault="0080688E" w:rsidP="006A3BCD">
      <w:pPr>
        <w:rPr>
          <w:szCs w:val="22"/>
          <w:lang w:eastAsia="ja-JP"/>
        </w:rPr>
      </w:pPr>
    </w:p>
    <w:p w14:paraId="00214FB5" w14:textId="77777777" w:rsidR="00FC1698" w:rsidRPr="00FC1698" w:rsidRDefault="00FC1698" w:rsidP="00FC1698">
      <w:pPr>
        <w:rPr>
          <w:rFonts w:asciiTheme="minorHAnsi" w:hAnsiTheme="minorHAnsi" w:cstheme="minorHAnsi"/>
          <w:b/>
          <w:szCs w:val="22"/>
          <w:lang w:eastAsia="ja-JP"/>
        </w:rPr>
      </w:pPr>
      <w:r w:rsidRPr="00FC1698">
        <w:rPr>
          <w:rFonts w:asciiTheme="minorHAnsi" w:hAnsiTheme="minorHAnsi" w:cstheme="minorHAnsi"/>
          <w:b/>
          <w:szCs w:val="22"/>
          <w:lang w:eastAsia="ja-JP"/>
        </w:rPr>
        <w:t>4.3.21 DMG STA</w:t>
      </w:r>
    </w:p>
    <w:p w14:paraId="6D039177" w14:textId="4587EC33" w:rsidR="00FC1698" w:rsidRPr="00FC1698" w:rsidRDefault="00FC1698" w:rsidP="00FC1698">
      <w:pPr>
        <w:rPr>
          <w:rFonts w:asciiTheme="minorHAnsi" w:hAnsiTheme="minorHAnsi" w:cstheme="minorHAnsi"/>
          <w:szCs w:val="22"/>
          <w:lang w:eastAsia="ja-JP"/>
        </w:rPr>
      </w:pPr>
      <w:r w:rsidRPr="00FC1698">
        <w:rPr>
          <w:rFonts w:asciiTheme="minorHAnsi" w:hAnsiTheme="minorHAnsi" w:cstheme="minorHAnsi"/>
          <w:szCs w:val="22"/>
          <w:lang w:eastAsia="ja-JP"/>
        </w:rPr>
        <w:t xml:space="preserve">The IEEE 802.11 DMG STA provides PHY and MAC features that can support a throughput of 1 Gb/s and greater, as measured at the MAC data service access point (SAP). </w:t>
      </w:r>
      <w:r w:rsidRPr="00BA402D">
        <w:rPr>
          <w:rFonts w:asciiTheme="minorHAnsi" w:hAnsiTheme="minorHAnsi" w:cstheme="minorHAnsi"/>
          <w:szCs w:val="22"/>
          <w:highlight w:val="yellow"/>
          <w:u w:val="single"/>
          <w:lang w:eastAsia="ja-JP"/>
        </w:rPr>
        <w:t>A DMG STA supports DMG features as identified in Clause 10, Clause 11, and Clause 20. A DMG STA operates in a DMG BSS and supports transmission and reception of frames that are compliant with PHY specifications as defined in Clause 20.</w:t>
      </w:r>
      <w:r w:rsidRPr="00FC1698">
        <w:rPr>
          <w:rFonts w:asciiTheme="minorHAnsi" w:hAnsiTheme="minorHAnsi" w:cstheme="minorHAnsi"/>
          <w:szCs w:val="22"/>
          <w:lang w:eastAsia="ja-JP"/>
        </w:rPr>
        <w:t xml:space="preserve"> A DMG STA is also a QoS STA. The basic channel access of a DMG STA (see 10.36) allows it to operate in an Infrastructure BSS, in an IBSS, and in a PBSS. Certain DMG features such as service period allocation are available only to DMG STAs that are associated with an AP or with a PCP, while other DMG features such as EDCA operation in a PBSS do not require association. A DMG STA supports beamforming (BF) as described in 10.38 and 20.10 and GCM encryption as described in 12.5.5.</w:t>
      </w:r>
    </w:p>
    <w:p w14:paraId="5D66A075" w14:textId="6DE4C23C" w:rsidR="005E43D2" w:rsidRDefault="005E43D2" w:rsidP="00B501F8">
      <w:pPr>
        <w:rPr>
          <w:rFonts w:asciiTheme="minorHAnsi" w:hAnsiTheme="minorHAnsi" w:cstheme="minorHAnsi"/>
          <w:szCs w:val="22"/>
          <w:lang w:eastAsia="ja-JP"/>
        </w:rPr>
      </w:pPr>
    </w:p>
    <w:p w14:paraId="247517BA" w14:textId="186DB19F" w:rsidR="005E43D2" w:rsidRPr="005E43D2" w:rsidRDefault="005E43D2" w:rsidP="005E43D2">
      <w:pPr>
        <w:widowControl w:val="0"/>
        <w:autoSpaceDE w:val="0"/>
        <w:autoSpaceDN w:val="0"/>
        <w:adjustRightInd w:val="0"/>
        <w:rPr>
          <w:rFonts w:asciiTheme="minorHAnsi" w:eastAsia="Arial-BoldMT" w:hAnsiTheme="minorHAnsi" w:cstheme="minorHAnsi"/>
          <w:b/>
          <w:bCs/>
          <w:color w:val="218B21"/>
          <w:szCs w:val="22"/>
          <w:lang w:val="en-US"/>
        </w:rPr>
      </w:pPr>
      <w:r w:rsidRPr="005E43D2">
        <w:rPr>
          <w:rFonts w:asciiTheme="minorHAnsi" w:eastAsia="Arial-BoldMT" w:hAnsiTheme="minorHAnsi" w:cstheme="minorHAnsi"/>
          <w:b/>
          <w:bCs/>
          <w:color w:val="000000"/>
          <w:szCs w:val="22"/>
          <w:lang w:val="en-US"/>
        </w:rPr>
        <w:t>4.3.26 CDMG STA</w:t>
      </w:r>
    </w:p>
    <w:p w14:paraId="78A19684" w14:textId="706A52B7" w:rsidR="005E43D2" w:rsidRPr="005E43D2" w:rsidRDefault="005E43D2" w:rsidP="005E43D2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Cs w:val="22"/>
          <w:lang w:eastAsia="ja-JP"/>
        </w:rPr>
      </w:pPr>
      <w:r w:rsidRPr="007E3465">
        <w:rPr>
          <w:rFonts w:asciiTheme="minorHAnsi" w:eastAsia="TimesNewRomanPSMT" w:hAnsiTheme="minorHAnsi" w:cstheme="minorHAnsi"/>
          <w:color w:val="000000"/>
          <w:szCs w:val="22"/>
          <w:highlight w:val="yellow"/>
          <w:u w:val="single"/>
          <w:lang w:val="en-US"/>
        </w:rPr>
        <w:t>An IEEE 802.11 CDMG STA is a DMG STA</w:t>
      </w:r>
      <w:r w:rsidRPr="005E43D2">
        <w:rPr>
          <w:rFonts w:asciiTheme="minorHAnsi" w:eastAsia="TimesNewRomanPSMT" w:hAnsiTheme="minorHAnsi" w:cstheme="minorHAnsi"/>
          <w:color w:val="000000"/>
          <w:szCs w:val="22"/>
          <w:lang w:val="en-US"/>
        </w:rPr>
        <w:t xml:space="preserve"> that supports CDMG operation in the Chinese 60 GHz</w:t>
      </w:r>
      <w:r>
        <w:rPr>
          <w:rFonts w:asciiTheme="minorHAnsi" w:eastAsia="TimesNewRomanPSMT" w:hAnsiTheme="minorHAnsi" w:cstheme="minorHAnsi"/>
          <w:color w:val="000000"/>
          <w:szCs w:val="22"/>
          <w:lang w:val="en-US"/>
        </w:rPr>
        <w:t xml:space="preserve"> </w:t>
      </w:r>
      <w:r w:rsidRPr="005E43D2">
        <w:rPr>
          <w:rFonts w:asciiTheme="minorHAnsi" w:eastAsia="TimesNewRomanPSMT" w:hAnsiTheme="minorHAnsi" w:cstheme="minorHAnsi"/>
          <w:color w:val="000000"/>
          <w:szCs w:val="22"/>
          <w:lang w:val="en-US"/>
        </w:rPr>
        <w:t>frequency band, and has dot11CDMGOptionImplemented equal to true.</w:t>
      </w:r>
      <w:r w:rsidRPr="005E43D2">
        <w:rPr>
          <w:rFonts w:asciiTheme="minorHAnsi" w:eastAsia="TimesNewRomanPSMT" w:hAnsiTheme="minorHAnsi" w:cstheme="minorHAnsi"/>
          <w:color w:val="218B21"/>
          <w:szCs w:val="22"/>
          <w:lang w:val="en-US"/>
        </w:rPr>
        <w:t xml:space="preserve"> </w:t>
      </w:r>
      <w:r w:rsidRPr="007E3465">
        <w:rPr>
          <w:rFonts w:asciiTheme="minorHAnsi" w:eastAsia="TimesNewRomanPSMT" w:hAnsiTheme="minorHAnsi" w:cstheme="minorHAnsi"/>
          <w:color w:val="000000"/>
          <w:szCs w:val="22"/>
          <w:highlight w:val="yellow"/>
          <w:u w:val="single"/>
          <w:lang w:val="en-US"/>
        </w:rPr>
        <w:t>In addition to CDMG features, a CDMG STA supports DMG features as described in 4.3.22. A CDMG STA also supports CDMG features as identified in Clause 10, Clause 11, and Clause 24. A CDMG STA supports transmission and reception of frames that are compliant with PHY specifications as defined in Clause 24.</w:t>
      </w:r>
      <w:r w:rsidRPr="005E43D2">
        <w:rPr>
          <w:rFonts w:asciiTheme="minorHAnsi" w:eastAsia="TimesNewRomanPSMT" w:hAnsiTheme="minorHAnsi" w:cstheme="minorHAnsi"/>
          <w:color w:val="000000"/>
          <w:szCs w:val="22"/>
          <w:lang w:val="en-US"/>
        </w:rPr>
        <w:t xml:space="preserve"> A CDMG STA is also a QoS</w:t>
      </w:r>
      <w:r>
        <w:rPr>
          <w:rFonts w:asciiTheme="minorHAnsi" w:eastAsia="TimesNewRomanPSMT" w:hAnsiTheme="minorHAnsi" w:cstheme="minorHAnsi"/>
          <w:color w:val="000000"/>
          <w:szCs w:val="22"/>
          <w:lang w:val="en-US"/>
        </w:rPr>
        <w:t xml:space="preserve"> </w:t>
      </w:r>
      <w:r w:rsidRPr="005E43D2">
        <w:rPr>
          <w:rFonts w:asciiTheme="minorHAnsi" w:eastAsia="TimesNewRomanPSMT" w:hAnsiTheme="minorHAnsi" w:cstheme="minorHAnsi"/>
          <w:color w:val="000000"/>
          <w:szCs w:val="22"/>
          <w:lang w:val="en-US"/>
        </w:rPr>
        <w:t>STA. The basic channel access of a CDMG STA (see 10.39 and</w:t>
      </w:r>
      <w:r>
        <w:rPr>
          <w:rFonts w:asciiTheme="minorHAnsi" w:eastAsia="TimesNewRomanPSMT" w:hAnsiTheme="minorHAnsi" w:cstheme="minorHAnsi"/>
          <w:color w:val="000000"/>
          <w:szCs w:val="22"/>
          <w:lang w:val="en-US"/>
        </w:rPr>
        <w:t xml:space="preserve"> </w:t>
      </w:r>
      <w:r w:rsidRPr="005E43D2">
        <w:rPr>
          <w:rFonts w:asciiTheme="minorHAnsi" w:eastAsia="TimesNewRomanPSMT" w:hAnsiTheme="minorHAnsi" w:cstheme="minorHAnsi"/>
          <w:color w:val="000000"/>
          <w:szCs w:val="22"/>
          <w:lang w:val="en-US"/>
        </w:rPr>
        <w:t>10.64) allows it to operate in an</w:t>
      </w:r>
      <w:r>
        <w:rPr>
          <w:rFonts w:asciiTheme="minorHAnsi" w:eastAsia="TimesNewRomanPSMT" w:hAnsiTheme="minorHAnsi" w:cstheme="minorHAnsi"/>
          <w:color w:val="000000"/>
          <w:szCs w:val="22"/>
          <w:lang w:val="en-US"/>
        </w:rPr>
        <w:t xml:space="preserve"> </w:t>
      </w:r>
      <w:r w:rsidRPr="005E43D2">
        <w:rPr>
          <w:rFonts w:asciiTheme="minorHAnsi" w:eastAsia="TimesNewRomanPSMT" w:hAnsiTheme="minorHAnsi" w:cstheme="minorHAnsi"/>
          <w:color w:val="000000"/>
          <w:szCs w:val="22"/>
          <w:lang w:val="en-US"/>
        </w:rPr>
        <w:t>Infrastructure BSS or in an IBSS</w:t>
      </w:r>
      <w:r>
        <w:rPr>
          <w:rFonts w:asciiTheme="minorHAnsi" w:eastAsia="TimesNewRomanPSMT" w:hAnsiTheme="minorHAnsi" w:cstheme="minorHAnsi"/>
          <w:color w:val="000000"/>
          <w:szCs w:val="22"/>
          <w:lang w:val="en-US"/>
        </w:rPr>
        <w:t xml:space="preserve"> </w:t>
      </w:r>
      <w:r w:rsidRPr="005E43D2">
        <w:rPr>
          <w:rFonts w:asciiTheme="minorHAnsi" w:eastAsia="TimesNewRomanPSMT" w:hAnsiTheme="minorHAnsi" w:cstheme="minorHAnsi"/>
          <w:color w:val="000000"/>
          <w:szCs w:val="22"/>
          <w:lang w:val="en-US"/>
        </w:rPr>
        <w:t>or in a PBSS.</w:t>
      </w:r>
    </w:p>
    <w:p w14:paraId="5664533E" w14:textId="77777777" w:rsidR="007E3465" w:rsidRPr="005E43D2" w:rsidRDefault="007E3465" w:rsidP="00B501F8">
      <w:pPr>
        <w:rPr>
          <w:szCs w:val="22"/>
          <w:lang w:eastAsia="ja-JP"/>
        </w:rPr>
      </w:pPr>
    </w:p>
    <w:p w14:paraId="1518369A" w14:textId="29C4FEF9" w:rsidR="00FC1698" w:rsidRPr="00FC1698" w:rsidRDefault="00FC1698" w:rsidP="00FC1698">
      <w:pPr>
        <w:rPr>
          <w:rFonts w:asciiTheme="minorHAnsi" w:hAnsiTheme="minorHAnsi" w:cstheme="minorHAnsi"/>
          <w:b/>
          <w:szCs w:val="22"/>
          <w:lang w:eastAsia="ja-JP"/>
        </w:rPr>
      </w:pPr>
      <w:r>
        <w:rPr>
          <w:rFonts w:asciiTheme="minorHAnsi" w:hAnsiTheme="minorHAnsi" w:cstheme="minorHAnsi"/>
          <w:b/>
          <w:szCs w:val="22"/>
          <w:lang w:eastAsia="ja-JP"/>
        </w:rPr>
        <w:t>4.3.30 EDMG STA</w:t>
      </w:r>
    </w:p>
    <w:p w14:paraId="1497232B" w14:textId="2202F1F3" w:rsidR="00FC1698" w:rsidRPr="00FC1698" w:rsidRDefault="00FC1698" w:rsidP="00FC1698">
      <w:pPr>
        <w:rPr>
          <w:rFonts w:asciiTheme="minorHAnsi" w:hAnsiTheme="minorHAnsi" w:cstheme="minorHAnsi"/>
          <w:szCs w:val="22"/>
          <w:lang w:eastAsia="ja-JP"/>
        </w:rPr>
      </w:pPr>
      <w:r w:rsidRPr="00FC1698">
        <w:rPr>
          <w:rFonts w:asciiTheme="minorHAnsi" w:hAnsiTheme="minorHAnsi" w:cstheme="minorHAnsi"/>
          <w:szCs w:val="22"/>
          <w:lang w:eastAsia="ja-JP"/>
        </w:rPr>
        <w:t xml:space="preserve">The IEEE 802.11 </w:t>
      </w:r>
      <w:r w:rsidRPr="00BA402D">
        <w:rPr>
          <w:rFonts w:asciiTheme="minorHAnsi" w:hAnsiTheme="minorHAnsi" w:cstheme="minorHAnsi"/>
          <w:szCs w:val="22"/>
          <w:highlight w:val="yellow"/>
          <w:u w:val="single"/>
          <w:lang w:eastAsia="ja-JP"/>
        </w:rPr>
        <w:t>enhanced directional multi-gigabit (EDMG) STA is a DMG STA</w:t>
      </w:r>
      <w:r w:rsidRPr="00FC1698">
        <w:rPr>
          <w:rFonts w:asciiTheme="minorHAnsi" w:hAnsiTheme="minorHAnsi" w:cstheme="minorHAnsi"/>
          <w:szCs w:val="22"/>
          <w:lang w:eastAsia="ja-JP"/>
        </w:rPr>
        <w:t xml:space="preserve"> that provides PHY and MAC features that can support a throughput of at least 20 Gb/s, as measured at the MAC data service access point (SAP). </w:t>
      </w:r>
      <w:r w:rsidRPr="00BA402D">
        <w:rPr>
          <w:rFonts w:asciiTheme="minorHAnsi" w:hAnsiTheme="minorHAnsi" w:cstheme="minorHAnsi"/>
          <w:szCs w:val="22"/>
          <w:highlight w:val="yellow"/>
          <w:u w:val="single"/>
          <w:lang w:eastAsia="ja-JP"/>
        </w:rPr>
        <w:t xml:space="preserve">An EDMG STA supports </w:t>
      </w:r>
      <w:r w:rsidRPr="007E3465">
        <w:rPr>
          <w:rFonts w:asciiTheme="minorHAnsi" w:hAnsiTheme="minorHAnsi" w:cstheme="minorHAnsi"/>
          <w:szCs w:val="22"/>
          <w:highlight w:val="yellow"/>
          <w:u w:val="single"/>
          <w:lang w:eastAsia="ja-JP"/>
        </w:rPr>
        <w:t>non-EDMG and EDMG features as identified in Clause 10, Clause 11, Clause 12, Clause 20 and</w:t>
      </w:r>
      <w:r w:rsidRPr="00BA402D">
        <w:rPr>
          <w:rFonts w:asciiTheme="minorHAnsi" w:hAnsiTheme="minorHAnsi" w:cstheme="minorHAnsi"/>
          <w:szCs w:val="22"/>
          <w:highlight w:val="yellow"/>
          <w:u w:val="single"/>
          <w:lang w:eastAsia="ja-JP"/>
        </w:rPr>
        <w:t xml:space="preserve"> Clause 28. An EDMG STA supports transmission and reception of frames that are compliant with PHY specifications as defined in Clause 20 and Clause 28.</w:t>
      </w:r>
    </w:p>
    <w:p w14:paraId="2C545F70" w14:textId="787B2544" w:rsidR="00FC1698" w:rsidRDefault="00FC1698" w:rsidP="00B501F8">
      <w:pPr>
        <w:rPr>
          <w:szCs w:val="22"/>
          <w:lang w:eastAsia="ja-JP"/>
        </w:rPr>
      </w:pPr>
    </w:p>
    <w:p w14:paraId="2751A055" w14:textId="68E42541" w:rsidR="007E3465" w:rsidRDefault="007E3465" w:rsidP="00B501F8">
      <w:pPr>
        <w:rPr>
          <w:szCs w:val="22"/>
          <w:lang w:eastAsia="ja-JP"/>
        </w:rPr>
      </w:pPr>
    </w:p>
    <w:p w14:paraId="22D05398" w14:textId="051DE565" w:rsidR="00011526" w:rsidRDefault="007E3465" w:rsidP="00B501F8">
      <w:pPr>
        <w:rPr>
          <w:szCs w:val="22"/>
          <w:lang w:eastAsia="ja-JP"/>
        </w:rPr>
      </w:pPr>
      <w:r>
        <w:rPr>
          <w:rFonts w:hint="eastAsia"/>
          <w:szCs w:val="22"/>
          <w:lang w:eastAsia="ja-JP"/>
        </w:rPr>
        <w:t>According to these Section 4.3.</w:t>
      </w:r>
      <w:r>
        <w:rPr>
          <w:szCs w:val="22"/>
          <w:lang w:eastAsia="ja-JP"/>
        </w:rPr>
        <w:t xml:space="preserve">21, Section 4.3.26 and Section 4.3.30, </w:t>
      </w:r>
      <w:r w:rsidR="00011526">
        <w:rPr>
          <w:szCs w:val="22"/>
          <w:lang w:eastAsia="ja-JP"/>
        </w:rPr>
        <w:t>followings are true.</w:t>
      </w:r>
    </w:p>
    <w:p w14:paraId="1A1CC2A9" w14:textId="77777777" w:rsidR="00011526" w:rsidRDefault="007E3465" w:rsidP="00011526">
      <w:pPr>
        <w:pStyle w:val="a7"/>
        <w:numPr>
          <w:ilvl w:val="0"/>
          <w:numId w:val="21"/>
        </w:numPr>
        <w:rPr>
          <w:szCs w:val="22"/>
          <w:lang w:eastAsia="ja-JP"/>
        </w:rPr>
      </w:pPr>
      <w:r w:rsidRPr="00011526">
        <w:rPr>
          <w:szCs w:val="22"/>
          <w:lang w:eastAsia="ja-JP"/>
        </w:rPr>
        <w:t>CDMG STA is also DMG STA</w:t>
      </w:r>
    </w:p>
    <w:p w14:paraId="40EB779D" w14:textId="77777777" w:rsidR="00011526" w:rsidRDefault="007E3465" w:rsidP="00774F6A">
      <w:pPr>
        <w:pStyle w:val="a7"/>
        <w:numPr>
          <w:ilvl w:val="0"/>
          <w:numId w:val="21"/>
        </w:numPr>
        <w:rPr>
          <w:szCs w:val="22"/>
          <w:lang w:eastAsia="ja-JP"/>
        </w:rPr>
      </w:pPr>
      <w:r w:rsidRPr="00011526">
        <w:rPr>
          <w:szCs w:val="22"/>
          <w:lang w:eastAsia="ja-JP"/>
        </w:rPr>
        <w:t>EDMG STA is also DMG STA.</w:t>
      </w:r>
    </w:p>
    <w:p w14:paraId="26DC08D5" w14:textId="77777777" w:rsidR="00011526" w:rsidRDefault="007E3465" w:rsidP="00B501F8">
      <w:pPr>
        <w:pStyle w:val="a7"/>
        <w:numPr>
          <w:ilvl w:val="0"/>
          <w:numId w:val="21"/>
        </w:numPr>
        <w:rPr>
          <w:szCs w:val="22"/>
          <w:lang w:eastAsia="ja-JP"/>
        </w:rPr>
      </w:pPr>
      <w:r w:rsidRPr="00011526">
        <w:rPr>
          <w:szCs w:val="22"/>
          <w:lang w:eastAsia="ja-JP"/>
        </w:rPr>
        <w:t xml:space="preserve">DMG STA is not </w:t>
      </w:r>
      <w:r w:rsidR="00011526" w:rsidRPr="00011526">
        <w:rPr>
          <w:szCs w:val="22"/>
          <w:lang w:eastAsia="ja-JP"/>
        </w:rPr>
        <w:t>CDMG STA and EDMG STA.</w:t>
      </w:r>
    </w:p>
    <w:p w14:paraId="7E8ED6FB" w14:textId="77777777" w:rsidR="00011526" w:rsidRDefault="00011526" w:rsidP="00355AC2">
      <w:pPr>
        <w:pStyle w:val="a7"/>
        <w:numPr>
          <w:ilvl w:val="0"/>
          <w:numId w:val="21"/>
        </w:numPr>
        <w:rPr>
          <w:szCs w:val="22"/>
          <w:lang w:eastAsia="ja-JP"/>
        </w:rPr>
      </w:pPr>
      <w:r w:rsidRPr="00011526">
        <w:rPr>
          <w:rFonts w:hint="eastAsia"/>
          <w:szCs w:val="22"/>
          <w:lang w:eastAsia="ja-JP"/>
        </w:rPr>
        <w:lastRenderedPageBreak/>
        <w:t>DMG STA can deal with DMG PPDU defined in Clause 20.</w:t>
      </w:r>
    </w:p>
    <w:p w14:paraId="703E0109" w14:textId="77777777" w:rsidR="00011526" w:rsidRDefault="00011526" w:rsidP="003A5215">
      <w:pPr>
        <w:pStyle w:val="a7"/>
        <w:numPr>
          <w:ilvl w:val="0"/>
          <w:numId w:val="21"/>
        </w:numPr>
        <w:rPr>
          <w:szCs w:val="22"/>
          <w:lang w:eastAsia="ja-JP"/>
        </w:rPr>
      </w:pPr>
      <w:r w:rsidRPr="00011526">
        <w:rPr>
          <w:szCs w:val="22"/>
          <w:lang w:eastAsia="ja-JP"/>
        </w:rPr>
        <w:t>CDMG STA can deal with DMG PPDU defined in Clause 20 and CDMG PPDU defined in Clause 24.</w:t>
      </w:r>
    </w:p>
    <w:p w14:paraId="4F5C390F" w14:textId="72598B32" w:rsidR="00011526" w:rsidRPr="00011526" w:rsidRDefault="00011526" w:rsidP="003A5215">
      <w:pPr>
        <w:pStyle w:val="a7"/>
        <w:numPr>
          <w:ilvl w:val="0"/>
          <w:numId w:val="21"/>
        </w:numPr>
        <w:rPr>
          <w:szCs w:val="22"/>
          <w:lang w:eastAsia="ja-JP"/>
        </w:rPr>
      </w:pPr>
      <w:r w:rsidRPr="00011526">
        <w:rPr>
          <w:szCs w:val="22"/>
          <w:lang w:eastAsia="ja-JP"/>
        </w:rPr>
        <w:t>EDMG STA can deal with DMG PPDU defined in Clause 20 and EDMG PPDU defined in Clause 28.</w:t>
      </w:r>
    </w:p>
    <w:p w14:paraId="619E0297" w14:textId="166FDEA7" w:rsidR="00011526" w:rsidRDefault="00011526" w:rsidP="00011526">
      <w:pPr>
        <w:rPr>
          <w:szCs w:val="22"/>
          <w:lang w:eastAsia="ja-JP"/>
        </w:rPr>
      </w:pPr>
    </w:p>
    <w:p w14:paraId="7B2A90DD" w14:textId="77777777" w:rsidR="00835806" w:rsidRPr="00835806" w:rsidRDefault="00835806" w:rsidP="00835806">
      <w:pPr>
        <w:rPr>
          <w:szCs w:val="22"/>
          <w:lang w:eastAsia="ja-JP"/>
        </w:rPr>
      </w:pPr>
      <w:r w:rsidRPr="00835806">
        <w:rPr>
          <w:szCs w:val="22"/>
          <w:lang w:eastAsia="ja-JP"/>
        </w:rPr>
        <w:t>Furthermore, DMG STA includes CDMG STA and EDMG STA.</w:t>
      </w:r>
    </w:p>
    <w:p w14:paraId="2B04614D" w14:textId="77777777" w:rsidR="00835806" w:rsidRPr="00835806" w:rsidRDefault="00835806" w:rsidP="00835806">
      <w:pPr>
        <w:rPr>
          <w:szCs w:val="22"/>
          <w:lang w:eastAsia="ja-JP"/>
        </w:rPr>
      </w:pPr>
      <w:r w:rsidRPr="00835806">
        <w:rPr>
          <w:szCs w:val="22"/>
          <w:lang w:eastAsia="ja-JP"/>
        </w:rPr>
        <w:t>In order to distinguish EDMG STA from other DMG STAs, that is DMG STA and CDMG STA, the term “non-EDMG” is used in Section 4.3.30.</w:t>
      </w:r>
    </w:p>
    <w:p w14:paraId="621599EB" w14:textId="77777777" w:rsidR="00835806" w:rsidRPr="00835806" w:rsidRDefault="00835806" w:rsidP="00835806">
      <w:pPr>
        <w:rPr>
          <w:szCs w:val="22"/>
          <w:lang w:eastAsia="ja-JP"/>
        </w:rPr>
      </w:pPr>
      <w:r w:rsidRPr="00835806">
        <w:rPr>
          <w:szCs w:val="22"/>
          <w:lang w:eastAsia="ja-JP"/>
        </w:rPr>
        <w:t>I.e., non-EDMG STA includes DMG STA and CDMG STA.</w:t>
      </w:r>
    </w:p>
    <w:p w14:paraId="71BEA921" w14:textId="77777777" w:rsidR="00835806" w:rsidRPr="00835806" w:rsidRDefault="00835806" w:rsidP="00835806">
      <w:pPr>
        <w:rPr>
          <w:szCs w:val="22"/>
          <w:lang w:eastAsia="ja-JP"/>
        </w:rPr>
      </w:pPr>
    </w:p>
    <w:p w14:paraId="3A6B523F" w14:textId="77777777" w:rsidR="00835806" w:rsidRPr="00835806" w:rsidRDefault="00835806" w:rsidP="00835806">
      <w:pPr>
        <w:rPr>
          <w:szCs w:val="22"/>
          <w:lang w:eastAsia="ja-JP"/>
        </w:rPr>
      </w:pPr>
      <w:r w:rsidRPr="00835806">
        <w:rPr>
          <w:szCs w:val="22"/>
          <w:lang w:eastAsia="ja-JP"/>
        </w:rPr>
        <w:t>non-EDMG PPDU is Claud 28 PPDU transmitted with TXVECTOR parameter FORMAT equal to NON-EDMG, where NON_EDMG indicates Clause 20 or non-EDMG duplicate format.</w:t>
      </w:r>
    </w:p>
    <w:p w14:paraId="5CBD7220" w14:textId="555B963F" w:rsidR="00835806" w:rsidRDefault="00835806" w:rsidP="00835806">
      <w:pPr>
        <w:rPr>
          <w:szCs w:val="22"/>
          <w:lang w:eastAsia="ja-JP"/>
        </w:rPr>
      </w:pPr>
      <w:r>
        <w:rPr>
          <w:szCs w:val="22"/>
          <w:lang w:eastAsia="ja-JP"/>
        </w:rPr>
        <w:t xml:space="preserve">Since non-EDMG PPDU includes Clause 20 PPDU and non-EDMG duplicate format, </w:t>
      </w:r>
      <w:r w:rsidRPr="00835806">
        <w:rPr>
          <w:szCs w:val="22"/>
          <w:lang w:eastAsia="ja-JP"/>
        </w:rPr>
        <w:t xml:space="preserve">non-EDMG PPDU </w:t>
      </w:r>
      <w:r>
        <w:rPr>
          <w:szCs w:val="22"/>
          <w:lang w:eastAsia="ja-JP"/>
        </w:rPr>
        <w:t xml:space="preserve">is not </w:t>
      </w:r>
      <w:r w:rsidRPr="00835806">
        <w:rPr>
          <w:szCs w:val="22"/>
          <w:lang w:eastAsia="ja-JP"/>
        </w:rPr>
        <w:t>DMG PPDU</w:t>
      </w:r>
      <w:r>
        <w:rPr>
          <w:szCs w:val="22"/>
          <w:lang w:eastAsia="ja-JP"/>
        </w:rPr>
        <w:t xml:space="preserve"> defined in Clause 20.</w:t>
      </w:r>
    </w:p>
    <w:p w14:paraId="1F120E0D" w14:textId="6262822F" w:rsidR="00835806" w:rsidRDefault="00835806" w:rsidP="00835806">
      <w:pPr>
        <w:rPr>
          <w:szCs w:val="22"/>
          <w:lang w:eastAsia="ja-JP"/>
        </w:rPr>
      </w:pPr>
    </w:p>
    <w:p w14:paraId="69D4E316" w14:textId="39DA7FC1" w:rsidR="00835806" w:rsidRDefault="00835806" w:rsidP="00835806">
      <w:pPr>
        <w:rPr>
          <w:szCs w:val="22"/>
          <w:lang w:eastAsia="ja-JP"/>
        </w:rPr>
      </w:pPr>
      <w:r>
        <w:rPr>
          <w:rFonts w:hint="eastAsia"/>
          <w:szCs w:val="22"/>
          <w:lang w:eastAsia="ja-JP"/>
        </w:rPr>
        <w:t>Followings are definitions of DMG A-PPDU and EMDG A-PPDU.</w:t>
      </w:r>
    </w:p>
    <w:p w14:paraId="0DC54B6A" w14:textId="25C322D8" w:rsidR="00835806" w:rsidRDefault="00835806" w:rsidP="00835806">
      <w:pPr>
        <w:rPr>
          <w:sz w:val="20"/>
        </w:rPr>
      </w:pPr>
      <w:r>
        <w:rPr>
          <w:b/>
          <w:bCs/>
          <w:sz w:val="20"/>
        </w:rPr>
        <w:t>directional multi-gigabit (DMG) aggregate physical layer (PHY) protocol data unit (A-PPDU)</w:t>
      </w:r>
      <w:r>
        <w:rPr>
          <w:sz w:val="20"/>
        </w:rPr>
        <w:t>: An A-PPDU where all constituent PPDUs are DMG PPDUs.</w:t>
      </w:r>
    </w:p>
    <w:p w14:paraId="76B9C978" w14:textId="455956D3" w:rsidR="00835806" w:rsidRPr="00835806" w:rsidRDefault="00835806" w:rsidP="00835806">
      <w:pPr>
        <w:rPr>
          <w:sz w:val="20"/>
        </w:rPr>
      </w:pPr>
    </w:p>
    <w:p w14:paraId="0F64A7F5" w14:textId="5D2F1601" w:rsidR="00835806" w:rsidRDefault="00835806" w:rsidP="00835806">
      <w:pPr>
        <w:rPr>
          <w:sz w:val="20"/>
        </w:rPr>
      </w:pPr>
      <w:r>
        <w:rPr>
          <w:b/>
          <w:bCs/>
          <w:sz w:val="20"/>
        </w:rPr>
        <w:t>enhanced directional multi-gigabit (EDMG) aggregate physical layer (PHY) protocol data unit (A-PPDU)</w:t>
      </w:r>
      <w:r>
        <w:rPr>
          <w:sz w:val="20"/>
        </w:rPr>
        <w:t>: An A-PPDU where all constituent PPDUs are EDMG PPDUs.</w:t>
      </w:r>
    </w:p>
    <w:p w14:paraId="5A9F1F1B" w14:textId="77777777" w:rsidR="00835806" w:rsidRPr="00835806" w:rsidRDefault="00835806" w:rsidP="00835806">
      <w:pPr>
        <w:rPr>
          <w:szCs w:val="22"/>
          <w:lang w:eastAsia="ja-JP"/>
        </w:rPr>
      </w:pPr>
    </w:p>
    <w:p w14:paraId="10CA8A5F" w14:textId="0E2F2E11" w:rsidR="00011526" w:rsidRPr="00011526" w:rsidRDefault="00004215" w:rsidP="00B501F8">
      <w:pPr>
        <w:rPr>
          <w:szCs w:val="22"/>
          <w:lang w:eastAsia="ja-JP"/>
        </w:rPr>
      </w:pPr>
      <w:r>
        <w:rPr>
          <w:rFonts w:hint="eastAsia"/>
          <w:szCs w:val="22"/>
          <w:lang w:eastAsia="ja-JP"/>
        </w:rPr>
        <w:t xml:space="preserve">It seems that there is no inconsistency in </w:t>
      </w:r>
      <w:r>
        <w:rPr>
          <w:szCs w:val="22"/>
          <w:lang w:eastAsia="ja-JP"/>
        </w:rPr>
        <w:t>the definition</w:t>
      </w:r>
      <w:r w:rsidR="0093141B">
        <w:rPr>
          <w:szCs w:val="22"/>
          <w:lang w:eastAsia="ja-JP"/>
        </w:rPr>
        <w:t>s</w:t>
      </w:r>
      <w:r>
        <w:rPr>
          <w:szCs w:val="22"/>
          <w:lang w:eastAsia="ja-JP"/>
        </w:rPr>
        <w:t xml:space="preserve"> of </w:t>
      </w:r>
      <w:r>
        <w:rPr>
          <w:rFonts w:hint="eastAsia"/>
          <w:szCs w:val="22"/>
          <w:lang w:eastAsia="ja-JP"/>
        </w:rPr>
        <w:t>DMG A-PPDU</w:t>
      </w:r>
      <w:r>
        <w:rPr>
          <w:szCs w:val="22"/>
          <w:lang w:eastAsia="ja-JP"/>
        </w:rPr>
        <w:t xml:space="preserve"> and EDMG A-PPDU.</w:t>
      </w:r>
    </w:p>
    <w:p w14:paraId="747B749E" w14:textId="38883307" w:rsidR="00011526" w:rsidRDefault="00011526" w:rsidP="00B501F8">
      <w:pPr>
        <w:rPr>
          <w:szCs w:val="22"/>
          <w:lang w:eastAsia="ja-JP"/>
        </w:rPr>
      </w:pPr>
    </w:p>
    <w:p w14:paraId="5C1A6B6F" w14:textId="77777777" w:rsidR="00011526" w:rsidRDefault="00011526" w:rsidP="00B501F8">
      <w:pPr>
        <w:rPr>
          <w:szCs w:val="22"/>
          <w:lang w:eastAsia="ja-JP"/>
        </w:rPr>
      </w:pPr>
    </w:p>
    <w:p w14:paraId="52DEB2EE" w14:textId="13B9864D" w:rsidR="009508BE" w:rsidRPr="00DF7397" w:rsidRDefault="009508BE" w:rsidP="0093141B">
      <w:pPr>
        <w:tabs>
          <w:tab w:val="center" w:pos="4680"/>
        </w:tabs>
        <w:rPr>
          <w:color w:val="000000" w:themeColor="text1"/>
          <w:szCs w:val="22"/>
        </w:rPr>
      </w:pPr>
      <w:r w:rsidRPr="00DF7397">
        <w:rPr>
          <w:b/>
          <w:color w:val="000000" w:themeColor="text1"/>
          <w:szCs w:val="22"/>
        </w:rPr>
        <w:t>Proposed resolution</w:t>
      </w:r>
      <w:r>
        <w:rPr>
          <w:color w:val="000000" w:themeColor="text1"/>
          <w:szCs w:val="22"/>
        </w:rPr>
        <w:t xml:space="preserve">: </w:t>
      </w:r>
      <w:r w:rsidR="0093141B">
        <w:rPr>
          <w:color w:val="000000" w:themeColor="text1"/>
          <w:szCs w:val="22"/>
        </w:rPr>
        <w:t>TBD</w:t>
      </w:r>
    </w:p>
    <w:p w14:paraId="0E4C4EB5" w14:textId="77777777" w:rsidR="009B6C4B" w:rsidRDefault="009B6C4B" w:rsidP="00B501F8">
      <w:pPr>
        <w:rPr>
          <w:i/>
          <w:szCs w:val="22"/>
          <w:lang w:eastAsia="ja-JP"/>
        </w:rPr>
      </w:pPr>
    </w:p>
    <w:p w14:paraId="5DBED372" w14:textId="2ED0C3B4" w:rsidR="009B6C4B" w:rsidRPr="009B6C4B" w:rsidRDefault="009B6C4B" w:rsidP="009B6C4B">
      <w:pPr>
        <w:rPr>
          <w:szCs w:val="22"/>
          <w:lang w:eastAsia="ja-JP"/>
        </w:rPr>
      </w:pPr>
    </w:p>
    <w:p w14:paraId="0D8601B3" w14:textId="77777777" w:rsidR="009B6C4B" w:rsidRPr="00FC1698" w:rsidRDefault="009B6C4B" w:rsidP="00B501F8">
      <w:pPr>
        <w:rPr>
          <w:szCs w:val="22"/>
          <w:lang w:eastAsia="ja-JP"/>
        </w:rPr>
      </w:pPr>
    </w:p>
    <w:p w14:paraId="60EDFE2F" w14:textId="65694782" w:rsidR="00FB3206" w:rsidRPr="00DF7397" w:rsidRDefault="00FB3206" w:rsidP="005D065F">
      <w:pPr>
        <w:rPr>
          <w:b/>
          <w:szCs w:val="22"/>
          <w:lang w:eastAsia="ja-JP"/>
        </w:rPr>
      </w:pPr>
      <w:r w:rsidRPr="00DF7397">
        <w:rPr>
          <w:rFonts w:hint="eastAsia"/>
          <w:b/>
          <w:szCs w:val="22"/>
          <w:lang w:eastAsia="ja-JP"/>
        </w:rPr>
        <w:t>Straw Poll:</w:t>
      </w:r>
    </w:p>
    <w:p w14:paraId="12E9448F" w14:textId="16A09093" w:rsidR="00FB3206" w:rsidRPr="00DF7397" w:rsidRDefault="00FB3206" w:rsidP="00FB3206">
      <w:pPr>
        <w:pStyle w:val="a7"/>
        <w:numPr>
          <w:ilvl w:val="0"/>
          <w:numId w:val="18"/>
        </w:numPr>
        <w:rPr>
          <w:szCs w:val="22"/>
          <w:lang w:eastAsia="ja-JP"/>
        </w:rPr>
      </w:pPr>
      <w:r w:rsidRPr="00DF7397">
        <w:rPr>
          <w:rFonts w:hint="eastAsia"/>
          <w:szCs w:val="22"/>
          <w:lang w:eastAsia="ja-JP"/>
        </w:rPr>
        <w:t xml:space="preserve">Do you agree to accept the comment resolution for </w:t>
      </w:r>
      <w:r w:rsidR="0051215D" w:rsidRPr="00DF7397">
        <w:rPr>
          <w:szCs w:val="22"/>
          <w:lang w:eastAsia="ja-JP"/>
        </w:rPr>
        <w:t xml:space="preserve">CID </w:t>
      </w:r>
      <w:r w:rsidR="006B57A2">
        <w:rPr>
          <w:szCs w:val="22"/>
          <w:lang w:eastAsia="ja-JP"/>
        </w:rPr>
        <w:t>6216</w:t>
      </w:r>
      <w:r w:rsidR="009720E6">
        <w:rPr>
          <w:szCs w:val="22"/>
          <w:lang w:eastAsia="ja-JP"/>
        </w:rPr>
        <w:t xml:space="preserve"> in 20</w:t>
      </w:r>
      <w:r w:rsidR="0051215D" w:rsidRPr="00DF7397">
        <w:rPr>
          <w:szCs w:val="22"/>
          <w:lang w:eastAsia="ja-JP"/>
        </w:rPr>
        <w:t>/</w:t>
      </w:r>
      <w:r w:rsidR="009720E6">
        <w:rPr>
          <w:szCs w:val="22"/>
          <w:lang w:eastAsia="ja-JP"/>
        </w:rPr>
        <w:t>0345</w:t>
      </w:r>
      <w:r w:rsidRPr="00DF7397">
        <w:rPr>
          <w:szCs w:val="22"/>
          <w:lang w:eastAsia="ja-JP"/>
        </w:rPr>
        <w:t>r</w:t>
      </w:r>
      <w:r w:rsidR="00FC1698">
        <w:rPr>
          <w:szCs w:val="22"/>
          <w:lang w:eastAsia="ja-JP"/>
        </w:rPr>
        <w:t>1</w:t>
      </w:r>
      <w:r w:rsidRPr="00DF7397">
        <w:rPr>
          <w:szCs w:val="22"/>
          <w:lang w:eastAsia="ja-JP"/>
        </w:rPr>
        <w:t>?</w:t>
      </w:r>
    </w:p>
    <w:p w14:paraId="428FD018" w14:textId="77777777" w:rsidR="00FB3206" w:rsidRPr="00DF7397" w:rsidRDefault="00FB3206" w:rsidP="005D065F">
      <w:pPr>
        <w:rPr>
          <w:szCs w:val="22"/>
          <w:lang w:eastAsia="ja-JP"/>
        </w:rPr>
      </w:pPr>
    </w:p>
    <w:p w14:paraId="4E25B68D" w14:textId="77938B12" w:rsidR="00FB3206" w:rsidRPr="00DF7397" w:rsidRDefault="00FB3206" w:rsidP="005D065F">
      <w:pPr>
        <w:rPr>
          <w:szCs w:val="22"/>
          <w:lang w:eastAsia="ja-JP"/>
        </w:rPr>
      </w:pPr>
    </w:p>
    <w:p w14:paraId="724B290C" w14:textId="2A116170" w:rsidR="00FB3206" w:rsidRPr="00DF7397" w:rsidRDefault="00FB3206" w:rsidP="005D065F">
      <w:pPr>
        <w:rPr>
          <w:b/>
          <w:szCs w:val="22"/>
          <w:lang w:eastAsia="ja-JP"/>
        </w:rPr>
      </w:pPr>
      <w:r w:rsidRPr="00DF7397">
        <w:rPr>
          <w:rFonts w:hint="eastAsia"/>
          <w:b/>
          <w:szCs w:val="22"/>
          <w:lang w:eastAsia="ja-JP"/>
        </w:rPr>
        <w:t>References:</w:t>
      </w:r>
    </w:p>
    <w:p w14:paraId="6E2CEF75" w14:textId="4C60F23D" w:rsidR="00394EBE" w:rsidRDefault="00FB3206" w:rsidP="00D96405">
      <w:pPr>
        <w:pStyle w:val="a7"/>
        <w:numPr>
          <w:ilvl w:val="0"/>
          <w:numId w:val="19"/>
        </w:numPr>
        <w:rPr>
          <w:szCs w:val="22"/>
          <w:lang w:eastAsia="ja-JP"/>
        </w:rPr>
      </w:pPr>
      <w:r w:rsidRPr="00DF7397">
        <w:rPr>
          <w:rFonts w:hint="eastAsia"/>
          <w:szCs w:val="22"/>
          <w:lang w:eastAsia="ja-JP"/>
        </w:rPr>
        <w:t>Draft P802.11ay</w:t>
      </w:r>
      <w:r w:rsidR="00D96405" w:rsidRPr="00DF7397">
        <w:rPr>
          <w:szCs w:val="22"/>
          <w:lang w:eastAsia="ja-JP"/>
        </w:rPr>
        <w:t>_D</w:t>
      </w:r>
      <w:r w:rsidR="006B57A2">
        <w:rPr>
          <w:szCs w:val="22"/>
          <w:lang w:eastAsia="ja-JP"/>
        </w:rPr>
        <w:t>5</w:t>
      </w:r>
      <w:r w:rsidR="00D96405" w:rsidRPr="00DF7397">
        <w:rPr>
          <w:szCs w:val="22"/>
          <w:lang w:eastAsia="ja-JP"/>
        </w:rPr>
        <w:t>.0</w:t>
      </w:r>
    </w:p>
    <w:p w14:paraId="3E39DE7C" w14:textId="3B3069DE" w:rsidR="00FC1698" w:rsidRPr="00DF7397" w:rsidRDefault="00FC1698" w:rsidP="00D96405">
      <w:pPr>
        <w:pStyle w:val="a7"/>
        <w:numPr>
          <w:ilvl w:val="0"/>
          <w:numId w:val="19"/>
        </w:numPr>
        <w:rPr>
          <w:szCs w:val="22"/>
          <w:lang w:eastAsia="ja-JP"/>
        </w:rPr>
      </w:pPr>
      <w:r>
        <w:rPr>
          <w:szCs w:val="22"/>
          <w:lang w:eastAsia="ja-JP"/>
        </w:rPr>
        <w:t>Draft P802.11REVmd_D3.1</w:t>
      </w:r>
    </w:p>
    <w:p w14:paraId="6D6745AD" w14:textId="2A9D84AA" w:rsidR="00FB3206" w:rsidRDefault="00FB3206" w:rsidP="005D065F">
      <w:pPr>
        <w:rPr>
          <w:szCs w:val="22"/>
          <w:lang w:eastAsia="ja-JP"/>
        </w:rPr>
      </w:pPr>
    </w:p>
    <w:p w14:paraId="77F749FE" w14:textId="77777777" w:rsidR="00FB3206" w:rsidRPr="00FB3206" w:rsidRDefault="00FB3206" w:rsidP="005D065F">
      <w:pPr>
        <w:rPr>
          <w:szCs w:val="22"/>
          <w:lang w:eastAsia="ja-JP"/>
        </w:rPr>
      </w:pPr>
    </w:p>
    <w:sectPr w:rsidR="00FB3206" w:rsidRPr="00FB3206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6D76C8" w14:textId="77777777" w:rsidR="00972405" w:rsidRDefault="00972405">
      <w:r>
        <w:separator/>
      </w:r>
    </w:p>
  </w:endnote>
  <w:endnote w:type="continuationSeparator" w:id="0">
    <w:p w14:paraId="1FF5F755" w14:textId="77777777" w:rsidR="00972405" w:rsidRDefault="00972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-BoldMT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94CD0A" w14:textId="4DB810C6" w:rsidR="007231A2" w:rsidRDefault="00972405">
    <w:pPr>
      <w:pStyle w:val="a3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7231A2">
      <w:t>Submission</w:t>
    </w:r>
    <w:r>
      <w:fldChar w:fldCharType="end"/>
    </w:r>
    <w:r w:rsidR="007231A2">
      <w:tab/>
      <w:t xml:space="preserve">page </w:t>
    </w:r>
    <w:r w:rsidR="007231A2">
      <w:fldChar w:fldCharType="begin"/>
    </w:r>
    <w:r w:rsidR="007231A2">
      <w:instrText xml:space="preserve">page </w:instrText>
    </w:r>
    <w:r w:rsidR="007231A2">
      <w:fldChar w:fldCharType="separate"/>
    </w:r>
    <w:r w:rsidR="00C94151">
      <w:rPr>
        <w:noProof/>
      </w:rPr>
      <w:t>1</w:t>
    </w:r>
    <w:r w:rsidR="007231A2">
      <w:fldChar w:fldCharType="end"/>
    </w:r>
    <w:r w:rsidR="007231A2">
      <w:tab/>
    </w:r>
    <w:r w:rsidR="002F5FD7">
      <w:t>Takenori Sakamoto, Panasonic</w:t>
    </w:r>
  </w:p>
  <w:p w14:paraId="338ADA44" w14:textId="77777777" w:rsidR="007231A2" w:rsidRDefault="007231A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E9BC0A" w14:textId="77777777" w:rsidR="00972405" w:rsidRDefault="00972405">
      <w:r>
        <w:separator/>
      </w:r>
    </w:p>
  </w:footnote>
  <w:footnote w:type="continuationSeparator" w:id="0">
    <w:p w14:paraId="5DDC92AB" w14:textId="77777777" w:rsidR="00972405" w:rsidRDefault="009724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012A7A" w14:textId="1AFE4D27" w:rsidR="007231A2" w:rsidRDefault="0045655E">
    <w:pPr>
      <w:pStyle w:val="a4"/>
      <w:tabs>
        <w:tab w:val="clear" w:pos="6480"/>
        <w:tab w:val="center" w:pos="4680"/>
        <w:tab w:val="right" w:pos="9360"/>
      </w:tabs>
    </w:pPr>
    <w:r>
      <w:rPr>
        <w:lang w:eastAsia="ja-JP"/>
      </w:rPr>
      <w:fldChar w:fldCharType="begin"/>
    </w:r>
    <w:r>
      <w:rPr>
        <w:lang w:eastAsia="ja-JP"/>
      </w:rPr>
      <w:instrText xml:space="preserve"> KEYWORDS  \* MERGEFORMAT </w:instrText>
    </w:r>
    <w:r>
      <w:rPr>
        <w:lang w:eastAsia="ja-JP"/>
      </w:rPr>
      <w:fldChar w:fldCharType="separate"/>
    </w:r>
    <w:r w:rsidR="007A6BF1">
      <w:rPr>
        <w:rFonts w:hint="eastAsia"/>
        <w:lang w:eastAsia="ja-JP"/>
      </w:rPr>
      <w:t>March</w:t>
    </w:r>
    <w:r w:rsidR="007231A2">
      <w:t xml:space="preserve"> 20</w:t>
    </w:r>
    <w:r>
      <w:fldChar w:fldCharType="end"/>
    </w:r>
    <w:r w:rsidR="006B57A2">
      <w:t>20</w:t>
    </w:r>
    <w:r w:rsidR="007231A2">
      <w:tab/>
    </w:r>
    <w:r w:rsidR="007231A2">
      <w:tab/>
    </w:r>
    <w:r w:rsidR="00972405">
      <w:fldChar w:fldCharType="begin"/>
    </w:r>
    <w:r w:rsidR="00972405">
      <w:instrText xml:space="preserve"> TITLE  \* MERGEFORMAT </w:instrText>
    </w:r>
    <w:r w:rsidR="00972405">
      <w:fldChar w:fldCharType="separate"/>
    </w:r>
    <w:r w:rsidR="007231A2">
      <w:t>doc.: IEEE 802.11-</w:t>
    </w:r>
    <w:r w:rsidR="006B57A2">
      <w:t>20</w:t>
    </w:r>
    <w:r w:rsidR="007231A2">
      <w:t>/</w:t>
    </w:r>
    <w:r w:rsidR="009720E6">
      <w:rPr>
        <w:rFonts w:hint="eastAsia"/>
        <w:lang w:eastAsia="ja-JP"/>
      </w:rPr>
      <w:t>0345</w:t>
    </w:r>
    <w:r w:rsidR="007231A2">
      <w:t>r</w:t>
    </w:r>
    <w:r w:rsidR="00972405">
      <w:fldChar w:fldCharType="end"/>
    </w:r>
    <w:r w:rsidR="00FC1698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36403"/>
    <w:multiLevelType w:val="hybridMultilevel"/>
    <w:tmpl w:val="2DC080B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481700"/>
    <w:multiLevelType w:val="hybridMultilevel"/>
    <w:tmpl w:val="B5365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A150C"/>
    <w:multiLevelType w:val="multilevel"/>
    <w:tmpl w:val="4274C15C"/>
    <w:lvl w:ilvl="0">
      <w:start w:val="5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3" w15:restartNumberingAfterBreak="0">
    <w:nsid w:val="1E5A265A"/>
    <w:multiLevelType w:val="hybridMultilevel"/>
    <w:tmpl w:val="04A47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B60959"/>
    <w:multiLevelType w:val="hybridMultilevel"/>
    <w:tmpl w:val="BEC8A96A"/>
    <w:lvl w:ilvl="0" w:tplc="CAFE1E4C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297BAE"/>
    <w:multiLevelType w:val="hybridMultilevel"/>
    <w:tmpl w:val="887A1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B90309"/>
    <w:multiLevelType w:val="hybridMultilevel"/>
    <w:tmpl w:val="E8407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AE66B5"/>
    <w:multiLevelType w:val="hybridMultilevel"/>
    <w:tmpl w:val="E3ACE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D111DF"/>
    <w:multiLevelType w:val="hybridMultilevel"/>
    <w:tmpl w:val="72245FEE"/>
    <w:lvl w:ilvl="0" w:tplc="B8BA3436">
      <w:start w:val="1"/>
      <w:numFmt w:val="bullet"/>
      <w:lvlText w:val="•"/>
      <w:lvlJc w:val="left"/>
      <w:pPr>
        <w:ind w:left="1140" w:hanging="420"/>
      </w:pPr>
      <w:rPr>
        <w:rFonts w:ascii="Times New Roma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9" w15:restartNumberingAfterBreak="0">
    <w:nsid w:val="33A16B9B"/>
    <w:multiLevelType w:val="hybridMultilevel"/>
    <w:tmpl w:val="D3ECA91C"/>
    <w:lvl w:ilvl="0" w:tplc="B8BA3436">
      <w:start w:val="1"/>
      <w:numFmt w:val="bullet"/>
      <w:lvlText w:val="•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CAE31B5"/>
    <w:multiLevelType w:val="hybridMultilevel"/>
    <w:tmpl w:val="009223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6038BB"/>
    <w:multiLevelType w:val="hybridMultilevel"/>
    <w:tmpl w:val="33DCC844"/>
    <w:lvl w:ilvl="0" w:tplc="0409000F">
      <w:start w:val="1"/>
      <w:numFmt w:val="decimal"/>
      <w:lvlText w:val="%1.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2" w15:restartNumberingAfterBreak="0">
    <w:nsid w:val="4F8017F2"/>
    <w:multiLevelType w:val="hybridMultilevel"/>
    <w:tmpl w:val="A1CA3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F82F23"/>
    <w:multiLevelType w:val="hybridMultilevel"/>
    <w:tmpl w:val="3B70C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9B0357"/>
    <w:multiLevelType w:val="hybridMultilevel"/>
    <w:tmpl w:val="CB1C7A66"/>
    <w:lvl w:ilvl="0" w:tplc="A9CA37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A07F74"/>
    <w:multiLevelType w:val="hybridMultilevel"/>
    <w:tmpl w:val="A77E1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E66361"/>
    <w:multiLevelType w:val="multilevel"/>
    <w:tmpl w:val="7AF44400"/>
    <w:lvl w:ilvl="0">
      <w:start w:val="5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17" w15:restartNumberingAfterBreak="0">
    <w:nsid w:val="6E2C5AF8"/>
    <w:multiLevelType w:val="hybridMultilevel"/>
    <w:tmpl w:val="39DC13F6"/>
    <w:lvl w:ilvl="0" w:tplc="9D38DCF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3657BD"/>
    <w:multiLevelType w:val="hybridMultilevel"/>
    <w:tmpl w:val="619C1E12"/>
    <w:lvl w:ilvl="0" w:tplc="2A9ADD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B91007"/>
    <w:multiLevelType w:val="hybridMultilevel"/>
    <w:tmpl w:val="3C70F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F17EE9"/>
    <w:multiLevelType w:val="hybridMultilevel"/>
    <w:tmpl w:val="F4947B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13"/>
  </w:num>
  <w:num w:numId="4">
    <w:abstractNumId w:val="12"/>
  </w:num>
  <w:num w:numId="5">
    <w:abstractNumId w:val="19"/>
  </w:num>
  <w:num w:numId="6">
    <w:abstractNumId w:val="6"/>
  </w:num>
  <w:num w:numId="7">
    <w:abstractNumId w:val="14"/>
  </w:num>
  <w:num w:numId="8">
    <w:abstractNumId w:val="3"/>
  </w:num>
  <w:num w:numId="9">
    <w:abstractNumId w:val="15"/>
  </w:num>
  <w:num w:numId="10">
    <w:abstractNumId w:val="18"/>
  </w:num>
  <w:num w:numId="11">
    <w:abstractNumId w:val="16"/>
  </w:num>
  <w:num w:numId="12">
    <w:abstractNumId w:val="2"/>
  </w:num>
  <w:num w:numId="13">
    <w:abstractNumId w:val="17"/>
  </w:num>
  <w:num w:numId="14">
    <w:abstractNumId w:val="4"/>
  </w:num>
  <w:num w:numId="15">
    <w:abstractNumId w:val="20"/>
  </w:num>
  <w:num w:numId="16">
    <w:abstractNumId w:val="7"/>
  </w:num>
  <w:num w:numId="17">
    <w:abstractNumId w:val="1"/>
  </w:num>
  <w:num w:numId="18">
    <w:abstractNumId w:val="8"/>
  </w:num>
  <w:num w:numId="19">
    <w:abstractNumId w:val="11"/>
  </w:num>
  <w:num w:numId="20">
    <w:abstractNumId w:val="0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7"/>
  <w:printFractionalCharacterWidth/>
  <w:mirrorMargin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A9A"/>
    <w:rsid w:val="00004215"/>
    <w:rsid w:val="000056E0"/>
    <w:rsid w:val="00005ADF"/>
    <w:rsid w:val="00011526"/>
    <w:rsid w:val="0001254A"/>
    <w:rsid w:val="00014482"/>
    <w:rsid w:val="000159BE"/>
    <w:rsid w:val="00020445"/>
    <w:rsid w:val="00021760"/>
    <w:rsid w:val="00026DA8"/>
    <w:rsid w:val="00030FD0"/>
    <w:rsid w:val="000347EE"/>
    <w:rsid w:val="00036D10"/>
    <w:rsid w:val="0004000B"/>
    <w:rsid w:val="00042582"/>
    <w:rsid w:val="00042BA4"/>
    <w:rsid w:val="00043A4E"/>
    <w:rsid w:val="0005023F"/>
    <w:rsid w:val="00052ACD"/>
    <w:rsid w:val="0005439E"/>
    <w:rsid w:val="00061F83"/>
    <w:rsid w:val="000651F4"/>
    <w:rsid w:val="00071BC3"/>
    <w:rsid w:val="0008428E"/>
    <w:rsid w:val="000868E2"/>
    <w:rsid w:val="00087A59"/>
    <w:rsid w:val="00090814"/>
    <w:rsid w:val="00092A5A"/>
    <w:rsid w:val="00097FBF"/>
    <w:rsid w:val="000A3DFF"/>
    <w:rsid w:val="000A3FCF"/>
    <w:rsid w:val="000A55DA"/>
    <w:rsid w:val="000A607E"/>
    <w:rsid w:val="000C0107"/>
    <w:rsid w:val="000D4844"/>
    <w:rsid w:val="000E2485"/>
    <w:rsid w:val="000E3307"/>
    <w:rsid w:val="000E5568"/>
    <w:rsid w:val="000E6078"/>
    <w:rsid w:val="000E6BB1"/>
    <w:rsid w:val="000E7142"/>
    <w:rsid w:val="000E7A77"/>
    <w:rsid w:val="000E7BE4"/>
    <w:rsid w:val="000F0BF1"/>
    <w:rsid w:val="000F17F8"/>
    <w:rsid w:val="00101CA3"/>
    <w:rsid w:val="00103241"/>
    <w:rsid w:val="00103B88"/>
    <w:rsid w:val="00106714"/>
    <w:rsid w:val="00107B73"/>
    <w:rsid w:val="00111203"/>
    <w:rsid w:val="00111805"/>
    <w:rsid w:val="0011426A"/>
    <w:rsid w:val="00124776"/>
    <w:rsid w:val="001303EE"/>
    <w:rsid w:val="00133954"/>
    <w:rsid w:val="001340BF"/>
    <w:rsid w:val="001366DE"/>
    <w:rsid w:val="00141663"/>
    <w:rsid w:val="00160128"/>
    <w:rsid w:val="00170118"/>
    <w:rsid w:val="001758B0"/>
    <w:rsid w:val="001819E2"/>
    <w:rsid w:val="00184F19"/>
    <w:rsid w:val="00191059"/>
    <w:rsid w:val="00194FDB"/>
    <w:rsid w:val="00196830"/>
    <w:rsid w:val="001A6022"/>
    <w:rsid w:val="001C6E11"/>
    <w:rsid w:val="001D1686"/>
    <w:rsid w:val="001D17C5"/>
    <w:rsid w:val="001D33E5"/>
    <w:rsid w:val="001D3A24"/>
    <w:rsid w:val="001D57C2"/>
    <w:rsid w:val="001D723B"/>
    <w:rsid w:val="001E5D74"/>
    <w:rsid w:val="001F7586"/>
    <w:rsid w:val="001F79D2"/>
    <w:rsid w:val="002012CE"/>
    <w:rsid w:val="00204B8E"/>
    <w:rsid w:val="00205C9C"/>
    <w:rsid w:val="0021231F"/>
    <w:rsid w:val="002177A5"/>
    <w:rsid w:val="00217CC5"/>
    <w:rsid w:val="0022145D"/>
    <w:rsid w:val="002227EF"/>
    <w:rsid w:val="00223235"/>
    <w:rsid w:val="002246D3"/>
    <w:rsid w:val="002267AE"/>
    <w:rsid w:val="00226CB0"/>
    <w:rsid w:val="00230CF6"/>
    <w:rsid w:val="00231C92"/>
    <w:rsid w:val="002372E2"/>
    <w:rsid w:val="0023776B"/>
    <w:rsid w:val="00237900"/>
    <w:rsid w:val="00240C98"/>
    <w:rsid w:val="0024315A"/>
    <w:rsid w:val="00261CDC"/>
    <w:rsid w:val="00266203"/>
    <w:rsid w:val="00266955"/>
    <w:rsid w:val="0027415F"/>
    <w:rsid w:val="00275975"/>
    <w:rsid w:val="00275A61"/>
    <w:rsid w:val="00276BF3"/>
    <w:rsid w:val="00277888"/>
    <w:rsid w:val="00281A61"/>
    <w:rsid w:val="0028307C"/>
    <w:rsid w:val="002877F9"/>
    <w:rsid w:val="0029020B"/>
    <w:rsid w:val="0029476E"/>
    <w:rsid w:val="002A3E89"/>
    <w:rsid w:val="002A5048"/>
    <w:rsid w:val="002A5817"/>
    <w:rsid w:val="002B015D"/>
    <w:rsid w:val="002B21F3"/>
    <w:rsid w:val="002B7CE7"/>
    <w:rsid w:val="002C652C"/>
    <w:rsid w:val="002D1B9E"/>
    <w:rsid w:val="002D44BE"/>
    <w:rsid w:val="002D492A"/>
    <w:rsid w:val="002E1981"/>
    <w:rsid w:val="002E28E1"/>
    <w:rsid w:val="002E53E2"/>
    <w:rsid w:val="002E6933"/>
    <w:rsid w:val="002E7419"/>
    <w:rsid w:val="002F003F"/>
    <w:rsid w:val="002F1E3D"/>
    <w:rsid w:val="002F5FD7"/>
    <w:rsid w:val="002F6F5F"/>
    <w:rsid w:val="00303721"/>
    <w:rsid w:val="00306C2A"/>
    <w:rsid w:val="003104ED"/>
    <w:rsid w:val="00310830"/>
    <w:rsid w:val="00315A82"/>
    <w:rsid w:val="00332833"/>
    <w:rsid w:val="0033441E"/>
    <w:rsid w:val="00343B27"/>
    <w:rsid w:val="00346611"/>
    <w:rsid w:val="00347005"/>
    <w:rsid w:val="00347773"/>
    <w:rsid w:val="00347CBA"/>
    <w:rsid w:val="003638D4"/>
    <w:rsid w:val="003712E8"/>
    <w:rsid w:val="00376F91"/>
    <w:rsid w:val="00377C33"/>
    <w:rsid w:val="00383A2A"/>
    <w:rsid w:val="00385231"/>
    <w:rsid w:val="00387825"/>
    <w:rsid w:val="00391358"/>
    <w:rsid w:val="00394EBE"/>
    <w:rsid w:val="003A4B9F"/>
    <w:rsid w:val="003A6262"/>
    <w:rsid w:val="003A7E13"/>
    <w:rsid w:val="003B68B7"/>
    <w:rsid w:val="003B7066"/>
    <w:rsid w:val="003C0DBC"/>
    <w:rsid w:val="003C6379"/>
    <w:rsid w:val="003E1AF8"/>
    <w:rsid w:val="003E7D56"/>
    <w:rsid w:val="003F0E18"/>
    <w:rsid w:val="004008BD"/>
    <w:rsid w:val="00404394"/>
    <w:rsid w:val="004215F0"/>
    <w:rsid w:val="00421695"/>
    <w:rsid w:val="004242F7"/>
    <w:rsid w:val="00427824"/>
    <w:rsid w:val="004308CF"/>
    <w:rsid w:val="00430D02"/>
    <w:rsid w:val="00442037"/>
    <w:rsid w:val="004456D7"/>
    <w:rsid w:val="00446184"/>
    <w:rsid w:val="00447758"/>
    <w:rsid w:val="00456470"/>
    <w:rsid w:val="0045655E"/>
    <w:rsid w:val="00457832"/>
    <w:rsid w:val="00460979"/>
    <w:rsid w:val="00460AF7"/>
    <w:rsid w:val="00463A2E"/>
    <w:rsid w:val="00464525"/>
    <w:rsid w:val="00466B0F"/>
    <w:rsid w:val="004678F2"/>
    <w:rsid w:val="0047766D"/>
    <w:rsid w:val="004830C0"/>
    <w:rsid w:val="0048474A"/>
    <w:rsid w:val="004923C5"/>
    <w:rsid w:val="00493FA7"/>
    <w:rsid w:val="004A1739"/>
    <w:rsid w:val="004A2F77"/>
    <w:rsid w:val="004A3129"/>
    <w:rsid w:val="004A457C"/>
    <w:rsid w:val="004A5C88"/>
    <w:rsid w:val="004B064B"/>
    <w:rsid w:val="004B7D86"/>
    <w:rsid w:val="004C0BEB"/>
    <w:rsid w:val="004C28DB"/>
    <w:rsid w:val="004C4444"/>
    <w:rsid w:val="004D56CF"/>
    <w:rsid w:val="004D7177"/>
    <w:rsid w:val="004E359B"/>
    <w:rsid w:val="004E433A"/>
    <w:rsid w:val="004E4702"/>
    <w:rsid w:val="00501CDB"/>
    <w:rsid w:val="00503127"/>
    <w:rsid w:val="005033E0"/>
    <w:rsid w:val="00503A10"/>
    <w:rsid w:val="00510C4C"/>
    <w:rsid w:val="0051215D"/>
    <w:rsid w:val="00512651"/>
    <w:rsid w:val="00513346"/>
    <w:rsid w:val="00516753"/>
    <w:rsid w:val="00520477"/>
    <w:rsid w:val="00525770"/>
    <w:rsid w:val="00530C20"/>
    <w:rsid w:val="0053121F"/>
    <w:rsid w:val="0054192A"/>
    <w:rsid w:val="005508F9"/>
    <w:rsid w:val="00564C22"/>
    <w:rsid w:val="0056581E"/>
    <w:rsid w:val="005662BE"/>
    <w:rsid w:val="00566DA8"/>
    <w:rsid w:val="00571469"/>
    <w:rsid w:val="00575E10"/>
    <w:rsid w:val="00577EAB"/>
    <w:rsid w:val="005833F1"/>
    <w:rsid w:val="00597367"/>
    <w:rsid w:val="005A213C"/>
    <w:rsid w:val="005A247F"/>
    <w:rsid w:val="005B017F"/>
    <w:rsid w:val="005B143C"/>
    <w:rsid w:val="005B18D7"/>
    <w:rsid w:val="005B3604"/>
    <w:rsid w:val="005B59D4"/>
    <w:rsid w:val="005B7529"/>
    <w:rsid w:val="005C15D1"/>
    <w:rsid w:val="005C27A1"/>
    <w:rsid w:val="005C46DD"/>
    <w:rsid w:val="005C74E3"/>
    <w:rsid w:val="005D065F"/>
    <w:rsid w:val="005D0A3F"/>
    <w:rsid w:val="005D238B"/>
    <w:rsid w:val="005D2C3F"/>
    <w:rsid w:val="005D7D64"/>
    <w:rsid w:val="005E2BA5"/>
    <w:rsid w:val="005E2C38"/>
    <w:rsid w:val="005E320B"/>
    <w:rsid w:val="005E43D2"/>
    <w:rsid w:val="005F75EF"/>
    <w:rsid w:val="005F7CB9"/>
    <w:rsid w:val="006016FA"/>
    <w:rsid w:val="006020CA"/>
    <w:rsid w:val="006038A6"/>
    <w:rsid w:val="00604EBA"/>
    <w:rsid w:val="00606013"/>
    <w:rsid w:val="006067F4"/>
    <w:rsid w:val="00611244"/>
    <w:rsid w:val="00611FD5"/>
    <w:rsid w:val="006153F0"/>
    <w:rsid w:val="006159C7"/>
    <w:rsid w:val="0062440B"/>
    <w:rsid w:val="006252DD"/>
    <w:rsid w:val="0063372E"/>
    <w:rsid w:val="00637A25"/>
    <w:rsid w:val="00644B7D"/>
    <w:rsid w:val="006457C6"/>
    <w:rsid w:val="00646D8B"/>
    <w:rsid w:val="006516C8"/>
    <w:rsid w:val="0065319D"/>
    <w:rsid w:val="006736A2"/>
    <w:rsid w:val="00676389"/>
    <w:rsid w:val="00676817"/>
    <w:rsid w:val="006819D4"/>
    <w:rsid w:val="00681E21"/>
    <w:rsid w:val="006826B8"/>
    <w:rsid w:val="00685FD9"/>
    <w:rsid w:val="00687CC1"/>
    <w:rsid w:val="00690C44"/>
    <w:rsid w:val="0069296A"/>
    <w:rsid w:val="00695596"/>
    <w:rsid w:val="00696F97"/>
    <w:rsid w:val="006A3BCD"/>
    <w:rsid w:val="006A5A9A"/>
    <w:rsid w:val="006A5AE1"/>
    <w:rsid w:val="006B57A2"/>
    <w:rsid w:val="006C0727"/>
    <w:rsid w:val="006C0960"/>
    <w:rsid w:val="006C300F"/>
    <w:rsid w:val="006D16ED"/>
    <w:rsid w:val="006D5BA5"/>
    <w:rsid w:val="006D71EE"/>
    <w:rsid w:val="006E145F"/>
    <w:rsid w:val="006F0B5D"/>
    <w:rsid w:val="006F1CC1"/>
    <w:rsid w:val="006F1F01"/>
    <w:rsid w:val="00700387"/>
    <w:rsid w:val="007125FC"/>
    <w:rsid w:val="00713084"/>
    <w:rsid w:val="00717B1A"/>
    <w:rsid w:val="00717F90"/>
    <w:rsid w:val="00722F2D"/>
    <w:rsid w:val="007231A2"/>
    <w:rsid w:val="00724E63"/>
    <w:rsid w:val="00725709"/>
    <w:rsid w:val="00725EB2"/>
    <w:rsid w:val="007315E3"/>
    <w:rsid w:val="0073173D"/>
    <w:rsid w:val="00734E32"/>
    <w:rsid w:val="00742FB8"/>
    <w:rsid w:val="007511E1"/>
    <w:rsid w:val="00752871"/>
    <w:rsid w:val="007537D7"/>
    <w:rsid w:val="007577EC"/>
    <w:rsid w:val="00761CF5"/>
    <w:rsid w:val="00764DA9"/>
    <w:rsid w:val="0076556F"/>
    <w:rsid w:val="00766DC2"/>
    <w:rsid w:val="00767F41"/>
    <w:rsid w:val="00770572"/>
    <w:rsid w:val="00774D80"/>
    <w:rsid w:val="007807B2"/>
    <w:rsid w:val="00781D5E"/>
    <w:rsid w:val="00782C2F"/>
    <w:rsid w:val="0078407C"/>
    <w:rsid w:val="00786181"/>
    <w:rsid w:val="00794155"/>
    <w:rsid w:val="00796C2D"/>
    <w:rsid w:val="00796CDF"/>
    <w:rsid w:val="00797119"/>
    <w:rsid w:val="007A10A9"/>
    <w:rsid w:val="007A141F"/>
    <w:rsid w:val="007A170A"/>
    <w:rsid w:val="007A1CA7"/>
    <w:rsid w:val="007A43CB"/>
    <w:rsid w:val="007A6BF1"/>
    <w:rsid w:val="007B16B0"/>
    <w:rsid w:val="007B292A"/>
    <w:rsid w:val="007B499F"/>
    <w:rsid w:val="007B7157"/>
    <w:rsid w:val="007C015C"/>
    <w:rsid w:val="007D4BBC"/>
    <w:rsid w:val="007D6215"/>
    <w:rsid w:val="007D6307"/>
    <w:rsid w:val="007E3465"/>
    <w:rsid w:val="007F1821"/>
    <w:rsid w:val="007F3268"/>
    <w:rsid w:val="00801D24"/>
    <w:rsid w:val="00803699"/>
    <w:rsid w:val="00805A1F"/>
    <w:rsid w:val="0080688E"/>
    <w:rsid w:val="008068A9"/>
    <w:rsid w:val="00806965"/>
    <w:rsid w:val="00807124"/>
    <w:rsid w:val="008248EF"/>
    <w:rsid w:val="008275C0"/>
    <w:rsid w:val="00835806"/>
    <w:rsid w:val="008371CF"/>
    <w:rsid w:val="00841E3F"/>
    <w:rsid w:val="00844926"/>
    <w:rsid w:val="00845709"/>
    <w:rsid w:val="0084644C"/>
    <w:rsid w:val="00847127"/>
    <w:rsid w:val="00857C92"/>
    <w:rsid w:val="008672D2"/>
    <w:rsid w:val="00877413"/>
    <w:rsid w:val="00880ED4"/>
    <w:rsid w:val="008819A4"/>
    <w:rsid w:val="00882268"/>
    <w:rsid w:val="008866A8"/>
    <w:rsid w:val="0089140A"/>
    <w:rsid w:val="008972BC"/>
    <w:rsid w:val="00897F0D"/>
    <w:rsid w:val="008A124E"/>
    <w:rsid w:val="008A1F12"/>
    <w:rsid w:val="008B039C"/>
    <w:rsid w:val="008B463A"/>
    <w:rsid w:val="008C0709"/>
    <w:rsid w:val="008C1075"/>
    <w:rsid w:val="008C3450"/>
    <w:rsid w:val="008D0D52"/>
    <w:rsid w:val="008D172D"/>
    <w:rsid w:val="008D40D5"/>
    <w:rsid w:val="008D56F6"/>
    <w:rsid w:val="008E04FA"/>
    <w:rsid w:val="008E0E75"/>
    <w:rsid w:val="008E64EA"/>
    <w:rsid w:val="008F15C7"/>
    <w:rsid w:val="008F1765"/>
    <w:rsid w:val="009047EC"/>
    <w:rsid w:val="00912F0A"/>
    <w:rsid w:val="00914C97"/>
    <w:rsid w:val="00924CA7"/>
    <w:rsid w:val="0093141B"/>
    <w:rsid w:val="00937E5D"/>
    <w:rsid w:val="00943B02"/>
    <w:rsid w:val="009508BE"/>
    <w:rsid w:val="009523DB"/>
    <w:rsid w:val="009579F4"/>
    <w:rsid w:val="009712F6"/>
    <w:rsid w:val="009720E6"/>
    <w:rsid w:val="00972405"/>
    <w:rsid w:val="009736B8"/>
    <w:rsid w:val="009743F8"/>
    <w:rsid w:val="00974A5F"/>
    <w:rsid w:val="00995D0E"/>
    <w:rsid w:val="009A064B"/>
    <w:rsid w:val="009B0501"/>
    <w:rsid w:val="009B14B1"/>
    <w:rsid w:val="009B3AAA"/>
    <w:rsid w:val="009B4443"/>
    <w:rsid w:val="009B5DE2"/>
    <w:rsid w:val="009B6C4B"/>
    <w:rsid w:val="009C345A"/>
    <w:rsid w:val="009D6A70"/>
    <w:rsid w:val="009D7095"/>
    <w:rsid w:val="009E4DBA"/>
    <w:rsid w:val="009E5E41"/>
    <w:rsid w:val="009F0FD0"/>
    <w:rsid w:val="009F2FBC"/>
    <w:rsid w:val="009F590B"/>
    <w:rsid w:val="009F6663"/>
    <w:rsid w:val="009F780B"/>
    <w:rsid w:val="00A0136F"/>
    <w:rsid w:val="00A037D8"/>
    <w:rsid w:val="00A113F9"/>
    <w:rsid w:val="00A17174"/>
    <w:rsid w:val="00A212AC"/>
    <w:rsid w:val="00A30C70"/>
    <w:rsid w:val="00A3538B"/>
    <w:rsid w:val="00A373D5"/>
    <w:rsid w:val="00A4066E"/>
    <w:rsid w:val="00A42F46"/>
    <w:rsid w:val="00A51DCD"/>
    <w:rsid w:val="00A56DE3"/>
    <w:rsid w:val="00A665F9"/>
    <w:rsid w:val="00A6696E"/>
    <w:rsid w:val="00A7296A"/>
    <w:rsid w:val="00A74379"/>
    <w:rsid w:val="00A75DA9"/>
    <w:rsid w:val="00A75FD0"/>
    <w:rsid w:val="00A76D76"/>
    <w:rsid w:val="00A775D9"/>
    <w:rsid w:val="00A8167D"/>
    <w:rsid w:val="00A83264"/>
    <w:rsid w:val="00A84F0F"/>
    <w:rsid w:val="00A85B2B"/>
    <w:rsid w:val="00A85EC3"/>
    <w:rsid w:val="00AA1380"/>
    <w:rsid w:val="00AA427C"/>
    <w:rsid w:val="00AA4635"/>
    <w:rsid w:val="00AB1DED"/>
    <w:rsid w:val="00AB20F9"/>
    <w:rsid w:val="00AB2D94"/>
    <w:rsid w:val="00AB2D97"/>
    <w:rsid w:val="00AB431E"/>
    <w:rsid w:val="00AB44B2"/>
    <w:rsid w:val="00AB5CA4"/>
    <w:rsid w:val="00AC1C76"/>
    <w:rsid w:val="00AD099C"/>
    <w:rsid w:val="00AD09E2"/>
    <w:rsid w:val="00AE3B2B"/>
    <w:rsid w:val="00AE5433"/>
    <w:rsid w:val="00AE715C"/>
    <w:rsid w:val="00AF274A"/>
    <w:rsid w:val="00AF4346"/>
    <w:rsid w:val="00AF4BDB"/>
    <w:rsid w:val="00AF64D7"/>
    <w:rsid w:val="00B00BF5"/>
    <w:rsid w:val="00B13A80"/>
    <w:rsid w:val="00B15798"/>
    <w:rsid w:val="00B159D4"/>
    <w:rsid w:val="00B15A09"/>
    <w:rsid w:val="00B17A2F"/>
    <w:rsid w:val="00B22D76"/>
    <w:rsid w:val="00B323C9"/>
    <w:rsid w:val="00B430A4"/>
    <w:rsid w:val="00B441E6"/>
    <w:rsid w:val="00B501F8"/>
    <w:rsid w:val="00B5624C"/>
    <w:rsid w:val="00B6496C"/>
    <w:rsid w:val="00B665BB"/>
    <w:rsid w:val="00B66731"/>
    <w:rsid w:val="00B67646"/>
    <w:rsid w:val="00B73CEC"/>
    <w:rsid w:val="00B75512"/>
    <w:rsid w:val="00B77AFD"/>
    <w:rsid w:val="00B77BF1"/>
    <w:rsid w:val="00B8020A"/>
    <w:rsid w:val="00B84E1A"/>
    <w:rsid w:val="00B863BF"/>
    <w:rsid w:val="00BA27E7"/>
    <w:rsid w:val="00BA3658"/>
    <w:rsid w:val="00BA402D"/>
    <w:rsid w:val="00BB27E6"/>
    <w:rsid w:val="00BC100B"/>
    <w:rsid w:val="00BC13FD"/>
    <w:rsid w:val="00BC1F67"/>
    <w:rsid w:val="00BC2471"/>
    <w:rsid w:val="00BD0444"/>
    <w:rsid w:val="00BD0CAD"/>
    <w:rsid w:val="00BD2412"/>
    <w:rsid w:val="00BD3881"/>
    <w:rsid w:val="00BD51FE"/>
    <w:rsid w:val="00BE0511"/>
    <w:rsid w:val="00BE4217"/>
    <w:rsid w:val="00BE4678"/>
    <w:rsid w:val="00BE68C2"/>
    <w:rsid w:val="00BE6ED2"/>
    <w:rsid w:val="00BF3B44"/>
    <w:rsid w:val="00BF70C2"/>
    <w:rsid w:val="00C01114"/>
    <w:rsid w:val="00C17822"/>
    <w:rsid w:val="00C20BCD"/>
    <w:rsid w:val="00C24C17"/>
    <w:rsid w:val="00C2507A"/>
    <w:rsid w:val="00C37CA2"/>
    <w:rsid w:val="00C42F84"/>
    <w:rsid w:val="00C4476A"/>
    <w:rsid w:val="00C45CB9"/>
    <w:rsid w:val="00C470DE"/>
    <w:rsid w:val="00C5121A"/>
    <w:rsid w:val="00C51CB8"/>
    <w:rsid w:val="00C53E05"/>
    <w:rsid w:val="00C55CF6"/>
    <w:rsid w:val="00C56F97"/>
    <w:rsid w:val="00C578AF"/>
    <w:rsid w:val="00C669EC"/>
    <w:rsid w:val="00C70143"/>
    <w:rsid w:val="00C706A3"/>
    <w:rsid w:val="00C70C2D"/>
    <w:rsid w:val="00C70CD0"/>
    <w:rsid w:val="00C7158A"/>
    <w:rsid w:val="00C75EF7"/>
    <w:rsid w:val="00C76A0D"/>
    <w:rsid w:val="00C837EC"/>
    <w:rsid w:val="00C8532D"/>
    <w:rsid w:val="00C85975"/>
    <w:rsid w:val="00C9396D"/>
    <w:rsid w:val="00C94151"/>
    <w:rsid w:val="00C965D0"/>
    <w:rsid w:val="00CA09B2"/>
    <w:rsid w:val="00CA0BFA"/>
    <w:rsid w:val="00CA1F72"/>
    <w:rsid w:val="00CA2669"/>
    <w:rsid w:val="00CA4AA8"/>
    <w:rsid w:val="00CC1A0A"/>
    <w:rsid w:val="00CC53B4"/>
    <w:rsid w:val="00CC7755"/>
    <w:rsid w:val="00CD00EA"/>
    <w:rsid w:val="00CD3087"/>
    <w:rsid w:val="00CD32F7"/>
    <w:rsid w:val="00CD4A8B"/>
    <w:rsid w:val="00CE0BD1"/>
    <w:rsid w:val="00CE34E1"/>
    <w:rsid w:val="00CE6749"/>
    <w:rsid w:val="00CE795B"/>
    <w:rsid w:val="00CF2442"/>
    <w:rsid w:val="00CF5F68"/>
    <w:rsid w:val="00CF60AC"/>
    <w:rsid w:val="00D00B3F"/>
    <w:rsid w:val="00D04A3F"/>
    <w:rsid w:val="00D11A55"/>
    <w:rsid w:val="00D1216E"/>
    <w:rsid w:val="00D16825"/>
    <w:rsid w:val="00D22EB6"/>
    <w:rsid w:val="00D2333A"/>
    <w:rsid w:val="00D23907"/>
    <w:rsid w:val="00D25F22"/>
    <w:rsid w:val="00D3516E"/>
    <w:rsid w:val="00D35391"/>
    <w:rsid w:val="00D35B97"/>
    <w:rsid w:val="00D3738D"/>
    <w:rsid w:val="00D437B5"/>
    <w:rsid w:val="00D45043"/>
    <w:rsid w:val="00D57245"/>
    <w:rsid w:val="00D57723"/>
    <w:rsid w:val="00D61ABD"/>
    <w:rsid w:val="00D735D2"/>
    <w:rsid w:val="00D7398F"/>
    <w:rsid w:val="00D741A1"/>
    <w:rsid w:val="00D81749"/>
    <w:rsid w:val="00D81F4E"/>
    <w:rsid w:val="00D86250"/>
    <w:rsid w:val="00D96405"/>
    <w:rsid w:val="00D976E0"/>
    <w:rsid w:val="00DA3B89"/>
    <w:rsid w:val="00DA6A39"/>
    <w:rsid w:val="00DA7970"/>
    <w:rsid w:val="00DB0FC8"/>
    <w:rsid w:val="00DB11DC"/>
    <w:rsid w:val="00DB28F5"/>
    <w:rsid w:val="00DB55BB"/>
    <w:rsid w:val="00DC07C4"/>
    <w:rsid w:val="00DC29B5"/>
    <w:rsid w:val="00DC2F3B"/>
    <w:rsid w:val="00DC5A7B"/>
    <w:rsid w:val="00DC6A5D"/>
    <w:rsid w:val="00DD0092"/>
    <w:rsid w:val="00DD0467"/>
    <w:rsid w:val="00DD0526"/>
    <w:rsid w:val="00DD2077"/>
    <w:rsid w:val="00DE1387"/>
    <w:rsid w:val="00DE487F"/>
    <w:rsid w:val="00DE72BA"/>
    <w:rsid w:val="00DF1399"/>
    <w:rsid w:val="00DF7397"/>
    <w:rsid w:val="00DF7B82"/>
    <w:rsid w:val="00E04B6A"/>
    <w:rsid w:val="00E076A7"/>
    <w:rsid w:val="00E07A5E"/>
    <w:rsid w:val="00E11F8D"/>
    <w:rsid w:val="00E12861"/>
    <w:rsid w:val="00E13271"/>
    <w:rsid w:val="00E26DCC"/>
    <w:rsid w:val="00E300E9"/>
    <w:rsid w:val="00E31022"/>
    <w:rsid w:val="00E3180B"/>
    <w:rsid w:val="00E334AE"/>
    <w:rsid w:val="00E41CBD"/>
    <w:rsid w:val="00E44048"/>
    <w:rsid w:val="00E5060E"/>
    <w:rsid w:val="00E608C1"/>
    <w:rsid w:val="00E63992"/>
    <w:rsid w:val="00E644D9"/>
    <w:rsid w:val="00E6781A"/>
    <w:rsid w:val="00E70ACF"/>
    <w:rsid w:val="00E761F1"/>
    <w:rsid w:val="00E76F3C"/>
    <w:rsid w:val="00E832EF"/>
    <w:rsid w:val="00E8431B"/>
    <w:rsid w:val="00E90275"/>
    <w:rsid w:val="00E90967"/>
    <w:rsid w:val="00E92A2F"/>
    <w:rsid w:val="00E940F1"/>
    <w:rsid w:val="00E94B58"/>
    <w:rsid w:val="00EA0DE0"/>
    <w:rsid w:val="00EA6DAC"/>
    <w:rsid w:val="00EB6B19"/>
    <w:rsid w:val="00EC0D8F"/>
    <w:rsid w:val="00ED03CF"/>
    <w:rsid w:val="00ED43B3"/>
    <w:rsid w:val="00ED4DD9"/>
    <w:rsid w:val="00ED50B8"/>
    <w:rsid w:val="00ED5917"/>
    <w:rsid w:val="00EE25D4"/>
    <w:rsid w:val="00EE421F"/>
    <w:rsid w:val="00EE4D7E"/>
    <w:rsid w:val="00EF1FB2"/>
    <w:rsid w:val="00F02021"/>
    <w:rsid w:val="00F11245"/>
    <w:rsid w:val="00F11993"/>
    <w:rsid w:val="00F21BDA"/>
    <w:rsid w:val="00F24F34"/>
    <w:rsid w:val="00F33A69"/>
    <w:rsid w:val="00F47292"/>
    <w:rsid w:val="00F47D82"/>
    <w:rsid w:val="00F502FD"/>
    <w:rsid w:val="00F54D26"/>
    <w:rsid w:val="00F626E4"/>
    <w:rsid w:val="00F638B4"/>
    <w:rsid w:val="00F67D65"/>
    <w:rsid w:val="00F80D50"/>
    <w:rsid w:val="00F836DE"/>
    <w:rsid w:val="00F84263"/>
    <w:rsid w:val="00F9035C"/>
    <w:rsid w:val="00F95506"/>
    <w:rsid w:val="00FA0AA5"/>
    <w:rsid w:val="00FA5599"/>
    <w:rsid w:val="00FB1831"/>
    <w:rsid w:val="00FB2B44"/>
    <w:rsid w:val="00FB3206"/>
    <w:rsid w:val="00FB3E3E"/>
    <w:rsid w:val="00FB49BE"/>
    <w:rsid w:val="00FC1698"/>
    <w:rsid w:val="00FC6CC9"/>
    <w:rsid w:val="00FD0F26"/>
    <w:rsid w:val="00FD4027"/>
    <w:rsid w:val="00FE42CC"/>
    <w:rsid w:val="00FE574C"/>
    <w:rsid w:val="00FE7DF4"/>
    <w:rsid w:val="00FF14E6"/>
    <w:rsid w:val="00FF3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C4AFC7"/>
  <w15:chartTrackingRefBased/>
  <w15:docId w15:val="{2238F645-F7CE-4789-A0DF-5842A7B64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2"/>
      <w:lang w:val="en-GB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061F83"/>
    <w:pPr>
      <w:ind w:left="720"/>
      <w:contextualSpacing/>
    </w:pPr>
  </w:style>
  <w:style w:type="character" w:customStyle="1" w:styleId="fontstyle01">
    <w:name w:val="fontstyle01"/>
    <w:basedOn w:val="a0"/>
    <w:rsid w:val="006826B8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6826B8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a0"/>
    <w:rsid w:val="006826B8"/>
    <w:rPr>
      <w:rFonts w:ascii="Symbol" w:hAnsi="Symbol" w:hint="default"/>
      <w:b w:val="0"/>
      <w:bCs w:val="0"/>
      <w:i w:val="0"/>
      <w:iCs w:val="0"/>
      <w:color w:val="000000"/>
      <w:sz w:val="20"/>
      <w:szCs w:val="20"/>
    </w:rPr>
  </w:style>
  <w:style w:type="table" w:styleId="a8">
    <w:name w:val="Table Grid"/>
    <w:basedOn w:val="a1"/>
    <w:rsid w:val="00005A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qFormat/>
    <w:rsid w:val="00AA4635"/>
    <w:rPr>
      <w:i/>
      <w:iCs/>
    </w:rPr>
  </w:style>
  <w:style w:type="paragraph" w:styleId="aa">
    <w:name w:val="Balloon Text"/>
    <w:basedOn w:val="a"/>
    <w:link w:val="ab"/>
    <w:rsid w:val="006F0B5D"/>
    <w:rPr>
      <w:rFonts w:ascii="Segoe UI" w:hAnsi="Segoe UI" w:cs="Segoe UI"/>
      <w:sz w:val="18"/>
      <w:szCs w:val="18"/>
    </w:rPr>
  </w:style>
  <w:style w:type="character" w:customStyle="1" w:styleId="ab">
    <w:name w:val="吹き出し (文字)"/>
    <w:basedOn w:val="a0"/>
    <w:link w:val="aa"/>
    <w:rsid w:val="006F0B5D"/>
    <w:rPr>
      <w:rFonts w:ascii="Segoe UI" w:hAnsi="Segoe UI" w:cs="Segoe UI"/>
      <w:sz w:val="18"/>
      <w:szCs w:val="18"/>
      <w:lang w:val="en-GB"/>
    </w:rPr>
  </w:style>
  <w:style w:type="character" w:styleId="ac">
    <w:name w:val="annotation reference"/>
    <w:basedOn w:val="a0"/>
    <w:rsid w:val="00725709"/>
    <w:rPr>
      <w:sz w:val="16"/>
      <w:szCs w:val="16"/>
    </w:rPr>
  </w:style>
  <w:style w:type="paragraph" w:styleId="ad">
    <w:name w:val="annotation text"/>
    <w:basedOn w:val="a"/>
    <w:link w:val="ae"/>
    <w:rsid w:val="00725709"/>
    <w:rPr>
      <w:sz w:val="20"/>
    </w:rPr>
  </w:style>
  <w:style w:type="character" w:customStyle="1" w:styleId="ae">
    <w:name w:val="コメント文字列 (文字)"/>
    <w:basedOn w:val="a0"/>
    <w:link w:val="ad"/>
    <w:rsid w:val="00725709"/>
    <w:rPr>
      <w:lang w:val="en-GB"/>
    </w:rPr>
  </w:style>
  <w:style w:type="paragraph" w:styleId="af">
    <w:name w:val="annotation subject"/>
    <w:basedOn w:val="ad"/>
    <w:next w:val="ad"/>
    <w:link w:val="af0"/>
    <w:rsid w:val="00725709"/>
    <w:rPr>
      <w:b/>
      <w:bCs/>
    </w:rPr>
  </w:style>
  <w:style w:type="character" w:customStyle="1" w:styleId="af0">
    <w:name w:val="コメント内容 (文字)"/>
    <w:basedOn w:val="ae"/>
    <w:link w:val="af"/>
    <w:rsid w:val="00725709"/>
    <w:rPr>
      <w:b/>
      <w:bCs/>
      <w:lang w:val="en-GB"/>
    </w:rPr>
  </w:style>
  <w:style w:type="paragraph" w:styleId="af1">
    <w:name w:val="Revision"/>
    <w:hidden/>
    <w:uiPriority w:val="99"/>
    <w:semiHidden/>
    <w:rsid w:val="00CE6749"/>
    <w:rPr>
      <w:sz w:val="22"/>
      <w:lang w:val="en-GB"/>
    </w:rPr>
  </w:style>
  <w:style w:type="paragraph" w:customStyle="1" w:styleId="Default">
    <w:name w:val="Default"/>
    <w:rsid w:val="00B77AFD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dasilv\Downloads\802-11-Submission-Portrait%20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2442EC-7F0D-4950-B7C6-CC38CAA37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 (1).dot</Template>
  <TotalTime>361</TotalTime>
  <Pages>3</Pages>
  <Words>677</Words>
  <Characters>3859</Characters>
  <Application>Microsoft Office Word</Application>
  <DocSecurity>0</DocSecurity>
  <Lines>32</Lines>
  <Paragraphs>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802.11-17/1288r2</vt:lpstr>
      <vt:lpstr>doc.: IEEE 802.11-17/1288r2</vt:lpstr>
    </vt:vector>
  </TitlesOfParts>
  <Company>Some Company</Company>
  <LinksUpToDate>false</LinksUpToDate>
  <CharactersWithSpaces>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802.11-17/1288r2</dc:title>
  <dc:subject>Submission</dc:subject>
  <dc:creator>Da Silva, Claudio</dc:creator>
  <cp:keywords>September 2017, CTPClassification=CTP_NT</cp:keywords>
  <dc:description>Claudio da Silva, Intel</dc:description>
  <cp:lastModifiedBy>Sakamoto Takenori (坂本 剛憲)</cp:lastModifiedBy>
  <cp:revision>8</cp:revision>
  <cp:lastPrinted>2017-08-14T23:33:00Z</cp:lastPrinted>
  <dcterms:created xsi:type="dcterms:W3CDTF">2020-02-26T03:47:00Z</dcterms:created>
  <dcterms:modified xsi:type="dcterms:W3CDTF">2020-02-26T14:21:00Z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a841d6ad-c4f6-4a8d-b634-84de1518936d</vt:lpwstr>
  </property>
  <property fmtid="{D5CDD505-2E9C-101B-9397-08002B2CF9AE}" pid="3" name="CTP_TimeStamp">
    <vt:lpwstr>2018-09-28 22:02:24Z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