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7418E179" w:rsidR="00CA09B2" w:rsidRDefault="00C45154" w:rsidP="00083FE0">
            <w:pPr>
              <w:pStyle w:val="T2"/>
            </w:pPr>
            <w:r>
              <w:t>Initial SA ballot</w:t>
            </w:r>
            <w:r w:rsidR="0070053C">
              <w:t xml:space="preserve">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2EA969FE" w:rsidR="00CA09B2" w:rsidRDefault="00CA09B2" w:rsidP="00F03583">
            <w:pPr>
              <w:pStyle w:val="T2"/>
              <w:ind w:left="0"/>
              <w:rPr>
                <w:sz w:val="20"/>
              </w:rPr>
            </w:pPr>
            <w:r>
              <w:rPr>
                <w:sz w:val="20"/>
              </w:rPr>
              <w:t>Date:</w:t>
            </w:r>
            <w:r>
              <w:rPr>
                <w:b w:val="0"/>
                <w:sz w:val="20"/>
              </w:rPr>
              <w:t xml:space="preserve">  </w:t>
            </w:r>
            <w:r w:rsidR="007E3C9C">
              <w:rPr>
                <w:b w:val="0"/>
                <w:sz w:val="20"/>
              </w:rPr>
              <w:t>20</w:t>
            </w:r>
            <w:r w:rsidR="00C45154">
              <w:rPr>
                <w:b w:val="0"/>
                <w:sz w:val="20"/>
              </w:rPr>
              <w:t>20</w:t>
            </w:r>
            <w:r w:rsidR="007E3C9C">
              <w:rPr>
                <w:b w:val="0"/>
                <w:sz w:val="20"/>
              </w:rPr>
              <w:t>-</w:t>
            </w:r>
            <w:r w:rsidR="00D96EB7">
              <w:rPr>
                <w:b w:val="0"/>
                <w:sz w:val="20"/>
              </w:rPr>
              <w:t>0</w:t>
            </w:r>
            <w:r w:rsidR="00C45154">
              <w:rPr>
                <w:b w:val="0"/>
                <w:sz w:val="20"/>
              </w:rPr>
              <w:t>2</w:t>
            </w:r>
            <w:r w:rsidR="009F6F13">
              <w:rPr>
                <w:b w:val="0"/>
                <w:sz w:val="20"/>
              </w:rPr>
              <w:t>-</w:t>
            </w:r>
            <w:r w:rsidR="00C45154">
              <w:rPr>
                <w:b w:val="0"/>
                <w:sz w:val="20"/>
              </w:rPr>
              <w:t>1</w:t>
            </w:r>
            <w:r w:rsidR="00D749F3">
              <w:rPr>
                <w:b w:val="0"/>
                <w:sz w:val="20"/>
              </w:rPr>
              <w:t>8</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5CD852D3" w:rsidR="009C6869" w:rsidRDefault="00C93C23" w:rsidP="00894852">
            <w:pPr>
              <w:pStyle w:val="T2"/>
              <w:spacing w:after="0"/>
              <w:ind w:left="0" w:right="0"/>
              <w:rPr>
                <w:b w:val="0"/>
                <w:sz w:val="16"/>
              </w:rPr>
            </w:pPr>
            <w:r>
              <w:rPr>
                <w:b w:val="0"/>
                <w:sz w:val="16"/>
              </w:rPr>
              <w:t>mark.ham</w:t>
            </w:r>
            <w:r w:rsidR="00E607A0">
              <w:rPr>
                <w:b w:val="0"/>
                <w:sz w:val="16"/>
              </w:rPr>
              <w:t>ilt</w:t>
            </w:r>
            <w:r>
              <w:rPr>
                <w:b w:val="0"/>
                <w:sz w:val="16"/>
              </w:rPr>
              <w:t>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66F71457">
                <wp:simplePos x="0" y="0"/>
                <wp:positionH relativeFrom="column">
                  <wp:posOffset>-240142</wp:posOffset>
                </wp:positionH>
                <wp:positionV relativeFrom="paragraph">
                  <wp:posOffset>203536</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D465D2" w:rsidRDefault="00D465D2">
                            <w:pPr>
                              <w:pStyle w:val="T1"/>
                              <w:spacing w:after="120"/>
                            </w:pPr>
                            <w:r>
                              <w:t>Abstract</w:t>
                            </w:r>
                          </w:p>
                          <w:p w14:paraId="1C3BCE3F" w14:textId="77777777" w:rsidR="00D465D2" w:rsidRDefault="00D465D2" w:rsidP="00083FE0">
                            <w:pPr>
                              <w:jc w:val="both"/>
                            </w:pPr>
                          </w:p>
                          <w:p w14:paraId="4C4DB0CB" w14:textId="645C4A0F" w:rsidR="00D465D2" w:rsidRPr="007710CD" w:rsidRDefault="00D465D2" w:rsidP="003D4DE9">
                            <w:pPr>
                              <w:rPr>
                                <w:sz w:val="20"/>
                              </w:rPr>
                            </w:pPr>
                            <w:r w:rsidRPr="007710CD">
                              <w:rPr>
                                <w:sz w:val="20"/>
                              </w:rPr>
                              <w:t xml:space="preserve">This submission contains comments on REVmd </w:t>
                            </w:r>
                            <w:r>
                              <w:rPr>
                                <w:sz w:val="20"/>
                              </w:rPr>
                              <w:t>initial SA ballot</w:t>
                            </w:r>
                            <w:r w:rsidRPr="007710CD">
                              <w:rPr>
                                <w:sz w:val="20"/>
                              </w:rPr>
                              <w:t>, assigned to Mark Hamilton for preparation of proposed resolutions.</w:t>
                            </w:r>
                          </w:p>
                          <w:p w14:paraId="2F94801A" w14:textId="2D193E6C" w:rsidR="00D465D2" w:rsidRPr="007710CD" w:rsidRDefault="00D465D2" w:rsidP="00083FE0">
                            <w:pPr>
                              <w:jc w:val="both"/>
                              <w:rPr>
                                <w:sz w:val="20"/>
                              </w:rPr>
                            </w:pPr>
                          </w:p>
                          <w:p w14:paraId="3C7C8D20" w14:textId="76D5A191" w:rsidR="00D465D2" w:rsidRPr="007710CD" w:rsidRDefault="00D465D2"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D465D2" w:rsidRPr="007710CD" w:rsidRDefault="00D465D2" w:rsidP="006832AA">
                            <w:pPr>
                              <w:jc w:val="both"/>
                              <w:rPr>
                                <w:sz w:val="20"/>
                              </w:rPr>
                            </w:pPr>
                          </w:p>
                          <w:p w14:paraId="366971AF" w14:textId="77777777" w:rsidR="00D465D2" w:rsidRPr="007710CD" w:rsidRDefault="00D465D2" w:rsidP="006832AA">
                            <w:pPr>
                              <w:jc w:val="both"/>
                              <w:rPr>
                                <w:sz w:val="20"/>
                              </w:rPr>
                            </w:pPr>
                          </w:p>
                          <w:p w14:paraId="38020449" w14:textId="66756B0E" w:rsidR="00D465D2" w:rsidRDefault="00D465D2" w:rsidP="00C45154">
                            <w:pPr>
                              <w:jc w:val="both"/>
                              <w:rPr>
                                <w:sz w:val="20"/>
                              </w:rPr>
                            </w:pPr>
                            <w:r w:rsidRPr="007710CD">
                              <w:rPr>
                                <w:sz w:val="20"/>
                              </w:rPr>
                              <w:t>R0 – initial version.  CIDs ready for TGmd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D465D2" w:rsidRDefault="00D465D2"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50A099CC" w:rsidR="002C154C" w:rsidRPr="00531427" w:rsidRDefault="002C154C" w:rsidP="00C45154">
                            <w:pPr>
                              <w:jc w:val="both"/>
                              <w:rPr>
                                <w:sz w:val="20"/>
                              </w:rPr>
                            </w:pPr>
                            <w:r>
                              <w:rPr>
                                <w:sz w:val="20"/>
                              </w:rPr>
                              <w:t xml:space="preserve">R2 – </w:t>
                            </w:r>
                            <w:r w:rsidR="00730307">
                              <w:rPr>
                                <w:sz w:val="20"/>
                              </w:rPr>
                              <w:t>A</w:t>
                            </w:r>
                            <w:r>
                              <w:rPr>
                                <w:sz w:val="20"/>
                              </w:rPr>
                              <w:t xml:space="preserve">greed resolutions marked in </w:t>
                            </w:r>
                            <w:r w:rsidRPr="002C154C">
                              <w:rPr>
                                <w:sz w:val="20"/>
                                <w:highlight w:val="green"/>
                              </w:rPr>
                              <w:t>green highlight</w:t>
                            </w:r>
                            <w:r w:rsidR="00730307">
                              <w:rPr>
                                <w:sz w:val="20"/>
                              </w:rPr>
                              <w:t>: CIDs 4553, 4809, 4599, 4594, 4570, 4642, 4555, 4652, 4528, 4524, 4585, 4511, 4507, 4492, 4491, 4561.</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9pt;margin-top:16.0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" o:allowincell="f" stroked="f">
                <v:textbox>
                  <w:txbxContent>
                    <w:p w14:paraId="3E9CA479" w14:textId="77777777" w:rsidR="00D465D2" w:rsidRDefault="00D465D2">
                      <w:pPr>
                        <w:pStyle w:val="T1"/>
                        <w:spacing w:after="120"/>
                      </w:pPr>
                      <w:r>
                        <w:t>Abstract</w:t>
                      </w:r>
                    </w:p>
                    <w:p w14:paraId="1C3BCE3F" w14:textId="77777777" w:rsidR="00D465D2" w:rsidRDefault="00D465D2" w:rsidP="00083FE0">
                      <w:pPr>
                        <w:jc w:val="both"/>
                      </w:pPr>
                    </w:p>
                    <w:p w14:paraId="4C4DB0CB" w14:textId="645C4A0F" w:rsidR="00D465D2" w:rsidRPr="007710CD" w:rsidRDefault="00D465D2" w:rsidP="003D4DE9">
                      <w:pPr>
                        <w:rPr>
                          <w:sz w:val="20"/>
                        </w:rPr>
                      </w:pPr>
                      <w:r w:rsidRPr="007710CD">
                        <w:rPr>
                          <w:sz w:val="20"/>
                        </w:rPr>
                        <w:t xml:space="preserve">This submission contains comments on REVmd </w:t>
                      </w:r>
                      <w:r>
                        <w:rPr>
                          <w:sz w:val="20"/>
                        </w:rPr>
                        <w:t>initial SA ballot</w:t>
                      </w:r>
                      <w:r w:rsidRPr="007710CD">
                        <w:rPr>
                          <w:sz w:val="20"/>
                        </w:rPr>
                        <w:t>, assigned to Mark Hamilton for preparation of proposed resolutions.</w:t>
                      </w:r>
                    </w:p>
                    <w:p w14:paraId="2F94801A" w14:textId="2D193E6C" w:rsidR="00D465D2" w:rsidRPr="007710CD" w:rsidRDefault="00D465D2" w:rsidP="00083FE0">
                      <w:pPr>
                        <w:jc w:val="both"/>
                        <w:rPr>
                          <w:sz w:val="20"/>
                        </w:rPr>
                      </w:pPr>
                    </w:p>
                    <w:p w14:paraId="3C7C8D20" w14:textId="76D5A191" w:rsidR="00D465D2" w:rsidRPr="007710CD" w:rsidRDefault="00D465D2"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D465D2" w:rsidRPr="007710CD" w:rsidRDefault="00D465D2" w:rsidP="006832AA">
                      <w:pPr>
                        <w:jc w:val="both"/>
                        <w:rPr>
                          <w:sz w:val="20"/>
                        </w:rPr>
                      </w:pPr>
                    </w:p>
                    <w:p w14:paraId="366971AF" w14:textId="77777777" w:rsidR="00D465D2" w:rsidRPr="007710CD" w:rsidRDefault="00D465D2" w:rsidP="006832AA">
                      <w:pPr>
                        <w:jc w:val="both"/>
                        <w:rPr>
                          <w:sz w:val="20"/>
                        </w:rPr>
                      </w:pPr>
                    </w:p>
                    <w:p w14:paraId="38020449" w14:textId="66756B0E" w:rsidR="00D465D2" w:rsidRDefault="00D465D2" w:rsidP="00C45154">
                      <w:pPr>
                        <w:jc w:val="both"/>
                        <w:rPr>
                          <w:sz w:val="20"/>
                        </w:rPr>
                      </w:pPr>
                      <w:r w:rsidRPr="007710CD">
                        <w:rPr>
                          <w:sz w:val="20"/>
                        </w:rPr>
                        <w:t>R0 – initial version.  CIDs ready for TGmd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D465D2" w:rsidRDefault="00D465D2"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50A099CC" w:rsidR="002C154C" w:rsidRPr="00531427" w:rsidRDefault="002C154C" w:rsidP="00C45154">
                      <w:pPr>
                        <w:jc w:val="both"/>
                        <w:rPr>
                          <w:sz w:val="20"/>
                        </w:rPr>
                      </w:pPr>
                      <w:r>
                        <w:rPr>
                          <w:sz w:val="20"/>
                        </w:rPr>
                        <w:t xml:space="preserve">R2 – </w:t>
                      </w:r>
                      <w:r w:rsidR="00730307">
                        <w:rPr>
                          <w:sz w:val="20"/>
                        </w:rPr>
                        <w:t>A</w:t>
                      </w:r>
                      <w:r>
                        <w:rPr>
                          <w:sz w:val="20"/>
                        </w:rPr>
                        <w:t xml:space="preserve">greed resolutions marked in </w:t>
                      </w:r>
                      <w:r w:rsidRPr="002C154C">
                        <w:rPr>
                          <w:sz w:val="20"/>
                          <w:highlight w:val="green"/>
                        </w:rPr>
                        <w:t>green highlight</w:t>
                      </w:r>
                      <w:r w:rsidR="00730307">
                        <w:rPr>
                          <w:sz w:val="20"/>
                        </w:rPr>
                        <w:t>: CIDs 4553, 4809, 4599, 4594, 4570, 4642, 4555, 4652, 4528, 4524, 4585, 4511, 4507, 4492, 4491, 4561.</w:t>
                      </w:r>
                      <w:bookmarkStart w:id="1" w:name="_GoBack"/>
                      <w:bookmarkEnd w:id="1"/>
                    </w:p>
                  </w:txbxContent>
                </v:textbox>
              </v:shape>
            </w:pict>
          </mc:Fallback>
        </mc:AlternateContent>
      </w:r>
    </w:p>
    <w:p w14:paraId="541E20A5" w14:textId="22F0E0ED" w:rsidR="00CA09B2" w:rsidRDefault="00CA09B2">
      <w:r>
        <w:br w:type="page"/>
      </w:r>
    </w:p>
    <w:p w14:paraId="269BD167" w14:textId="42844EC8" w:rsidR="00166AFB" w:rsidRDefault="000A7069">
      <w:pPr>
        <w:rPr>
          <w:b/>
          <w:sz w:val="40"/>
        </w:rPr>
      </w:pPr>
      <w:r w:rsidRPr="000A7069">
        <w:rPr>
          <w:b/>
          <w:sz w:val="40"/>
        </w:rPr>
        <w:lastRenderedPageBreak/>
        <w:t>For review by TG:</w:t>
      </w:r>
    </w:p>
    <w:p w14:paraId="68CF28F1" w14:textId="6E62A108" w:rsidR="00FF1BEE" w:rsidRDefault="00FF1BEE">
      <w:pPr>
        <w:rPr>
          <w:b/>
          <w:sz w:val="40"/>
        </w:rPr>
      </w:pPr>
    </w:p>
    <w:p w14:paraId="58C896EE" w14:textId="2FBBDB62" w:rsidR="00FF1BEE" w:rsidRPr="00FF1BEE" w:rsidRDefault="00FF1BEE">
      <w:pPr>
        <w:rPr>
          <w:b/>
          <w:sz w:val="28"/>
          <w:u w:val="single"/>
        </w:rPr>
      </w:pPr>
      <w:r w:rsidRPr="00FF1BEE">
        <w:rPr>
          <w:b/>
          <w:sz w:val="28"/>
          <w:u w:val="single"/>
        </w:rPr>
        <w:t>All page/line references are per REVmd D</w:t>
      </w:r>
      <w:r w:rsidR="00C45154">
        <w:rPr>
          <w:b/>
          <w:sz w:val="28"/>
          <w:u w:val="single"/>
        </w:rPr>
        <w:t>3</w:t>
      </w:r>
      <w:r w:rsidRPr="00FF1BEE">
        <w:rPr>
          <w:b/>
          <w:sz w:val="28"/>
          <w:u w:val="single"/>
        </w:rPr>
        <w:t>.0.</w:t>
      </w:r>
    </w:p>
    <w:p w14:paraId="2B07A0E9" w14:textId="3778A3DA" w:rsidR="007C000C" w:rsidRDefault="007C000C">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C000C" w14:paraId="0F69EC82"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5EB4D4D2" w14:textId="77777777" w:rsidR="007C000C" w:rsidRDefault="007C000C"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5A5575BF" w14:textId="77777777" w:rsidR="007C000C" w:rsidRDefault="007C000C"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B930B16" w14:textId="77777777" w:rsidR="007C000C" w:rsidRDefault="007C000C"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31D17A4" w14:textId="77777777" w:rsidR="007C000C" w:rsidRDefault="007C000C"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20E7D0" w14:textId="77777777" w:rsidR="007C000C" w:rsidRDefault="007C000C"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C000C" w:rsidRPr="00DE7477" w14:paraId="3D177A7A" w14:textId="77777777" w:rsidTr="005C22F6">
        <w:trPr>
          <w:trHeight w:val="3315"/>
        </w:trPr>
        <w:tc>
          <w:tcPr>
            <w:tcW w:w="738" w:type="dxa"/>
            <w:hideMark/>
          </w:tcPr>
          <w:p w14:paraId="6DA2F7D0" w14:textId="77777777" w:rsidR="007C000C" w:rsidRPr="00DE7477" w:rsidRDefault="007C000C" w:rsidP="005C22F6">
            <w:pPr>
              <w:jc w:val="right"/>
              <w:rPr>
                <w:rFonts w:ascii="Arial" w:eastAsia="Times New Roman" w:hAnsi="Arial" w:cs="Arial"/>
                <w:sz w:val="20"/>
                <w:lang w:val="en-US"/>
              </w:rPr>
            </w:pPr>
            <w:r w:rsidRPr="00DE7477">
              <w:rPr>
                <w:rFonts w:ascii="Arial" w:eastAsia="Times New Roman" w:hAnsi="Arial" w:cs="Arial"/>
                <w:sz w:val="20"/>
                <w:lang w:val="en-US"/>
              </w:rPr>
              <w:t>4534</w:t>
            </w:r>
          </w:p>
        </w:tc>
        <w:tc>
          <w:tcPr>
            <w:tcW w:w="990" w:type="dxa"/>
            <w:hideMark/>
          </w:tcPr>
          <w:p w14:paraId="2009D66F" w14:textId="77777777" w:rsidR="007C000C" w:rsidRPr="00DE7477" w:rsidRDefault="007C000C" w:rsidP="005C22F6">
            <w:pPr>
              <w:jc w:val="right"/>
              <w:rPr>
                <w:rFonts w:ascii="Arial" w:eastAsia="Times New Roman" w:hAnsi="Arial" w:cs="Arial"/>
                <w:sz w:val="20"/>
                <w:lang w:val="en-US"/>
              </w:rPr>
            </w:pPr>
            <w:r w:rsidRPr="00DE7477">
              <w:rPr>
                <w:rFonts w:ascii="Arial" w:eastAsia="Times New Roman" w:hAnsi="Arial" w:cs="Arial"/>
                <w:sz w:val="20"/>
                <w:lang w:val="en-US"/>
              </w:rPr>
              <w:t>1038.22</w:t>
            </w:r>
          </w:p>
        </w:tc>
        <w:tc>
          <w:tcPr>
            <w:tcW w:w="1080" w:type="dxa"/>
            <w:hideMark/>
          </w:tcPr>
          <w:p w14:paraId="34741B25" w14:textId="77777777" w:rsidR="007C000C" w:rsidRPr="00DE7477" w:rsidRDefault="007C000C" w:rsidP="005C22F6">
            <w:pPr>
              <w:rPr>
                <w:rFonts w:ascii="Arial" w:eastAsia="Times New Roman" w:hAnsi="Arial" w:cs="Arial"/>
                <w:sz w:val="20"/>
                <w:lang w:val="en-US"/>
              </w:rPr>
            </w:pPr>
            <w:r w:rsidRPr="00DE7477">
              <w:rPr>
                <w:rFonts w:ascii="Arial" w:eastAsia="Times New Roman" w:hAnsi="Arial" w:cs="Arial"/>
                <w:sz w:val="20"/>
                <w:lang w:val="en-US"/>
              </w:rPr>
              <w:t>9.4.2.20.13</w:t>
            </w:r>
          </w:p>
        </w:tc>
        <w:tc>
          <w:tcPr>
            <w:tcW w:w="3600" w:type="dxa"/>
            <w:hideMark/>
          </w:tcPr>
          <w:p w14:paraId="65422478" w14:textId="77777777" w:rsidR="007C000C" w:rsidRPr="00DE7477" w:rsidRDefault="007C000C" w:rsidP="005C22F6">
            <w:pPr>
              <w:rPr>
                <w:rFonts w:ascii="Arial" w:eastAsia="Times New Roman" w:hAnsi="Arial" w:cs="Arial"/>
                <w:sz w:val="20"/>
                <w:lang w:val="en-US"/>
              </w:rPr>
            </w:pPr>
            <w:r w:rsidRPr="00DE7477">
              <w:rPr>
                <w:rFonts w:ascii="Arial" w:eastAsia="Times New Roman" w:hAnsi="Arial" w:cs="Arial"/>
                <w:sz w:val="20"/>
                <w:lang w:val="en-US"/>
              </w:rPr>
              <w:t>Figure 9-211--Measurement Request field format for a Multicast Diagnostics request is confusing in showing a Multicast Triggered Reporting (optional) field because there is a separate Optional Subelements field and Table 9-117--Optional subelement IDs for STA Multicast Diagnostics request shows Multicast Triggered Reporting</w:t>
            </w:r>
          </w:p>
        </w:tc>
        <w:tc>
          <w:tcPr>
            <w:tcW w:w="3600" w:type="dxa"/>
            <w:hideMark/>
          </w:tcPr>
          <w:p w14:paraId="357DFB1E" w14:textId="77777777" w:rsidR="007C000C" w:rsidRPr="00DE7477" w:rsidRDefault="007C000C" w:rsidP="005C22F6">
            <w:pPr>
              <w:rPr>
                <w:rFonts w:ascii="Arial" w:eastAsia="Times New Roman" w:hAnsi="Arial" w:cs="Arial"/>
                <w:sz w:val="20"/>
                <w:lang w:val="en-US"/>
              </w:rPr>
            </w:pPr>
            <w:r w:rsidRPr="00DE7477">
              <w:rPr>
                <w:rFonts w:ascii="Arial" w:eastAsia="Times New Roman" w:hAnsi="Arial" w:cs="Arial"/>
                <w:sz w:val="20"/>
                <w:lang w:val="en-US"/>
              </w:rPr>
              <w:t>In Table 9-117 delete the first two non-header rows and change 2-220 to 0-220</w:t>
            </w:r>
          </w:p>
        </w:tc>
      </w:tr>
    </w:tbl>
    <w:p w14:paraId="478F2152" w14:textId="48C26639" w:rsidR="001A1B4F" w:rsidRDefault="001A1B4F">
      <w:pPr>
        <w:rPr>
          <w:bCs/>
          <w:szCs w:val="22"/>
        </w:rPr>
      </w:pPr>
    </w:p>
    <w:p w14:paraId="64D8729E" w14:textId="18CB1A70" w:rsidR="007C000C" w:rsidRDefault="007C000C">
      <w:pPr>
        <w:rPr>
          <w:bCs/>
          <w:szCs w:val="22"/>
        </w:rPr>
      </w:pPr>
      <w:r>
        <w:rPr>
          <w:bCs/>
          <w:szCs w:val="22"/>
          <w:u w:val="single"/>
        </w:rPr>
        <w:t>Discussion:</w:t>
      </w:r>
    </w:p>
    <w:p w14:paraId="42C1F941" w14:textId="2683FFCB" w:rsidR="007C000C" w:rsidRDefault="007C000C">
      <w:pPr>
        <w:rPr>
          <w:bCs/>
          <w:szCs w:val="22"/>
        </w:rPr>
      </w:pPr>
    </w:p>
    <w:p w14:paraId="30F8C5AB" w14:textId="004DBBB9" w:rsidR="007C000C" w:rsidRPr="00517975" w:rsidRDefault="00517975">
      <w:pPr>
        <w:rPr>
          <w:bCs/>
          <w:noProof/>
          <w:szCs w:val="22"/>
          <w:bdr w:val="single" w:sz="8" w:space="0" w:color="auto" w:shadow="1"/>
        </w:rPr>
      </w:pPr>
      <w:r w:rsidRPr="00517975">
        <w:rPr>
          <w:bCs/>
          <w:noProof/>
          <w:szCs w:val="22"/>
          <w:bdr w:val="single" w:sz="8" w:space="0" w:color="auto" w:shadow="1"/>
        </w:rPr>
        <w:drawing>
          <wp:inline distT="0" distB="0" distL="0" distR="0" wp14:anchorId="06F5A771" wp14:editId="0DC95850">
            <wp:extent cx="6056630" cy="1935480"/>
            <wp:effectExtent l="0" t="0" r="1270" b="762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6630" cy="1935480"/>
                    </a:xfrm>
                    <a:prstGeom prst="rect">
                      <a:avLst/>
                    </a:prstGeom>
                    <a:noFill/>
                    <a:ln>
                      <a:noFill/>
                    </a:ln>
                  </pic:spPr>
                </pic:pic>
              </a:graphicData>
            </a:graphic>
          </wp:inline>
        </w:drawing>
      </w:r>
    </w:p>
    <w:p w14:paraId="46B72799" w14:textId="3EA009E3" w:rsidR="007C000C" w:rsidRDefault="007C000C">
      <w:pPr>
        <w:rPr>
          <w:bCs/>
          <w:szCs w:val="22"/>
        </w:rPr>
      </w:pPr>
    </w:p>
    <w:p w14:paraId="1CA82D7F" w14:textId="72E00D17" w:rsidR="00517975" w:rsidRDefault="00517975">
      <w:pPr>
        <w:rPr>
          <w:bCs/>
          <w:szCs w:val="22"/>
        </w:rPr>
      </w:pPr>
      <w:r>
        <w:rPr>
          <w:bCs/>
          <w:szCs w:val="22"/>
        </w:rPr>
        <w:t>Indeed there are both the Multicast Triggered Reporting subfield and Optional Subelements in the Multicast Diagnostics request variant of the Measurement Request field.</w:t>
      </w:r>
    </w:p>
    <w:p w14:paraId="36607B33" w14:textId="2E632C9E" w:rsidR="00517975" w:rsidRDefault="00517975">
      <w:pPr>
        <w:rPr>
          <w:bCs/>
          <w:szCs w:val="22"/>
        </w:rPr>
      </w:pPr>
    </w:p>
    <w:p w14:paraId="2DB3821D" w14:textId="48CEB2BF" w:rsidR="00517975" w:rsidRDefault="00517975">
      <w:pPr>
        <w:rPr>
          <w:bCs/>
          <w:szCs w:val="22"/>
        </w:rPr>
      </w:pPr>
      <w:r>
        <w:rPr>
          <w:bCs/>
          <w:szCs w:val="22"/>
        </w:rPr>
        <w:t>The Multicast Triggered Reporting subfield is described, as:</w:t>
      </w:r>
    </w:p>
    <w:p w14:paraId="3CAC20FA" w14:textId="3279FDA0" w:rsidR="00517975" w:rsidRDefault="00517975">
      <w:pPr>
        <w:rPr>
          <w:bCs/>
          <w:szCs w:val="22"/>
        </w:rPr>
      </w:pPr>
    </w:p>
    <w:p w14:paraId="0D039EB2" w14:textId="7F7A3D4D" w:rsidR="00517975" w:rsidRPr="00517975" w:rsidRDefault="00517975">
      <w:pPr>
        <w:rPr>
          <w:bCs/>
          <w:noProof/>
          <w:szCs w:val="22"/>
          <w:bdr w:val="single" w:sz="8" w:space="0" w:color="auto" w:shadow="1"/>
        </w:rPr>
      </w:pPr>
      <w:r w:rsidRPr="00517975">
        <w:rPr>
          <w:bCs/>
          <w:noProof/>
          <w:szCs w:val="22"/>
          <w:bdr w:val="single" w:sz="8" w:space="0" w:color="auto" w:shadow="1"/>
        </w:rPr>
        <w:lastRenderedPageBreak/>
        <w:drawing>
          <wp:inline distT="0" distB="0" distL="0" distR="0" wp14:anchorId="0B9E4284" wp14:editId="5EDA8056">
            <wp:extent cx="6009005" cy="187642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9005" cy="1876425"/>
                    </a:xfrm>
                    <a:prstGeom prst="rect">
                      <a:avLst/>
                    </a:prstGeom>
                    <a:noFill/>
                    <a:ln>
                      <a:noFill/>
                    </a:ln>
                  </pic:spPr>
                </pic:pic>
              </a:graphicData>
            </a:graphic>
          </wp:inline>
        </w:drawing>
      </w:r>
    </w:p>
    <w:p w14:paraId="6A831C3E" w14:textId="18631A07" w:rsidR="00517975" w:rsidRDefault="00517975">
      <w:pPr>
        <w:rPr>
          <w:bCs/>
          <w:szCs w:val="22"/>
        </w:rPr>
      </w:pPr>
    </w:p>
    <w:p w14:paraId="2CEA3CF6" w14:textId="15AD30CF" w:rsidR="00517975" w:rsidRDefault="00517975">
      <w:pPr>
        <w:rPr>
          <w:bCs/>
          <w:szCs w:val="22"/>
        </w:rPr>
      </w:pPr>
      <w:r>
        <w:rPr>
          <w:bCs/>
          <w:szCs w:val="22"/>
        </w:rPr>
        <w:t>This text goes on for several paragraphs, describing these subfields.</w:t>
      </w:r>
    </w:p>
    <w:p w14:paraId="30363018" w14:textId="29DFD9B8" w:rsidR="00517975" w:rsidRDefault="00517975">
      <w:pPr>
        <w:rPr>
          <w:bCs/>
          <w:szCs w:val="22"/>
        </w:rPr>
      </w:pPr>
    </w:p>
    <w:p w14:paraId="0BB028E3" w14:textId="724A1015" w:rsidR="00517975" w:rsidRDefault="00517975">
      <w:pPr>
        <w:rPr>
          <w:bCs/>
          <w:szCs w:val="22"/>
        </w:rPr>
      </w:pPr>
      <w:r>
        <w:rPr>
          <w:bCs/>
          <w:szCs w:val="22"/>
        </w:rPr>
        <w:t>However, nowhere in this text is the Sublement ID specified for the Multicast Triggered Reporting subelement.  Thus, it seems the row in Table 9-117 is required for this specification:</w:t>
      </w:r>
    </w:p>
    <w:p w14:paraId="1E57EF77" w14:textId="2E8A6932" w:rsidR="00517975" w:rsidRDefault="00517975">
      <w:pPr>
        <w:rPr>
          <w:bCs/>
          <w:szCs w:val="22"/>
        </w:rPr>
      </w:pPr>
    </w:p>
    <w:p w14:paraId="0EF26927" w14:textId="6A338759" w:rsidR="00517975" w:rsidRPr="00517975" w:rsidRDefault="00517975">
      <w:pPr>
        <w:rPr>
          <w:bCs/>
          <w:noProof/>
          <w:szCs w:val="22"/>
          <w:bdr w:val="single" w:sz="8" w:space="0" w:color="auto" w:shadow="1"/>
        </w:rPr>
      </w:pPr>
      <w:r w:rsidRPr="00517975">
        <w:rPr>
          <w:bCs/>
          <w:noProof/>
          <w:szCs w:val="22"/>
          <w:bdr w:val="single" w:sz="8" w:space="0" w:color="auto" w:shadow="1"/>
        </w:rPr>
        <w:drawing>
          <wp:inline distT="0" distB="0" distL="0" distR="0" wp14:anchorId="6E26DBDA" wp14:editId="6218BDBB">
            <wp:extent cx="6097905" cy="30162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7905" cy="3016250"/>
                    </a:xfrm>
                    <a:prstGeom prst="rect">
                      <a:avLst/>
                    </a:prstGeom>
                    <a:noFill/>
                    <a:ln>
                      <a:noFill/>
                    </a:ln>
                  </pic:spPr>
                </pic:pic>
              </a:graphicData>
            </a:graphic>
          </wp:inline>
        </w:drawing>
      </w:r>
    </w:p>
    <w:p w14:paraId="3A5DD2A2" w14:textId="6FC86433" w:rsidR="00517975" w:rsidRDefault="00517975">
      <w:pPr>
        <w:rPr>
          <w:bCs/>
          <w:szCs w:val="22"/>
        </w:rPr>
      </w:pPr>
    </w:p>
    <w:p w14:paraId="75B8F25C" w14:textId="7A10412B" w:rsidR="00517975" w:rsidRDefault="00517975">
      <w:pPr>
        <w:rPr>
          <w:bCs/>
          <w:szCs w:val="22"/>
        </w:rPr>
      </w:pPr>
      <w:r>
        <w:rPr>
          <w:bCs/>
          <w:szCs w:val="22"/>
        </w:rPr>
        <w:t>Since the Multicast Triggered Reporting subelement is optional, as is the Vendor Specific subelement, the question here perhaps should be why there is a specific call out for the Multicast Triggered Reporting sublement in the Figure 9-211 field layout, rather than having Multicast Triggered Reporting subelement just be one of the Optional Subelements</w:t>
      </w:r>
      <w:r w:rsidR="001D5A56">
        <w:rPr>
          <w:bCs/>
          <w:szCs w:val="22"/>
        </w:rPr>
        <w:t>, in the usual style.</w:t>
      </w:r>
    </w:p>
    <w:p w14:paraId="5CA105E8" w14:textId="286C75B7" w:rsidR="001D5A56" w:rsidRDefault="001D5A56">
      <w:pPr>
        <w:rPr>
          <w:bCs/>
          <w:szCs w:val="22"/>
        </w:rPr>
      </w:pPr>
    </w:p>
    <w:p w14:paraId="63ECBE8D" w14:textId="608307C0" w:rsidR="001D5A56" w:rsidRDefault="001D5A56">
      <w:pPr>
        <w:rPr>
          <w:bCs/>
          <w:szCs w:val="22"/>
        </w:rPr>
      </w:pPr>
      <w:r w:rsidRPr="001D5A56">
        <w:rPr>
          <w:bCs/>
          <w:szCs w:val="22"/>
          <w:highlight w:val="yellow"/>
          <w:u w:val="single"/>
        </w:rPr>
        <w:t>Proposed Resolution:</w:t>
      </w:r>
    </w:p>
    <w:p w14:paraId="1DCD4A23" w14:textId="67A1DE14" w:rsidR="001D5A56" w:rsidRDefault="001D5A56">
      <w:pPr>
        <w:rPr>
          <w:bCs/>
          <w:szCs w:val="22"/>
        </w:rPr>
      </w:pPr>
    </w:p>
    <w:p w14:paraId="47D19C67" w14:textId="4B71CD76" w:rsidR="001D5A56" w:rsidRDefault="001D5A56">
      <w:pPr>
        <w:rPr>
          <w:bCs/>
          <w:szCs w:val="22"/>
        </w:rPr>
      </w:pPr>
      <w:r>
        <w:rPr>
          <w:bCs/>
          <w:szCs w:val="22"/>
        </w:rPr>
        <w:t>Revised.  Remove the field “Multicast Triggered Reporting (optional)” from Figure 9-211.  Move the text from P1037.31 through P1038.10 to appear after the text at P1038.14 and Table 9-117 and before the text at P1038.32.</w:t>
      </w:r>
    </w:p>
    <w:p w14:paraId="67E404B4" w14:textId="77777777" w:rsidR="001D5A56" w:rsidRPr="001D5A56" w:rsidRDefault="001D5A56">
      <w:pPr>
        <w:rPr>
          <w:bCs/>
          <w:szCs w:val="22"/>
        </w:rPr>
      </w:pPr>
    </w:p>
    <w:p w14:paraId="5558BC5C" w14:textId="63C1BA6E" w:rsidR="00377D83" w:rsidRDefault="007C000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77D83" w14:paraId="5C2880C2"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483EFEB2"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BDD45F"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48914F5"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9F5C9AD"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546E76A"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77D83" w:rsidRPr="00DE7477" w14:paraId="64888A48" w14:textId="77777777" w:rsidTr="005C22F6">
        <w:trPr>
          <w:trHeight w:val="2295"/>
        </w:trPr>
        <w:tc>
          <w:tcPr>
            <w:tcW w:w="738" w:type="dxa"/>
            <w:hideMark/>
          </w:tcPr>
          <w:p w14:paraId="18E0759C" w14:textId="77777777" w:rsidR="00377D83" w:rsidRPr="00DE7477" w:rsidRDefault="00377D83" w:rsidP="005C22F6">
            <w:pPr>
              <w:jc w:val="right"/>
              <w:rPr>
                <w:rFonts w:ascii="Arial" w:eastAsia="Times New Roman" w:hAnsi="Arial" w:cs="Arial"/>
                <w:sz w:val="20"/>
                <w:lang w:val="en-US"/>
              </w:rPr>
            </w:pPr>
            <w:r w:rsidRPr="00DE7477">
              <w:rPr>
                <w:rFonts w:ascii="Arial" w:eastAsia="Times New Roman" w:hAnsi="Arial" w:cs="Arial"/>
                <w:sz w:val="20"/>
                <w:lang w:val="en-US"/>
              </w:rPr>
              <w:t>4567</w:t>
            </w:r>
          </w:p>
        </w:tc>
        <w:tc>
          <w:tcPr>
            <w:tcW w:w="990" w:type="dxa"/>
            <w:hideMark/>
          </w:tcPr>
          <w:p w14:paraId="760CA10F" w14:textId="77777777" w:rsidR="00377D83" w:rsidRPr="00DE7477" w:rsidRDefault="00377D83" w:rsidP="005C22F6">
            <w:pPr>
              <w:jc w:val="right"/>
              <w:rPr>
                <w:rFonts w:ascii="Arial" w:eastAsia="Times New Roman" w:hAnsi="Arial" w:cs="Arial"/>
                <w:sz w:val="20"/>
                <w:lang w:val="en-US"/>
              </w:rPr>
            </w:pPr>
            <w:r w:rsidRPr="00DE7477">
              <w:rPr>
                <w:rFonts w:ascii="Arial" w:eastAsia="Times New Roman" w:hAnsi="Arial" w:cs="Arial"/>
                <w:sz w:val="20"/>
                <w:lang w:val="en-US"/>
              </w:rPr>
              <w:t>2302.49</w:t>
            </w:r>
          </w:p>
        </w:tc>
        <w:tc>
          <w:tcPr>
            <w:tcW w:w="1080" w:type="dxa"/>
            <w:hideMark/>
          </w:tcPr>
          <w:p w14:paraId="5D8BAFEA" w14:textId="77777777" w:rsidR="00377D83" w:rsidRPr="00DE7477" w:rsidRDefault="00377D83" w:rsidP="005C22F6">
            <w:pPr>
              <w:rPr>
                <w:rFonts w:ascii="Arial" w:eastAsia="Times New Roman" w:hAnsi="Arial" w:cs="Arial"/>
                <w:sz w:val="20"/>
                <w:lang w:val="en-US"/>
              </w:rPr>
            </w:pPr>
            <w:r w:rsidRPr="00DE7477">
              <w:rPr>
                <w:rFonts w:ascii="Arial" w:eastAsia="Times New Roman" w:hAnsi="Arial" w:cs="Arial"/>
                <w:sz w:val="20"/>
                <w:lang w:val="en-US"/>
              </w:rPr>
              <w:t>11.10.9.2</w:t>
            </w:r>
          </w:p>
        </w:tc>
        <w:tc>
          <w:tcPr>
            <w:tcW w:w="3600" w:type="dxa"/>
            <w:hideMark/>
          </w:tcPr>
          <w:p w14:paraId="52E87A66" w14:textId="77777777" w:rsidR="00377D83" w:rsidRPr="00DE7477" w:rsidRDefault="00377D83" w:rsidP="005C22F6">
            <w:pPr>
              <w:rPr>
                <w:rFonts w:ascii="Arial" w:eastAsia="Times New Roman" w:hAnsi="Arial" w:cs="Arial"/>
                <w:sz w:val="20"/>
                <w:lang w:val="en-US"/>
              </w:rPr>
            </w:pPr>
            <w:r w:rsidRPr="00DE7477">
              <w:rPr>
                <w:rFonts w:ascii="Arial" w:eastAsia="Times New Roman" w:hAnsi="Arial" w:cs="Arial"/>
                <w:sz w:val="20"/>
                <w:lang w:val="en-US"/>
              </w:rPr>
              <w:t>"a Frame Report</w:t>
            </w:r>
            <w:r w:rsidRPr="00DE7477">
              <w:rPr>
                <w:rFonts w:ascii="Arial" w:eastAsia="Times New Roman" w:hAnsi="Arial" w:cs="Arial"/>
                <w:sz w:val="20"/>
                <w:lang w:val="en-US"/>
              </w:rPr>
              <w:br/>
              <w:t>Entry field where Transmitter Address (TA) matching the MAC address field value" -- is this TA in the MAC header?  A field somewhere?  I think it's a misnamed field from Figure 9-235--Frame Report Entry field format</w:t>
            </w:r>
          </w:p>
        </w:tc>
        <w:tc>
          <w:tcPr>
            <w:tcW w:w="3600" w:type="dxa"/>
            <w:hideMark/>
          </w:tcPr>
          <w:p w14:paraId="3BAC8574" w14:textId="77777777" w:rsidR="00377D83" w:rsidRPr="00DE7477" w:rsidRDefault="00377D83" w:rsidP="005C22F6">
            <w:pPr>
              <w:rPr>
                <w:rFonts w:ascii="Arial" w:eastAsia="Times New Roman" w:hAnsi="Arial" w:cs="Arial"/>
                <w:sz w:val="20"/>
                <w:lang w:val="en-US"/>
              </w:rPr>
            </w:pPr>
            <w:r w:rsidRPr="00DE7477">
              <w:rPr>
                <w:rFonts w:ascii="Arial" w:eastAsia="Times New Roman" w:hAnsi="Arial" w:cs="Arial"/>
                <w:sz w:val="20"/>
                <w:lang w:val="en-US"/>
              </w:rPr>
              <w:t>Change to "a Frame Report</w:t>
            </w:r>
            <w:r w:rsidRPr="00DE7477">
              <w:rPr>
                <w:rFonts w:ascii="Arial" w:eastAsia="Times New Roman" w:hAnsi="Arial" w:cs="Arial"/>
                <w:sz w:val="20"/>
                <w:lang w:val="en-US"/>
              </w:rPr>
              <w:br/>
              <w:t>Entry field with a Transmit Address field matching the MAC address field value"</w:t>
            </w:r>
          </w:p>
        </w:tc>
      </w:tr>
    </w:tbl>
    <w:p w14:paraId="59274B3A" w14:textId="652DCF82" w:rsidR="00E507EF" w:rsidRDefault="00E507EF">
      <w:pPr>
        <w:rPr>
          <w:bCs/>
          <w:szCs w:val="22"/>
        </w:rPr>
      </w:pPr>
    </w:p>
    <w:p w14:paraId="27F5A0B0" w14:textId="77777777" w:rsidR="00377D83" w:rsidRDefault="00377D83" w:rsidP="00377D83">
      <w:pPr>
        <w:rPr>
          <w:bCs/>
          <w:szCs w:val="22"/>
        </w:rPr>
      </w:pPr>
      <w:r>
        <w:rPr>
          <w:bCs/>
          <w:szCs w:val="22"/>
          <w:u w:val="single"/>
        </w:rPr>
        <w:t>Discussion:</w:t>
      </w:r>
    </w:p>
    <w:p w14:paraId="1522452D" w14:textId="77777777" w:rsidR="00377D83" w:rsidRDefault="00377D83" w:rsidP="00377D83">
      <w:pPr>
        <w:rPr>
          <w:bCs/>
          <w:szCs w:val="22"/>
        </w:rPr>
      </w:pPr>
    </w:p>
    <w:p w14:paraId="5EC47C87" w14:textId="77777777" w:rsidR="00377D83" w:rsidRPr="00DF2556" w:rsidRDefault="00377D83" w:rsidP="00377D83">
      <w:pPr>
        <w:rPr>
          <w:bCs/>
          <w:noProof/>
          <w:szCs w:val="22"/>
          <w:bdr w:val="single" w:sz="8" w:space="0" w:color="auto" w:shadow="1"/>
        </w:rPr>
      </w:pPr>
      <w:r w:rsidRPr="00DF2556">
        <w:rPr>
          <w:bCs/>
          <w:noProof/>
          <w:szCs w:val="22"/>
          <w:bdr w:val="single" w:sz="8" w:space="0" w:color="auto" w:shadow="1"/>
        </w:rPr>
        <w:drawing>
          <wp:inline distT="0" distB="0" distL="0" distR="0" wp14:anchorId="6E26BF2F" wp14:editId="5F816462">
            <wp:extent cx="6009005" cy="190627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9005" cy="1906270"/>
                    </a:xfrm>
                    <a:prstGeom prst="rect">
                      <a:avLst/>
                    </a:prstGeom>
                    <a:noFill/>
                    <a:ln>
                      <a:noFill/>
                    </a:ln>
                  </pic:spPr>
                </pic:pic>
              </a:graphicData>
            </a:graphic>
          </wp:inline>
        </w:drawing>
      </w:r>
    </w:p>
    <w:p w14:paraId="32EA3530" w14:textId="77777777" w:rsidR="00377D83" w:rsidRDefault="00377D83" w:rsidP="00377D83">
      <w:pPr>
        <w:rPr>
          <w:bCs/>
          <w:szCs w:val="22"/>
        </w:rPr>
      </w:pPr>
    </w:p>
    <w:p w14:paraId="5E074CB9" w14:textId="77777777" w:rsidR="00377D83" w:rsidRDefault="00377D83" w:rsidP="00377D83">
      <w:pPr>
        <w:rPr>
          <w:bCs/>
          <w:szCs w:val="22"/>
        </w:rPr>
      </w:pPr>
      <w:r>
        <w:rPr>
          <w:bCs/>
          <w:szCs w:val="22"/>
        </w:rPr>
        <w:t>The Frame request frame has the following format and description:</w:t>
      </w:r>
    </w:p>
    <w:p w14:paraId="591750B0" w14:textId="77777777" w:rsidR="00377D83" w:rsidRDefault="00377D83" w:rsidP="00377D83">
      <w:pPr>
        <w:rPr>
          <w:bCs/>
          <w:szCs w:val="22"/>
        </w:rPr>
      </w:pPr>
    </w:p>
    <w:p w14:paraId="6E7F56F6" w14:textId="77777777" w:rsidR="00377D83" w:rsidRPr="00DF2556" w:rsidRDefault="00377D83" w:rsidP="00377D83">
      <w:pPr>
        <w:rPr>
          <w:bCs/>
          <w:noProof/>
          <w:szCs w:val="22"/>
          <w:bdr w:val="single" w:sz="8" w:space="0" w:color="auto" w:shadow="1"/>
        </w:rPr>
      </w:pPr>
      <w:r w:rsidRPr="00DF2556">
        <w:rPr>
          <w:bCs/>
          <w:noProof/>
          <w:szCs w:val="22"/>
          <w:bdr w:val="single" w:sz="8" w:space="0" w:color="auto" w:shadow="1"/>
        </w:rPr>
        <w:drawing>
          <wp:inline distT="0" distB="0" distL="0" distR="0" wp14:anchorId="01F4FC9D" wp14:editId="2E8BD3ED">
            <wp:extent cx="6003290" cy="181102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3290" cy="1811020"/>
                    </a:xfrm>
                    <a:prstGeom prst="rect">
                      <a:avLst/>
                    </a:prstGeom>
                    <a:noFill/>
                    <a:ln>
                      <a:noFill/>
                    </a:ln>
                  </pic:spPr>
                </pic:pic>
              </a:graphicData>
            </a:graphic>
          </wp:inline>
        </w:drawing>
      </w:r>
    </w:p>
    <w:p w14:paraId="26381235" w14:textId="77777777" w:rsidR="00377D83" w:rsidRPr="00DF2556" w:rsidRDefault="00377D83" w:rsidP="00377D83">
      <w:pPr>
        <w:rPr>
          <w:bCs/>
          <w:noProof/>
          <w:szCs w:val="22"/>
          <w:bdr w:val="single" w:sz="8" w:space="0" w:color="auto" w:shadow="1"/>
        </w:rPr>
      </w:pPr>
      <w:r w:rsidRPr="00DF2556">
        <w:rPr>
          <w:bCs/>
          <w:noProof/>
          <w:szCs w:val="22"/>
          <w:bdr w:val="single" w:sz="8" w:space="0" w:color="auto" w:shadow="1"/>
        </w:rPr>
        <w:drawing>
          <wp:inline distT="0" distB="0" distL="0" distR="0" wp14:anchorId="454DEA1D" wp14:editId="591B4229">
            <wp:extent cx="6003290" cy="70675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3290" cy="706755"/>
                    </a:xfrm>
                    <a:prstGeom prst="rect">
                      <a:avLst/>
                    </a:prstGeom>
                    <a:noFill/>
                    <a:ln>
                      <a:noFill/>
                    </a:ln>
                  </pic:spPr>
                </pic:pic>
              </a:graphicData>
            </a:graphic>
          </wp:inline>
        </w:drawing>
      </w:r>
    </w:p>
    <w:p w14:paraId="501F3207" w14:textId="77777777" w:rsidR="00377D83" w:rsidRDefault="00377D83" w:rsidP="00377D83">
      <w:pPr>
        <w:rPr>
          <w:bCs/>
          <w:szCs w:val="22"/>
        </w:rPr>
      </w:pPr>
    </w:p>
    <w:p w14:paraId="57CF07EA" w14:textId="77777777" w:rsidR="00377D83" w:rsidRDefault="00377D83" w:rsidP="00377D83">
      <w:pPr>
        <w:rPr>
          <w:bCs/>
          <w:szCs w:val="22"/>
        </w:rPr>
      </w:pPr>
      <w:r>
        <w:rPr>
          <w:bCs/>
          <w:szCs w:val="22"/>
        </w:rPr>
        <w:t>So, it is frames received with a TA that matches the Frame request’s MAC Address field, that are counted for the Frame report.  So, agree with the commenter that this sentence is mixing up terms and concepts.</w:t>
      </w:r>
    </w:p>
    <w:p w14:paraId="3C6F7FE3" w14:textId="77777777" w:rsidR="00377D83" w:rsidRDefault="00377D83" w:rsidP="00377D83">
      <w:pPr>
        <w:rPr>
          <w:bCs/>
          <w:szCs w:val="22"/>
        </w:rPr>
      </w:pPr>
    </w:p>
    <w:p w14:paraId="1C8A062D" w14:textId="77777777" w:rsidR="00377D83" w:rsidRDefault="00377D83" w:rsidP="00377D83">
      <w:pPr>
        <w:rPr>
          <w:bCs/>
          <w:szCs w:val="22"/>
        </w:rPr>
      </w:pPr>
      <w:r>
        <w:rPr>
          <w:bCs/>
          <w:szCs w:val="22"/>
        </w:rPr>
        <w:t>However, it would be better to state this clearly (with a re-write of the sentence), in a way that is similar to the subsequent sentence.</w:t>
      </w:r>
    </w:p>
    <w:p w14:paraId="761BB699" w14:textId="77777777" w:rsidR="00377D83" w:rsidRDefault="00377D83" w:rsidP="00377D83">
      <w:pPr>
        <w:rPr>
          <w:bCs/>
          <w:szCs w:val="22"/>
        </w:rPr>
      </w:pPr>
    </w:p>
    <w:p w14:paraId="20390C03" w14:textId="77777777" w:rsidR="00377D83" w:rsidRDefault="00377D83" w:rsidP="00377D83">
      <w:pPr>
        <w:rPr>
          <w:bCs/>
          <w:szCs w:val="22"/>
        </w:rPr>
      </w:pPr>
      <w:r w:rsidRPr="00871FD1">
        <w:rPr>
          <w:bCs/>
          <w:szCs w:val="22"/>
          <w:highlight w:val="yellow"/>
          <w:u w:val="single"/>
        </w:rPr>
        <w:t>Proposed Resolution:</w:t>
      </w:r>
    </w:p>
    <w:p w14:paraId="0ED4D0EB" w14:textId="77777777" w:rsidR="00C034F6" w:rsidRPr="00871FD1" w:rsidRDefault="00C034F6" w:rsidP="00C034F6">
      <w:pPr>
        <w:rPr>
          <w:bCs/>
          <w:i/>
          <w:iCs/>
          <w:szCs w:val="22"/>
        </w:rPr>
      </w:pPr>
      <w:r w:rsidRPr="00871FD1">
        <w:rPr>
          <w:bCs/>
          <w:i/>
          <w:iCs/>
          <w:szCs w:val="22"/>
          <w:highlight w:val="yellow"/>
        </w:rPr>
        <w:lastRenderedPageBreak/>
        <w:t>This proposal loses the concept of “if at least one Data or Management frame was received”.  Is that important and correct to have included?</w:t>
      </w:r>
    </w:p>
    <w:p w14:paraId="155F6D83" w14:textId="77777777" w:rsidR="00C034F6" w:rsidRDefault="00C034F6" w:rsidP="00C034F6">
      <w:pPr>
        <w:rPr>
          <w:bCs/>
          <w:szCs w:val="22"/>
        </w:rPr>
      </w:pPr>
    </w:p>
    <w:p w14:paraId="478E8F74" w14:textId="6AD04D2E" w:rsidR="00377D83" w:rsidRDefault="00C034F6" w:rsidP="00377D83">
      <w:pPr>
        <w:rPr>
          <w:bCs/>
          <w:szCs w:val="22"/>
        </w:rPr>
      </w:pPr>
      <w:r>
        <w:rPr>
          <w:bCs/>
          <w:szCs w:val="22"/>
        </w:rPr>
        <w:t>Revised.</w:t>
      </w:r>
    </w:p>
    <w:p w14:paraId="542DC436" w14:textId="77777777" w:rsidR="00C034F6" w:rsidRDefault="00C034F6" w:rsidP="00377D83">
      <w:pPr>
        <w:rPr>
          <w:bCs/>
          <w:szCs w:val="22"/>
        </w:rPr>
      </w:pPr>
    </w:p>
    <w:p w14:paraId="4322301B" w14:textId="77777777" w:rsidR="00377D83" w:rsidRDefault="00377D83" w:rsidP="00377D83">
      <w:pPr>
        <w:rPr>
          <w:bCs/>
          <w:szCs w:val="22"/>
        </w:rPr>
      </w:pPr>
      <w:r>
        <w:rPr>
          <w:bCs/>
          <w:szCs w:val="22"/>
        </w:rPr>
        <w:t>Replace:</w:t>
      </w:r>
    </w:p>
    <w:p w14:paraId="78704526" w14:textId="77777777" w:rsidR="00377D83" w:rsidRPr="00871FD1" w:rsidRDefault="00377D83" w:rsidP="00377D83">
      <w:pPr>
        <w:rPr>
          <w:bCs/>
          <w:szCs w:val="22"/>
        </w:rPr>
      </w:pPr>
      <w:r w:rsidRPr="00871FD1">
        <w:rPr>
          <w:bCs/>
          <w:szCs w:val="22"/>
        </w:rPr>
        <w:t>If the MAC Address field included in the Frame request was not set to the broadcast address, a Frame Report</w:t>
      </w:r>
      <w:r>
        <w:rPr>
          <w:bCs/>
          <w:szCs w:val="22"/>
        </w:rPr>
        <w:t xml:space="preserve"> </w:t>
      </w:r>
      <w:r w:rsidRPr="00871FD1">
        <w:rPr>
          <w:bCs/>
          <w:szCs w:val="22"/>
        </w:rPr>
        <w:t>Entry field where Transmitter Address (TA) matching the MAC address field value shall be included in the</w:t>
      </w:r>
      <w:r>
        <w:rPr>
          <w:bCs/>
          <w:szCs w:val="22"/>
        </w:rPr>
        <w:t xml:space="preserve"> </w:t>
      </w:r>
      <w:r w:rsidRPr="00871FD1">
        <w:rPr>
          <w:bCs/>
          <w:szCs w:val="22"/>
        </w:rPr>
        <w:t>Frame report if at least one Data or Management frame was received with this Transmitter Address during the</w:t>
      </w:r>
      <w:r>
        <w:rPr>
          <w:bCs/>
          <w:szCs w:val="22"/>
        </w:rPr>
        <w:t xml:space="preserve"> </w:t>
      </w:r>
      <w:r w:rsidRPr="00871FD1">
        <w:rPr>
          <w:bCs/>
          <w:szCs w:val="22"/>
        </w:rPr>
        <w:t>measurement duration.</w:t>
      </w:r>
    </w:p>
    <w:p w14:paraId="0619B2FA" w14:textId="77777777" w:rsidR="00377D83" w:rsidRPr="00871FD1" w:rsidRDefault="00377D83" w:rsidP="00377D83">
      <w:pPr>
        <w:rPr>
          <w:bCs/>
          <w:szCs w:val="22"/>
        </w:rPr>
      </w:pPr>
    </w:p>
    <w:p w14:paraId="22F3D127" w14:textId="77777777" w:rsidR="00377D83" w:rsidRPr="00871FD1" w:rsidRDefault="00377D83" w:rsidP="00377D83">
      <w:pPr>
        <w:rPr>
          <w:bCs/>
          <w:szCs w:val="22"/>
        </w:rPr>
      </w:pPr>
      <w:r w:rsidRPr="00871FD1">
        <w:rPr>
          <w:bCs/>
          <w:szCs w:val="22"/>
        </w:rPr>
        <w:t>with:</w:t>
      </w:r>
    </w:p>
    <w:p w14:paraId="1428F924" w14:textId="77777777" w:rsidR="00377D83" w:rsidRPr="00871FD1" w:rsidRDefault="00377D83" w:rsidP="00377D83">
      <w:pPr>
        <w:rPr>
          <w:bCs/>
          <w:szCs w:val="22"/>
        </w:rPr>
      </w:pPr>
      <w:r w:rsidRPr="00871FD1">
        <w:rPr>
          <w:bCs/>
          <w:szCs w:val="22"/>
        </w:rPr>
        <w:t>If the MAC Address field included in the Frame request was not set to the broadcast</w:t>
      </w:r>
      <w:r>
        <w:rPr>
          <w:bCs/>
          <w:szCs w:val="22"/>
        </w:rPr>
        <w:t xml:space="preserve"> </w:t>
      </w:r>
      <w:r w:rsidRPr="00871FD1">
        <w:rPr>
          <w:bCs/>
          <w:szCs w:val="22"/>
        </w:rPr>
        <w:t xml:space="preserve">address, the measuring station shall report, in one or more Frame reports, only those Data or Management frames received during the measurement duration </w:t>
      </w:r>
      <w:r>
        <w:rPr>
          <w:bCs/>
          <w:szCs w:val="22"/>
        </w:rPr>
        <w:t>with a</w:t>
      </w:r>
      <w:r w:rsidRPr="00871FD1">
        <w:rPr>
          <w:bCs/>
          <w:szCs w:val="22"/>
        </w:rPr>
        <w:t xml:space="preserve"> TA </w:t>
      </w:r>
      <w:r>
        <w:rPr>
          <w:bCs/>
          <w:szCs w:val="22"/>
        </w:rPr>
        <w:t xml:space="preserve">field </w:t>
      </w:r>
      <w:r w:rsidRPr="00871FD1">
        <w:rPr>
          <w:bCs/>
          <w:szCs w:val="22"/>
        </w:rPr>
        <w:t>match</w:t>
      </w:r>
      <w:r>
        <w:rPr>
          <w:bCs/>
          <w:szCs w:val="22"/>
        </w:rPr>
        <w:t>ing</w:t>
      </w:r>
      <w:r w:rsidRPr="00871FD1">
        <w:rPr>
          <w:bCs/>
          <w:szCs w:val="22"/>
        </w:rPr>
        <w:t xml:space="preserve"> the MAC Address field of the Frame request.</w:t>
      </w:r>
    </w:p>
    <w:p w14:paraId="02EA98A6" w14:textId="77777777" w:rsidR="00377D83" w:rsidRPr="00A80A0D" w:rsidRDefault="00377D83" w:rsidP="00377D83">
      <w:pPr>
        <w:rPr>
          <w:bCs/>
          <w:szCs w:val="22"/>
        </w:rPr>
      </w:pPr>
    </w:p>
    <w:p w14:paraId="1902523F" w14:textId="7357CFD1" w:rsidR="00556719" w:rsidRDefault="00377D8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56719" w14:paraId="09D01D86"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091A0BAA"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73E24E4"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61A1825"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21D0AB3"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F3044E6"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56719" w:rsidRPr="00DE7477" w14:paraId="3F1850D9" w14:textId="77777777" w:rsidTr="005C22F6">
        <w:trPr>
          <w:trHeight w:val="4151"/>
        </w:trPr>
        <w:tc>
          <w:tcPr>
            <w:tcW w:w="738" w:type="dxa"/>
            <w:hideMark/>
          </w:tcPr>
          <w:p w14:paraId="10095BB9" w14:textId="77777777" w:rsidR="00556719" w:rsidRPr="00DE7477" w:rsidRDefault="00556719" w:rsidP="005C22F6">
            <w:pPr>
              <w:jc w:val="right"/>
              <w:rPr>
                <w:rFonts w:ascii="Arial" w:eastAsia="Times New Roman" w:hAnsi="Arial" w:cs="Arial"/>
                <w:sz w:val="20"/>
                <w:lang w:val="en-US"/>
              </w:rPr>
            </w:pPr>
            <w:r w:rsidRPr="00DE7477">
              <w:rPr>
                <w:rFonts w:ascii="Arial" w:eastAsia="Times New Roman" w:hAnsi="Arial" w:cs="Arial"/>
                <w:sz w:val="20"/>
                <w:lang w:val="en-US"/>
              </w:rPr>
              <w:t>4774</w:t>
            </w:r>
          </w:p>
        </w:tc>
        <w:tc>
          <w:tcPr>
            <w:tcW w:w="990" w:type="dxa"/>
            <w:hideMark/>
          </w:tcPr>
          <w:p w14:paraId="52108AF8" w14:textId="77777777" w:rsidR="00556719" w:rsidRPr="00DE7477" w:rsidRDefault="00556719" w:rsidP="005C22F6">
            <w:pPr>
              <w:jc w:val="right"/>
              <w:rPr>
                <w:rFonts w:ascii="Arial" w:eastAsia="Times New Roman" w:hAnsi="Arial" w:cs="Arial"/>
                <w:sz w:val="20"/>
                <w:lang w:val="en-US"/>
              </w:rPr>
            </w:pPr>
            <w:r w:rsidRPr="00DE7477">
              <w:rPr>
                <w:rFonts w:ascii="Arial" w:eastAsia="Times New Roman" w:hAnsi="Arial" w:cs="Arial"/>
                <w:sz w:val="20"/>
                <w:lang w:val="en-US"/>
              </w:rPr>
              <w:t>2187.02</w:t>
            </w:r>
          </w:p>
        </w:tc>
        <w:tc>
          <w:tcPr>
            <w:tcW w:w="1080" w:type="dxa"/>
            <w:hideMark/>
          </w:tcPr>
          <w:p w14:paraId="5FB01FDD" w14:textId="77777777" w:rsidR="00556719" w:rsidRPr="00DE7477" w:rsidRDefault="00556719" w:rsidP="005C22F6">
            <w:pPr>
              <w:rPr>
                <w:rFonts w:ascii="Arial" w:eastAsia="Times New Roman" w:hAnsi="Arial" w:cs="Arial"/>
                <w:sz w:val="20"/>
                <w:lang w:val="en-US"/>
              </w:rPr>
            </w:pPr>
            <w:r w:rsidRPr="00DE7477">
              <w:rPr>
                <w:rFonts w:ascii="Arial" w:eastAsia="Times New Roman" w:hAnsi="Arial" w:cs="Arial"/>
                <w:sz w:val="20"/>
                <w:lang w:val="en-US"/>
              </w:rPr>
              <w:t>11.2.3.6</w:t>
            </w:r>
          </w:p>
        </w:tc>
        <w:tc>
          <w:tcPr>
            <w:tcW w:w="3600" w:type="dxa"/>
            <w:hideMark/>
          </w:tcPr>
          <w:p w14:paraId="02C33DFA" w14:textId="77777777" w:rsidR="00556719" w:rsidRPr="00DE7477" w:rsidRDefault="00556719" w:rsidP="005C22F6">
            <w:pPr>
              <w:rPr>
                <w:rFonts w:ascii="Arial" w:eastAsia="Times New Roman" w:hAnsi="Arial" w:cs="Arial"/>
                <w:sz w:val="20"/>
                <w:lang w:val="en-US"/>
              </w:rPr>
            </w:pPr>
            <w:r w:rsidRPr="00DE7477">
              <w:rPr>
                <w:rFonts w:ascii="Arial" w:eastAsia="Times New Roman" w:hAnsi="Arial" w:cs="Arial"/>
                <w:sz w:val="20"/>
                <w:lang w:val="en-US"/>
              </w:rPr>
              <w:t>There is no concept of StrictlyOrdered service class, anymore.</w:t>
            </w:r>
          </w:p>
        </w:tc>
        <w:tc>
          <w:tcPr>
            <w:tcW w:w="3600" w:type="dxa"/>
            <w:hideMark/>
          </w:tcPr>
          <w:p w14:paraId="172D4763" w14:textId="77777777" w:rsidR="00556719" w:rsidRPr="00DE7477" w:rsidRDefault="00556719" w:rsidP="005C22F6">
            <w:pPr>
              <w:rPr>
                <w:rFonts w:ascii="Arial" w:eastAsia="Times New Roman" w:hAnsi="Arial" w:cs="Arial"/>
                <w:sz w:val="20"/>
                <w:lang w:val="en-US"/>
              </w:rPr>
            </w:pPr>
            <w:r w:rsidRPr="00DE7477">
              <w:rPr>
                <w:rFonts w:ascii="Arial" w:eastAsia="Times New Roman" w:hAnsi="Arial" w:cs="Arial"/>
                <w:sz w:val="20"/>
                <w:lang w:val="en-US"/>
              </w:rPr>
              <w:t>Delete "except those that have the StrictlyOrdered service class".  Same thing at line 5.</w:t>
            </w:r>
            <w:r w:rsidRPr="00DE7477">
              <w:rPr>
                <w:rFonts w:ascii="Arial" w:eastAsia="Times New Roman" w:hAnsi="Arial" w:cs="Arial"/>
                <w:sz w:val="20"/>
                <w:lang w:val="en-US"/>
              </w:rPr>
              <w:br/>
            </w:r>
            <w:r w:rsidRPr="00DE7477">
              <w:rPr>
                <w:rFonts w:ascii="Arial" w:eastAsia="Times New Roman" w:hAnsi="Arial" w:cs="Arial"/>
                <w:sz w:val="20"/>
                <w:lang w:val="en-US"/>
              </w:rPr>
              <w:br/>
              <w:t>Delete the paragraph at P299.29, discussing two service classes for non-QoS STAs.</w:t>
            </w:r>
            <w:r w:rsidRPr="00DE7477">
              <w:rPr>
                <w:rFonts w:ascii="Arial" w:eastAsia="Times New Roman" w:hAnsi="Arial" w:cs="Arial"/>
                <w:sz w:val="20"/>
                <w:lang w:val="en-US"/>
              </w:rPr>
              <w:br/>
            </w:r>
            <w:r w:rsidRPr="00DE7477">
              <w:rPr>
                <w:rFonts w:ascii="Arial" w:eastAsia="Times New Roman" w:hAnsi="Arial" w:cs="Arial"/>
                <w:sz w:val="20"/>
                <w:lang w:val="en-US"/>
              </w:rPr>
              <w:br/>
              <w:t>At the start of subclause 5.1.1.4, insert a paragraph, "In Non-QoS STAs, the value of the service class parameter in invoked MAC Service Primitives (see 5.2) is ignored.  The value of the service class parameter in generated MAC Service Primitives is set to ReorderableGroupAddressed."</w:t>
            </w:r>
          </w:p>
        </w:tc>
      </w:tr>
    </w:tbl>
    <w:p w14:paraId="583CBBBA" w14:textId="5A4EB854" w:rsidR="00525487" w:rsidRDefault="00525487">
      <w:pPr>
        <w:rPr>
          <w:bCs/>
          <w:szCs w:val="22"/>
        </w:rPr>
      </w:pPr>
    </w:p>
    <w:p w14:paraId="6BD31CD7" w14:textId="7C3B0E6D" w:rsidR="003B03DD" w:rsidRDefault="00556719" w:rsidP="00CD66FA">
      <w:pPr>
        <w:rPr>
          <w:bCs/>
          <w:szCs w:val="22"/>
        </w:rPr>
      </w:pPr>
      <w:r>
        <w:rPr>
          <w:bCs/>
          <w:szCs w:val="22"/>
          <w:u w:val="single"/>
        </w:rPr>
        <w:t>Discussion:</w:t>
      </w:r>
    </w:p>
    <w:p w14:paraId="00A55853" w14:textId="2ADB7AC2" w:rsidR="00556719" w:rsidRDefault="00556719" w:rsidP="00CD66FA">
      <w:pPr>
        <w:rPr>
          <w:bCs/>
          <w:szCs w:val="22"/>
        </w:rPr>
      </w:pPr>
    </w:p>
    <w:p w14:paraId="41012909" w14:textId="490A03B7" w:rsidR="00556719" w:rsidRDefault="00F70BA3" w:rsidP="00CD66FA">
      <w:pPr>
        <w:rPr>
          <w:bCs/>
          <w:szCs w:val="22"/>
        </w:rPr>
      </w:pPr>
      <w:r>
        <w:rPr>
          <w:bCs/>
          <w:szCs w:val="22"/>
        </w:rPr>
        <w:t xml:space="preserve">There are exactly two occurrences of “StrictlyOrdered” (or “strictly ordered”) in the Draft, at the </w:t>
      </w:r>
      <w:r w:rsidR="005C22F6">
        <w:rPr>
          <w:bCs/>
          <w:szCs w:val="22"/>
        </w:rPr>
        <w:t xml:space="preserve">P2187 </w:t>
      </w:r>
      <w:r>
        <w:rPr>
          <w:bCs/>
          <w:szCs w:val="22"/>
        </w:rPr>
        <w:t xml:space="preserve">locations cited in the Proposed Changes.  </w:t>
      </w:r>
    </w:p>
    <w:p w14:paraId="0821CE87" w14:textId="7EC31AED" w:rsidR="00556719" w:rsidRDefault="00556719" w:rsidP="00CD66FA">
      <w:pPr>
        <w:rPr>
          <w:bCs/>
          <w:szCs w:val="22"/>
        </w:rPr>
      </w:pPr>
    </w:p>
    <w:p w14:paraId="1DECE931" w14:textId="60E7B85B" w:rsidR="00F70BA3" w:rsidRPr="005C22F6" w:rsidRDefault="005C22F6" w:rsidP="00CD66FA">
      <w:pPr>
        <w:rPr>
          <w:bCs/>
          <w:noProof/>
          <w:szCs w:val="22"/>
          <w:bdr w:val="single" w:sz="8" w:space="0" w:color="auto" w:shadow="1"/>
        </w:rPr>
      </w:pPr>
      <w:r w:rsidRPr="005C22F6">
        <w:rPr>
          <w:bCs/>
          <w:noProof/>
          <w:szCs w:val="22"/>
          <w:bdr w:val="single" w:sz="8" w:space="0" w:color="auto" w:shadow="1"/>
        </w:rPr>
        <mc:AlternateContent>
          <mc:Choice Requires="wpi">
            <w:drawing>
              <wp:anchor distT="0" distB="0" distL="114300" distR="114300" simplePos="0" relativeHeight="251610624" behindDoc="0" locked="0" layoutInCell="1" allowOverlap="1" wp14:anchorId="34986190" wp14:editId="5AC855D5">
                <wp:simplePos x="0" y="0"/>
                <wp:positionH relativeFrom="column">
                  <wp:posOffset>1584002</wp:posOffset>
                </wp:positionH>
                <wp:positionV relativeFrom="paragraph">
                  <wp:posOffset>743573</wp:posOffset>
                </wp:positionV>
                <wp:extent cx="795600" cy="33840"/>
                <wp:effectExtent l="57150" t="152400" r="24130" b="156845"/>
                <wp:wrapNone/>
                <wp:docPr id="337" name="Ink 337"/>
                <wp:cNvGraphicFramePr/>
                <a:graphic xmlns:a="http://schemas.openxmlformats.org/drawingml/2006/main">
                  <a:graphicData uri="http://schemas.microsoft.com/office/word/2010/wordprocessingInk">
                    <w14:contentPart bwMode="auto" r:id="rId14">
                      <w14:nvContentPartPr>
                        <w14:cNvContentPartPr/>
                      </w14:nvContentPartPr>
                      <w14:xfrm>
                        <a:off x="0" y="0"/>
                        <a:ext cx="795600" cy="33840"/>
                      </w14:xfrm>
                    </w14:contentPart>
                  </a:graphicData>
                </a:graphic>
              </wp:anchor>
            </w:drawing>
          </mc:Choice>
          <mc:Fallback>
            <w:pict>
              <v:shapetype w14:anchorId="4F3428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37" o:spid="_x0000_s1026" type="#_x0000_t75" style="position:absolute;margin-left:120.45pt;margin-top:50.05pt;width:71.2pt;height:19.65pt;z-index:25161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">
                <v:imagedata r:id="rId15" o:title=""/>
              </v:shape>
            </w:pict>
          </mc:Fallback>
        </mc:AlternateContent>
      </w:r>
      <w:r w:rsidRPr="005C22F6">
        <w:rPr>
          <w:bCs/>
          <w:noProof/>
          <w:szCs w:val="22"/>
          <w:bdr w:val="single" w:sz="8" w:space="0" w:color="auto" w:shadow="1"/>
        </w:rPr>
        <mc:AlternateContent>
          <mc:Choice Requires="wpi">
            <w:drawing>
              <wp:anchor distT="0" distB="0" distL="114300" distR="114300" simplePos="0" relativeHeight="251608576" behindDoc="0" locked="0" layoutInCell="1" allowOverlap="1" wp14:anchorId="5046A62F" wp14:editId="4DA1FAC7">
                <wp:simplePos x="0" y="0"/>
                <wp:positionH relativeFrom="column">
                  <wp:posOffset>4790162</wp:posOffset>
                </wp:positionH>
                <wp:positionV relativeFrom="paragraph">
                  <wp:posOffset>251093</wp:posOffset>
                </wp:positionV>
                <wp:extent cx="724320" cy="11880"/>
                <wp:effectExtent l="95250" t="133350" r="114300" b="160020"/>
                <wp:wrapNone/>
                <wp:docPr id="336" name="Ink 336"/>
                <wp:cNvGraphicFramePr/>
                <a:graphic xmlns:a="http://schemas.openxmlformats.org/drawingml/2006/main">
                  <a:graphicData uri="http://schemas.microsoft.com/office/word/2010/wordprocessingInk">
                    <w14:contentPart bwMode="auto" r:id="rId16">
                      <w14:nvContentPartPr>
                        <w14:cNvContentPartPr/>
                      </w14:nvContentPartPr>
                      <w14:xfrm>
                        <a:off x="0" y="0"/>
                        <a:ext cx="724320" cy="11880"/>
                      </w14:xfrm>
                    </w14:contentPart>
                  </a:graphicData>
                </a:graphic>
              </wp:anchor>
            </w:drawing>
          </mc:Choice>
          <mc:Fallback>
            <w:pict>
              <v:shape w14:anchorId="2675E15D" id="Ink 336" o:spid="_x0000_s1026" type="#_x0000_t75" style="position:absolute;margin-left:372.95pt;margin-top:11.25pt;width:65.55pt;height:17.95pt;z-index:25160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">
                <v:imagedata r:id="rId17" o:title=""/>
              </v:shape>
            </w:pict>
          </mc:Fallback>
        </mc:AlternateContent>
      </w:r>
      <w:r w:rsidRPr="005C22F6">
        <w:rPr>
          <w:bCs/>
          <w:noProof/>
          <w:szCs w:val="22"/>
          <w:bdr w:val="single" w:sz="8" w:space="0" w:color="auto" w:shadow="1"/>
        </w:rPr>
        <w:drawing>
          <wp:inline distT="0" distB="0" distL="0" distR="0" wp14:anchorId="08C982DD" wp14:editId="6962E931">
            <wp:extent cx="6035040" cy="1005840"/>
            <wp:effectExtent l="0" t="0" r="3810" b="381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5040" cy="1005840"/>
                    </a:xfrm>
                    <a:prstGeom prst="rect">
                      <a:avLst/>
                    </a:prstGeom>
                    <a:noFill/>
                    <a:ln>
                      <a:noFill/>
                    </a:ln>
                  </pic:spPr>
                </pic:pic>
              </a:graphicData>
            </a:graphic>
          </wp:inline>
        </w:drawing>
      </w:r>
    </w:p>
    <w:p w14:paraId="341068C5" w14:textId="5291A11F" w:rsidR="005C22F6" w:rsidRDefault="005C22F6" w:rsidP="00CD66FA">
      <w:pPr>
        <w:rPr>
          <w:bCs/>
          <w:szCs w:val="22"/>
        </w:rPr>
      </w:pPr>
    </w:p>
    <w:p w14:paraId="37DF0CD0" w14:textId="167F7A59" w:rsidR="005C22F6" w:rsidRDefault="005C22F6" w:rsidP="00CD66FA">
      <w:pPr>
        <w:rPr>
          <w:bCs/>
          <w:szCs w:val="22"/>
        </w:rPr>
      </w:pPr>
      <w:r>
        <w:rPr>
          <w:bCs/>
          <w:szCs w:val="22"/>
        </w:rPr>
        <w:t>The cited locations on P299 (subclause 5.1.1.1) and in 5.1.1.4 are the only locations that discuss the concept “service class” for non-QoS STAs, without a restriction that only “ReorderableGroupAddressed” is allowed.  So, these two locations are the only other places that need to be modified to complete the restriction to only “ReorderableGroupAddressed” service class for non-QoS STAs.</w:t>
      </w:r>
    </w:p>
    <w:p w14:paraId="33857369" w14:textId="2007C757" w:rsidR="005C22F6" w:rsidRDefault="005C22F6" w:rsidP="00CD66FA">
      <w:pPr>
        <w:rPr>
          <w:bCs/>
          <w:szCs w:val="22"/>
        </w:rPr>
      </w:pPr>
    </w:p>
    <w:p w14:paraId="6577120B" w14:textId="7993F576" w:rsidR="005C22F6" w:rsidRDefault="005C22F6" w:rsidP="00CD66FA">
      <w:pPr>
        <w:rPr>
          <w:bCs/>
          <w:szCs w:val="22"/>
        </w:rPr>
      </w:pPr>
      <w:r>
        <w:rPr>
          <w:bCs/>
          <w:szCs w:val="22"/>
        </w:rPr>
        <w:t>The paragraph at P299.29:</w:t>
      </w:r>
    </w:p>
    <w:p w14:paraId="29096577" w14:textId="027B068E" w:rsidR="00F70BA3" w:rsidRPr="005C22F6" w:rsidRDefault="005C22F6" w:rsidP="00CD66FA">
      <w:pPr>
        <w:rPr>
          <w:bCs/>
          <w:noProof/>
          <w:szCs w:val="22"/>
          <w:bdr w:val="single" w:sz="8" w:space="0" w:color="auto" w:shadow="1"/>
        </w:rPr>
      </w:pPr>
      <w:r w:rsidRPr="005C22F6">
        <w:rPr>
          <w:bCs/>
          <w:noProof/>
          <w:szCs w:val="22"/>
          <w:bdr w:val="single" w:sz="8" w:space="0" w:color="auto" w:shadow="1"/>
        </w:rPr>
        <w:drawing>
          <wp:inline distT="0" distB="0" distL="0" distR="0" wp14:anchorId="7D8E6E46" wp14:editId="5CF6C89D">
            <wp:extent cx="5981700" cy="66675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1700" cy="666750"/>
                    </a:xfrm>
                    <a:prstGeom prst="rect">
                      <a:avLst/>
                    </a:prstGeom>
                    <a:noFill/>
                    <a:ln>
                      <a:noFill/>
                    </a:ln>
                  </pic:spPr>
                </pic:pic>
              </a:graphicData>
            </a:graphic>
          </wp:inline>
        </w:drawing>
      </w:r>
    </w:p>
    <w:p w14:paraId="6F93490B" w14:textId="417E9BF5" w:rsidR="005C22F6" w:rsidRDefault="005C22F6" w:rsidP="00CD66FA">
      <w:pPr>
        <w:rPr>
          <w:bCs/>
          <w:szCs w:val="22"/>
        </w:rPr>
      </w:pPr>
      <w:r>
        <w:rPr>
          <w:bCs/>
          <w:szCs w:val="22"/>
        </w:rPr>
        <w:t>Note that this paragraph say “as discussed in more detail below”, except it is not discussed below (that has been removed already).</w:t>
      </w:r>
    </w:p>
    <w:p w14:paraId="3131D9DA" w14:textId="0EDE28C2" w:rsidR="005C22F6" w:rsidRDefault="005C22F6" w:rsidP="00CD66FA">
      <w:pPr>
        <w:rPr>
          <w:bCs/>
          <w:szCs w:val="22"/>
        </w:rPr>
      </w:pPr>
    </w:p>
    <w:p w14:paraId="7BCE494E" w14:textId="0CC3DC35" w:rsidR="005C22F6" w:rsidRDefault="005C22F6" w:rsidP="00CD66FA">
      <w:pPr>
        <w:rPr>
          <w:bCs/>
          <w:szCs w:val="22"/>
        </w:rPr>
      </w:pPr>
      <w:r>
        <w:rPr>
          <w:bCs/>
          <w:szCs w:val="22"/>
        </w:rPr>
        <w:t xml:space="preserve">Subclause 5.1.1.4 is where the service class parameter </w:t>
      </w:r>
      <w:r w:rsidR="00AA3B9E">
        <w:rPr>
          <w:bCs/>
          <w:szCs w:val="22"/>
        </w:rPr>
        <w:t>to the MAC SAP is discussed:</w:t>
      </w:r>
    </w:p>
    <w:p w14:paraId="0C66AE38" w14:textId="065A00E4" w:rsidR="005C22F6" w:rsidRPr="005C22F6" w:rsidRDefault="005C22F6" w:rsidP="00CD66FA">
      <w:pPr>
        <w:rPr>
          <w:bCs/>
          <w:noProof/>
          <w:szCs w:val="22"/>
          <w:bdr w:val="single" w:sz="8" w:space="0" w:color="auto" w:shadow="1"/>
        </w:rPr>
      </w:pPr>
      <w:r w:rsidRPr="005C22F6">
        <w:rPr>
          <w:bCs/>
          <w:noProof/>
          <w:szCs w:val="22"/>
          <w:bdr w:val="single" w:sz="8" w:space="0" w:color="auto" w:shadow="1"/>
        </w:rPr>
        <w:lastRenderedPageBreak/>
        <w:drawing>
          <wp:inline distT="0" distB="0" distL="0" distR="0" wp14:anchorId="3190F308" wp14:editId="2D6231DF">
            <wp:extent cx="6115685" cy="2660015"/>
            <wp:effectExtent l="0" t="0" r="0" b="698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685" cy="2660015"/>
                    </a:xfrm>
                    <a:prstGeom prst="rect">
                      <a:avLst/>
                    </a:prstGeom>
                    <a:noFill/>
                    <a:ln>
                      <a:noFill/>
                    </a:ln>
                  </pic:spPr>
                </pic:pic>
              </a:graphicData>
            </a:graphic>
          </wp:inline>
        </w:drawing>
      </w:r>
    </w:p>
    <w:p w14:paraId="45E0E280" w14:textId="2AE5015D" w:rsidR="005C22F6" w:rsidRPr="005C22F6" w:rsidRDefault="005C22F6" w:rsidP="00CD66FA">
      <w:pPr>
        <w:rPr>
          <w:bCs/>
          <w:noProof/>
          <w:szCs w:val="22"/>
          <w:bdr w:val="single" w:sz="8" w:space="0" w:color="auto" w:shadow="1"/>
        </w:rPr>
      </w:pPr>
      <w:r w:rsidRPr="005C22F6">
        <w:rPr>
          <w:bCs/>
          <w:noProof/>
          <w:szCs w:val="22"/>
          <w:bdr w:val="single" w:sz="8" w:space="0" w:color="auto" w:shadow="1"/>
        </w:rPr>
        <w:drawing>
          <wp:inline distT="0" distB="0" distL="0" distR="0" wp14:anchorId="05911D25" wp14:editId="7845DABA">
            <wp:extent cx="5991225" cy="1840865"/>
            <wp:effectExtent l="0" t="0" r="9525" b="698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1225" cy="1840865"/>
                    </a:xfrm>
                    <a:prstGeom prst="rect">
                      <a:avLst/>
                    </a:prstGeom>
                    <a:noFill/>
                    <a:ln>
                      <a:noFill/>
                    </a:ln>
                  </pic:spPr>
                </pic:pic>
              </a:graphicData>
            </a:graphic>
          </wp:inline>
        </w:drawing>
      </w:r>
    </w:p>
    <w:p w14:paraId="6FD8A885" w14:textId="50E397D9" w:rsidR="005C22F6" w:rsidRDefault="005C22F6" w:rsidP="00CD66FA">
      <w:pPr>
        <w:rPr>
          <w:bCs/>
          <w:szCs w:val="22"/>
        </w:rPr>
      </w:pPr>
    </w:p>
    <w:p w14:paraId="46453B52" w14:textId="4967CA89" w:rsidR="00AA3B9E" w:rsidRDefault="00AA3B9E" w:rsidP="00CD66FA">
      <w:pPr>
        <w:rPr>
          <w:bCs/>
          <w:szCs w:val="22"/>
        </w:rPr>
      </w:pPr>
      <w:r>
        <w:rPr>
          <w:bCs/>
          <w:szCs w:val="22"/>
        </w:rPr>
        <w:t xml:space="preserve">The last paragraph of this subclause deals with receiving a non-QoS Data frame.  This could be in the context of a non-QoS STA receiving the frame, or a QoS STA receiving the frame.  The current text seems correct for a QoS STA receiving the frame.  But a non-QoS STA receiving the frame needs to yield a value of service class in the indication primitive that is understood by the non-QoS upper layers.  </w:t>
      </w:r>
    </w:p>
    <w:p w14:paraId="2DD1C509" w14:textId="6380A6E2" w:rsidR="00AA3B9E" w:rsidRDefault="00AA3B9E" w:rsidP="00CD66FA">
      <w:pPr>
        <w:rPr>
          <w:bCs/>
          <w:szCs w:val="22"/>
        </w:rPr>
      </w:pPr>
    </w:p>
    <w:p w14:paraId="598F2A48" w14:textId="4279B5FF" w:rsidR="00AA3B9E" w:rsidRDefault="00AA3B9E" w:rsidP="00CD66FA">
      <w:pPr>
        <w:rPr>
          <w:bCs/>
          <w:szCs w:val="22"/>
        </w:rPr>
      </w:pPr>
      <w:r>
        <w:rPr>
          <w:bCs/>
          <w:szCs w:val="22"/>
        </w:rPr>
        <w:t>Thus, the Proposed Changes appear correct.  But, for completeness, it would be better to note in the last paragraph of 5.1.1.4 that the existing text applies if the non-QoS Data frame is received at a QoS STA.  And, then, for clarity, the new text about a non-QoS STA receiving such a frame should be located here (at the end of the subclause, not the beginning).</w:t>
      </w:r>
    </w:p>
    <w:p w14:paraId="5247C7BC" w14:textId="26C657CE" w:rsidR="00D749F3" w:rsidRDefault="00D749F3" w:rsidP="00CD66FA">
      <w:pPr>
        <w:rPr>
          <w:bCs/>
          <w:szCs w:val="22"/>
        </w:rPr>
      </w:pPr>
    </w:p>
    <w:p w14:paraId="222351E1" w14:textId="0CF118AF" w:rsidR="00D749F3" w:rsidRDefault="00D749F3" w:rsidP="00CD66FA">
      <w:pPr>
        <w:rPr>
          <w:bCs/>
          <w:szCs w:val="22"/>
        </w:rPr>
      </w:pPr>
      <w:r w:rsidRPr="00D749F3">
        <w:rPr>
          <w:bCs/>
          <w:szCs w:val="22"/>
          <w:highlight w:val="cyan"/>
        </w:rPr>
        <w:t>Also, one straggling vestige of strictly ordered is the +HTC/Order bit in the Frame Control header of control frames in some cases, as shown in Figure 9-27.  The use of this bit position as a “+HTC/Order” subfield, rather than just a “+HTC” subfield was removed previously, but the field in Figure 9-27 was missed.</w:t>
      </w:r>
    </w:p>
    <w:p w14:paraId="55D690B3" w14:textId="237A0CAE" w:rsidR="00AA3B9E" w:rsidRDefault="00AA3B9E" w:rsidP="00CD66FA">
      <w:pPr>
        <w:rPr>
          <w:bCs/>
          <w:szCs w:val="22"/>
        </w:rPr>
      </w:pPr>
    </w:p>
    <w:p w14:paraId="1C452709" w14:textId="14027B6E" w:rsidR="00AA3B9E" w:rsidRDefault="00AA3B9E" w:rsidP="00CD66FA">
      <w:pPr>
        <w:rPr>
          <w:bCs/>
          <w:szCs w:val="22"/>
        </w:rPr>
      </w:pPr>
      <w:r>
        <w:rPr>
          <w:bCs/>
          <w:szCs w:val="22"/>
          <w:u w:val="single"/>
        </w:rPr>
        <w:t>Proposed Resolution:</w:t>
      </w:r>
    </w:p>
    <w:p w14:paraId="3E45D931" w14:textId="18AA096A" w:rsidR="00AA3B9E" w:rsidRDefault="00AA3B9E" w:rsidP="00CD66FA">
      <w:pPr>
        <w:rPr>
          <w:bCs/>
          <w:szCs w:val="22"/>
        </w:rPr>
      </w:pPr>
    </w:p>
    <w:p w14:paraId="4E37EE77" w14:textId="36798D55" w:rsidR="00AA3B9E" w:rsidRDefault="00AA3B9E" w:rsidP="00CD66FA">
      <w:pPr>
        <w:rPr>
          <w:bCs/>
          <w:szCs w:val="22"/>
        </w:rPr>
      </w:pPr>
      <w:r>
        <w:rPr>
          <w:bCs/>
          <w:szCs w:val="22"/>
        </w:rPr>
        <w:t>Revised.</w:t>
      </w:r>
    </w:p>
    <w:p w14:paraId="702FB5CA" w14:textId="715E0442" w:rsidR="00AA3B9E" w:rsidRDefault="00AA3B9E" w:rsidP="00CD66FA">
      <w:pPr>
        <w:rPr>
          <w:bCs/>
          <w:szCs w:val="22"/>
        </w:rPr>
      </w:pPr>
    </w:p>
    <w:p w14:paraId="08C8BF6D" w14:textId="6AE19214" w:rsidR="00AA3B9E" w:rsidRPr="00AA3B9E" w:rsidRDefault="00AA3B9E" w:rsidP="00AA3B9E">
      <w:pPr>
        <w:rPr>
          <w:bCs/>
          <w:szCs w:val="22"/>
        </w:rPr>
      </w:pPr>
      <w:r>
        <w:rPr>
          <w:bCs/>
          <w:szCs w:val="22"/>
        </w:rPr>
        <w:t xml:space="preserve">At </w:t>
      </w:r>
      <w:r w:rsidRPr="00AA3B9E">
        <w:rPr>
          <w:bCs/>
          <w:szCs w:val="22"/>
        </w:rPr>
        <w:t>2187.02, delete "except those that have the StrictlyOrdered service class".  Same thing at line 5.</w:t>
      </w:r>
    </w:p>
    <w:p w14:paraId="18647B23" w14:textId="77777777" w:rsidR="00AA3B9E" w:rsidRPr="00AA3B9E" w:rsidRDefault="00AA3B9E" w:rsidP="00AA3B9E">
      <w:pPr>
        <w:rPr>
          <w:bCs/>
          <w:szCs w:val="22"/>
        </w:rPr>
      </w:pPr>
    </w:p>
    <w:p w14:paraId="61D4AC94" w14:textId="77777777" w:rsidR="00AA3B9E" w:rsidRPr="00AA3B9E" w:rsidRDefault="00AA3B9E" w:rsidP="00AA3B9E">
      <w:pPr>
        <w:rPr>
          <w:bCs/>
          <w:szCs w:val="22"/>
        </w:rPr>
      </w:pPr>
      <w:r w:rsidRPr="00AA3B9E">
        <w:rPr>
          <w:bCs/>
          <w:szCs w:val="22"/>
        </w:rPr>
        <w:t>Delete the paragraph at P299.29, discussing two service classes for non-QoS STAs.</w:t>
      </w:r>
    </w:p>
    <w:p w14:paraId="36ED92D1" w14:textId="7E428EED" w:rsidR="00AA3B9E" w:rsidRDefault="00AA3B9E" w:rsidP="00AA3B9E">
      <w:pPr>
        <w:rPr>
          <w:bCs/>
          <w:szCs w:val="22"/>
        </w:rPr>
      </w:pPr>
    </w:p>
    <w:p w14:paraId="5A7210A2" w14:textId="02E0B781" w:rsidR="00AA3B9E" w:rsidRDefault="00AA3B9E" w:rsidP="00AA3B9E">
      <w:pPr>
        <w:rPr>
          <w:bCs/>
          <w:szCs w:val="22"/>
        </w:rPr>
      </w:pPr>
      <w:r>
        <w:rPr>
          <w:bCs/>
          <w:szCs w:val="22"/>
        </w:rPr>
        <w:t>In the (currently) last paragraph of 5.1.1.4, change “from a STA” to “at a QoS STA from any other STA”.</w:t>
      </w:r>
    </w:p>
    <w:p w14:paraId="25D3702E" w14:textId="77777777" w:rsidR="00AA3B9E" w:rsidRPr="00AA3B9E" w:rsidRDefault="00AA3B9E" w:rsidP="00AA3B9E">
      <w:pPr>
        <w:rPr>
          <w:bCs/>
          <w:szCs w:val="22"/>
        </w:rPr>
      </w:pPr>
    </w:p>
    <w:p w14:paraId="3ED65E2C" w14:textId="6EF8BB93" w:rsidR="00AA3B9E" w:rsidRDefault="00AA3B9E" w:rsidP="00AA3B9E">
      <w:pPr>
        <w:rPr>
          <w:bCs/>
          <w:szCs w:val="22"/>
        </w:rPr>
      </w:pPr>
      <w:r w:rsidRPr="00AA3B9E">
        <w:rPr>
          <w:bCs/>
          <w:szCs w:val="22"/>
        </w:rPr>
        <w:lastRenderedPageBreak/>
        <w:t xml:space="preserve">At the </w:t>
      </w:r>
      <w:r>
        <w:rPr>
          <w:bCs/>
          <w:szCs w:val="22"/>
        </w:rPr>
        <w:t>end</w:t>
      </w:r>
      <w:r w:rsidRPr="00AA3B9E">
        <w:rPr>
          <w:bCs/>
          <w:szCs w:val="22"/>
        </w:rPr>
        <w:t xml:space="preserve"> of subclause 5.1.1.4, insert a paragraph, "I</w:t>
      </w:r>
      <w:r w:rsidRPr="009D73CE">
        <w:rPr>
          <w:bCs/>
          <w:szCs w:val="22"/>
        </w:rPr>
        <w:t xml:space="preserve">n </w:t>
      </w:r>
      <w:r w:rsidR="009D73CE" w:rsidRPr="009D73CE">
        <w:rPr>
          <w:bCs/>
          <w:szCs w:val="22"/>
          <w:highlight w:val="cyan"/>
        </w:rPr>
        <w:t>n</w:t>
      </w:r>
      <w:r w:rsidRPr="009D73CE">
        <w:rPr>
          <w:bCs/>
          <w:szCs w:val="22"/>
        </w:rPr>
        <w:t>on-Qo</w:t>
      </w:r>
      <w:r w:rsidRPr="00AA3B9E">
        <w:rPr>
          <w:bCs/>
          <w:szCs w:val="22"/>
        </w:rPr>
        <w:t xml:space="preserve">S STAs, the value of the service class parameter in invoked MAC </w:t>
      </w:r>
      <w:r w:rsidR="009D73CE" w:rsidRPr="009D73CE">
        <w:rPr>
          <w:bCs/>
          <w:szCs w:val="22"/>
          <w:highlight w:val="cyan"/>
        </w:rPr>
        <w:t>s</w:t>
      </w:r>
      <w:r w:rsidRPr="00AA3B9E">
        <w:rPr>
          <w:bCs/>
          <w:szCs w:val="22"/>
        </w:rPr>
        <w:t xml:space="preserve">ervice </w:t>
      </w:r>
      <w:r w:rsidR="009D73CE" w:rsidRPr="009D73CE">
        <w:rPr>
          <w:bCs/>
          <w:szCs w:val="22"/>
          <w:highlight w:val="cyan"/>
        </w:rPr>
        <w:t>p</w:t>
      </w:r>
      <w:r w:rsidRPr="00AA3B9E">
        <w:rPr>
          <w:bCs/>
          <w:szCs w:val="22"/>
        </w:rPr>
        <w:t xml:space="preserve">rimitives (see 5.2) is ignored.  The value of the service class parameter in generated MAC </w:t>
      </w:r>
      <w:r w:rsidR="009D73CE" w:rsidRPr="009D73CE">
        <w:rPr>
          <w:bCs/>
          <w:szCs w:val="22"/>
          <w:highlight w:val="cyan"/>
        </w:rPr>
        <w:t>s</w:t>
      </w:r>
      <w:r w:rsidRPr="00AA3B9E">
        <w:rPr>
          <w:bCs/>
          <w:szCs w:val="22"/>
        </w:rPr>
        <w:t xml:space="preserve">ervice </w:t>
      </w:r>
      <w:r w:rsidR="009D73CE" w:rsidRPr="009D73CE">
        <w:rPr>
          <w:bCs/>
          <w:szCs w:val="22"/>
          <w:highlight w:val="cyan"/>
        </w:rPr>
        <w:t>p</w:t>
      </w:r>
      <w:r w:rsidRPr="00AA3B9E">
        <w:rPr>
          <w:bCs/>
          <w:szCs w:val="22"/>
        </w:rPr>
        <w:t>rimitives is set to ReorderableGroupAddressed."</w:t>
      </w:r>
    </w:p>
    <w:p w14:paraId="4FD1F07B" w14:textId="440374ED" w:rsidR="00D749F3" w:rsidRDefault="00D749F3" w:rsidP="00AA3B9E">
      <w:pPr>
        <w:rPr>
          <w:bCs/>
          <w:szCs w:val="22"/>
        </w:rPr>
      </w:pPr>
    </w:p>
    <w:p w14:paraId="53A9848F" w14:textId="2AC397C6" w:rsidR="00D749F3" w:rsidRPr="00AA3B9E" w:rsidRDefault="00D749F3" w:rsidP="00AA3B9E">
      <w:pPr>
        <w:rPr>
          <w:bCs/>
          <w:szCs w:val="22"/>
        </w:rPr>
      </w:pPr>
      <w:r w:rsidRPr="00D749F3">
        <w:rPr>
          <w:bCs/>
          <w:szCs w:val="22"/>
          <w:highlight w:val="cyan"/>
        </w:rPr>
        <w:t>In Figure 9-27, change the subfield “+HTC/Order” to be “+HTC”.</w:t>
      </w:r>
    </w:p>
    <w:p w14:paraId="67BEDE21" w14:textId="205C7F3E" w:rsidR="00556719" w:rsidRDefault="00556719">
      <w:pPr>
        <w:rPr>
          <w:bCs/>
          <w:szCs w:val="22"/>
        </w:rPr>
      </w:pPr>
      <w:r>
        <w:rPr>
          <w:bCs/>
          <w:szCs w:val="22"/>
        </w:rPr>
        <w:br w:type="page"/>
      </w:r>
    </w:p>
    <w:p w14:paraId="178A2C8A" w14:textId="77777777" w:rsidR="00556719" w:rsidRPr="00556719" w:rsidRDefault="00556719" w:rsidP="00CD66FA">
      <w:pPr>
        <w:rPr>
          <w:bCs/>
          <w:szCs w:val="22"/>
        </w:rPr>
      </w:pPr>
    </w:p>
    <w:p w14:paraId="290EBE6A" w14:textId="79C9145B" w:rsidR="00F13906" w:rsidRPr="00F13906" w:rsidRDefault="00F13906" w:rsidP="00EF4D4B">
      <w:pPr>
        <w:rPr>
          <w:b/>
          <w:sz w:val="40"/>
        </w:rPr>
      </w:pPr>
      <w:r w:rsidRPr="00F13906">
        <w:rPr>
          <w:b/>
          <w:sz w:val="40"/>
        </w:rPr>
        <w:t>Marked as “Insufficient detail”, until/unless a submission is provided:</w:t>
      </w:r>
    </w:p>
    <w:p w14:paraId="321EE012" w14:textId="77777777" w:rsidR="00F13906" w:rsidRDefault="00F13906" w:rsidP="00EF4D4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13906" w:rsidRPr="007837C2" w14:paraId="323A41D7" w14:textId="77777777" w:rsidTr="000B2985">
        <w:trPr>
          <w:trHeight w:val="524"/>
        </w:trPr>
        <w:tc>
          <w:tcPr>
            <w:tcW w:w="738" w:type="dxa"/>
            <w:hideMark/>
          </w:tcPr>
          <w:p w14:paraId="4A02121C" w14:textId="77777777" w:rsidR="00F13906" w:rsidRPr="007837C2" w:rsidRDefault="00F13906" w:rsidP="000B2985">
            <w:pPr>
              <w:autoSpaceDE w:val="0"/>
              <w:autoSpaceDN w:val="0"/>
              <w:adjustRightInd w:val="0"/>
              <w:rPr>
                <w:rFonts w:ascii="Arial" w:hAnsi="Arial" w:cs="Arial"/>
                <w:b/>
                <w:bCs/>
                <w:sz w:val="20"/>
                <w:lang w:eastAsia="ja-JP" w:bidi="he-IL"/>
              </w:rPr>
            </w:pPr>
            <w:bookmarkStart w:id="2" w:name="_Hlk18602778"/>
            <w:r w:rsidRPr="007837C2">
              <w:rPr>
                <w:rFonts w:ascii="Arial" w:hAnsi="Arial" w:cs="Arial"/>
                <w:b/>
                <w:bCs/>
                <w:sz w:val="20"/>
                <w:lang w:eastAsia="ja-JP" w:bidi="he-IL"/>
              </w:rPr>
              <w:t>CID</w:t>
            </w:r>
          </w:p>
        </w:tc>
        <w:tc>
          <w:tcPr>
            <w:tcW w:w="990" w:type="dxa"/>
            <w:hideMark/>
          </w:tcPr>
          <w:p w14:paraId="4C7D9EDA"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A43F381"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E15B53"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797996"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bookmarkEnd w:id="2"/>
    </w:tbl>
    <w:p w14:paraId="11C8BF44" w14:textId="2DA2991A" w:rsidR="00EF4D4B" w:rsidRDefault="00EF4D4B" w:rsidP="00EF4D4B"/>
    <w:p w14:paraId="17491260" w14:textId="77777777" w:rsidR="004D540D" w:rsidRDefault="004D540D" w:rsidP="00EF4D4B"/>
    <w:p w14:paraId="20B82079" w14:textId="77777777" w:rsidR="007F078C" w:rsidRDefault="004D540D" w:rsidP="004D540D">
      <w:pPr>
        <w:rPr>
          <w:b/>
          <w:sz w:val="20"/>
        </w:rPr>
      </w:pPr>
      <w:r>
        <w:rPr>
          <w:b/>
          <w:sz w:val="20"/>
        </w:rPr>
        <w:br w:type="page"/>
      </w:r>
    </w:p>
    <w:p w14:paraId="2C440011" w14:textId="77777777" w:rsidR="00C45154" w:rsidRDefault="00C45154" w:rsidP="00C45154">
      <w:pPr>
        <w:rPr>
          <w:b/>
          <w:sz w:val="40"/>
        </w:rPr>
      </w:pPr>
      <w:r>
        <w:rPr>
          <w:b/>
          <w:sz w:val="40"/>
        </w:rPr>
        <w:lastRenderedPageBreak/>
        <w:t>Not ready for review, yet:</w:t>
      </w:r>
    </w:p>
    <w:p w14:paraId="47C36856" w14:textId="77777777" w:rsidR="00C45154" w:rsidRDefault="00C45154" w:rsidP="00C4515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56719" w14:paraId="2EDA750D"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3681E8BD"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0CA6E95"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1010E63"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091D804"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618C214"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DE7477" w:rsidRPr="00DE7477" w14:paraId="39155B30" w14:textId="77777777" w:rsidTr="00DE7477">
        <w:trPr>
          <w:trHeight w:val="1275"/>
        </w:trPr>
        <w:tc>
          <w:tcPr>
            <w:tcW w:w="738" w:type="dxa"/>
            <w:hideMark/>
          </w:tcPr>
          <w:p w14:paraId="0FD111D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4808</w:t>
            </w:r>
          </w:p>
        </w:tc>
        <w:tc>
          <w:tcPr>
            <w:tcW w:w="990" w:type="dxa"/>
            <w:hideMark/>
          </w:tcPr>
          <w:p w14:paraId="62A57071"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1543.10</w:t>
            </w:r>
          </w:p>
        </w:tc>
        <w:tc>
          <w:tcPr>
            <w:tcW w:w="1080" w:type="dxa"/>
            <w:hideMark/>
          </w:tcPr>
          <w:p w14:paraId="7FD7800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9.6.7.16</w:t>
            </w:r>
          </w:p>
        </w:tc>
        <w:tc>
          <w:tcPr>
            <w:tcW w:w="3600" w:type="dxa"/>
            <w:hideMark/>
          </w:tcPr>
          <w:p w14:paraId="0956A83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RSNE, and FTE, are not "optionally present" if security is required.  They _are_ present if security is required.</w:t>
            </w:r>
          </w:p>
        </w:tc>
        <w:tc>
          <w:tcPr>
            <w:tcW w:w="3600" w:type="dxa"/>
            <w:hideMark/>
          </w:tcPr>
          <w:p w14:paraId="5C80179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"optionally" at P1543.10 and P1543.18.</w:t>
            </w:r>
          </w:p>
        </w:tc>
      </w:tr>
      <w:tr w:rsidR="00DE7477" w:rsidRPr="00DE7477" w14:paraId="44884A2A" w14:textId="77777777" w:rsidTr="00DE7477">
        <w:trPr>
          <w:trHeight w:val="1530"/>
        </w:trPr>
        <w:tc>
          <w:tcPr>
            <w:tcW w:w="738" w:type="dxa"/>
            <w:hideMark/>
          </w:tcPr>
          <w:p w14:paraId="035812C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4806</w:t>
            </w:r>
          </w:p>
        </w:tc>
        <w:tc>
          <w:tcPr>
            <w:tcW w:w="990" w:type="dxa"/>
            <w:hideMark/>
          </w:tcPr>
          <w:p w14:paraId="64D5746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2235.37</w:t>
            </w:r>
          </w:p>
        </w:tc>
        <w:tc>
          <w:tcPr>
            <w:tcW w:w="1080" w:type="dxa"/>
            <w:hideMark/>
          </w:tcPr>
          <w:p w14:paraId="6BDF3C8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6E22E2B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Sub-bullet (2) requires allocation of multiple, distinct AIDs for the STAs in the MMS element.  How is this allocation communicated back to those STAs?</w:t>
            </w:r>
          </w:p>
        </w:tc>
        <w:tc>
          <w:tcPr>
            <w:tcW w:w="3600" w:type="dxa"/>
            <w:hideMark/>
          </w:tcPr>
          <w:p w14:paraId="4B6032C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Add facility (Association Response frame contents, and MLME-ASSOCIATE.response parameter) to communicate these AIDs back to the peer.</w:t>
            </w:r>
          </w:p>
        </w:tc>
      </w:tr>
      <w:tr w:rsidR="00DE7477" w:rsidRPr="00DE7477" w14:paraId="476B710A" w14:textId="77777777" w:rsidTr="00DE7477">
        <w:trPr>
          <w:trHeight w:val="6375"/>
        </w:trPr>
        <w:tc>
          <w:tcPr>
            <w:tcW w:w="738" w:type="dxa"/>
            <w:hideMark/>
          </w:tcPr>
          <w:p w14:paraId="3B92199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4805</w:t>
            </w:r>
          </w:p>
        </w:tc>
        <w:tc>
          <w:tcPr>
            <w:tcW w:w="990" w:type="dxa"/>
            <w:hideMark/>
          </w:tcPr>
          <w:p w14:paraId="6EED1BCF"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2235.34</w:t>
            </w:r>
          </w:p>
        </w:tc>
        <w:tc>
          <w:tcPr>
            <w:tcW w:w="1080" w:type="dxa"/>
            <w:hideMark/>
          </w:tcPr>
          <w:p w14:paraId="1950BF8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49CF492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This text requires an MMS element be passed to the MLME-ASSOCIATION.response (sic), under some circumstances.  The MLME-ASSOCIATE.response primitive has no such parameter.  Add it.</w:t>
            </w:r>
          </w:p>
        </w:tc>
        <w:tc>
          <w:tcPr>
            <w:tcW w:w="3600" w:type="dxa"/>
            <w:hideMark/>
          </w:tcPr>
          <w:p w14:paraId="3036F54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Insert a row for an MMS paramter in the parameters table for the MLME-ASSOCIATE.response.  Match the contents to the MMS row in the parameters Table in the MLME-ASSOCIATE.request, except change the Description to "Specifies the parameters within the Multiple MAC Sublayers element that are supported by the MAC entity, and were received from the MM-SME coordinated STA. The parameter is present if dot11MultipleMACActivated is</w:t>
            </w:r>
            <w:r w:rsidRPr="00DE7477">
              <w:rPr>
                <w:rFonts w:ascii="Arial" w:eastAsia="Times New Roman" w:hAnsi="Arial" w:cs="Arial"/>
                <w:sz w:val="20"/>
                <w:lang w:val="en-US"/>
              </w:rPr>
              <w:br/>
              <w:t>true and the corresponding MLME-ASSOCIATE.indication primitive included an MMS parameter, and is absent otherwise."</w:t>
            </w:r>
          </w:p>
        </w:tc>
      </w:tr>
      <w:tr w:rsidR="00DE7477" w:rsidRPr="00DE7477" w14:paraId="5420AA88" w14:textId="77777777" w:rsidTr="00DE7477">
        <w:trPr>
          <w:trHeight w:val="3060"/>
        </w:trPr>
        <w:tc>
          <w:tcPr>
            <w:tcW w:w="738" w:type="dxa"/>
            <w:hideMark/>
          </w:tcPr>
          <w:p w14:paraId="7FDC6FD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4802</w:t>
            </w:r>
          </w:p>
        </w:tc>
        <w:tc>
          <w:tcPr>
            <w:tcW w:w="990" w:type="dxa"/>
            <w:hideMark/>
          </w:tcPr>
          <w:p w14:paraId="46BB517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1056.02</w:t>
            </w:r>
          </w:p>
        </w:tc>
        <w:tc>
          <w:tcPr>
            <w:tcW w:w="1080" w:type="dxa"/>
            <w:hideMark/>
          </w:tcPr>
          <w:p w14:paraId="1B310B4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9.4.2.21.7</w:t>
            </w:r>
          </w:p>
        </w:tc>
        <w:tc>
          <w:tcPr>
            <w:tcW w:w="3600" w:type="dxa"/>
            <w:hideMark/>
          </w:tcPr>
          <w:p w14:paraId="438ACD2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While considerably less likely, it is still possible for a beacon Measurement Report's Reported Frame Body to exceed the maximum element size, even for Reporting Detail type 1.  Recommend moving this text about truncating elements and/or using fragmentation (when supported) to apply in all cases.</w:t>
            </w:r>
          </w:p>
        </w:tc>
        <w:tc>
          <w:tcPr>
            <w:tcW w:w="3600" w:type="dxa"/>
            <w:hideMark/>
          </w:tcPr>
          <w:p w14:paraId="3EEE398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Break the paragraph into two, after the first sentence (at the full stop on line 2).  Start the new paragraph with, "Some elements in the Reported Frame Body subelement, or the Reported Frame Body subelement itself, might be large."</w:t>
            </w:r>
          </w:p>
        </w:tc>
      </w:tr>
      <w:tr w:rsidR="00DE7477" w:rsidRPr="00DE7477" w14:paraId="01B6CF0D" w14:textId="77777777" w:rsidTr="00DE7477">
        <w:trPr>
          <w:trHeight w:val="2040"/>
        </w:trPr>
        <w:tc>
          <w:tcPr>
            <w:tcW w:w="738" w:type="dxa"/>
            <w:hideMark/>
          </w:tcPr>
          <w:p w14:paraId="043B04B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4799</w:t>
            </w:r>
          </w:p>
        </w:tc>
        <w:tc>
          <w:tcPr>
            <w:tcW w:w="990" w:type="dxa"/>
            <w:hideMark/>
          </w:tcPr>
          <w:p w14:paraId="67319EA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2153.65</w:t>
            </w:r>
          </w:p>
        </w:tc>
        <w:tc>
          <w:tcPr>
            <w:tcW w:w="1080" w:type="dxa"/>
            <w:hideMark/>
          </w:tcPr>
          <w:p w14:paraId="759F436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79E9BA1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It's not clear what list of elements are implied by, "The AP or PCP may include all other elements in the nontransmitted BSSID profile."  This list should be restricted to those allowed per 9.4.2.45.</w:t>
            </w:r>
          </w:p>
        </w:tc>
        <w:tc>
          <w:tcPr>
            <w:tcW w:w="3600" w:type="dxa"/>
            <w:hideMark/>
          </w:tcPr>
          <w:p w14:paraId="1695890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Insert "allowed per 9.4.2.45" after "all other elements"</w:t>
            </w:r>
          </w:p>
        </w:tc>
      </w:tr>
      <w:tr w:rsidR="00DE7477" w:rsidRPr="00DE7477" w14:paraId="32ECDC96" w14:textId="77777777" w:rsidTr="00DE7477">
        <w:trPr>
          <w:trHeight w:val="2805"/>
        </w:trPr>
        <w:tc>
          <w:tcPr>
            <w:tcW w:w="738" w:type="dxa"/>
            <w:hideMark/>
          </w:tcPr>
          <w:p w14:paraId="5D31E2B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4797</w:t>
            </w:r>
          </w:p>
        </w:tc>
        <w:tc>
          <w:tcPr>
            <w:tcW w:w="990" w:type="dxa"/>
            <w:hideMark/>
          </w:tcPr>
          <w:p w14:paraId="5DD35AC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104E5C0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292D93A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Per the changes in 11-19/0551r17 (https://mentor.ieee.org/802.11/dcn/19/11-19-0551-17-000m-revmd-lb236-comments-assigned-to-hamilton.docx), as agreed on CID 2692 during working group ballot, bullet (e) is redundant, and should be deleted.</w:t>
            </w:r>
          </w:p>
        </w:tc>
        <w:tc>
          <w:tcPr>
            <w:tcW w:w="3600" w:type="dxa"/>
            <w:hideMark/>
          </w:tcPr>
          <w:p w14:paraId="5485FAA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bullet (e)</w:t>
            </w:r>
          </w:p>
        </w:tc>
      </w:tr>
      <w:tr w:rsidR="00DE7477" w:rsidRPr="00DE7477" w14:paraId="77321DF6" w14:textId="77777777" w:rsidTr="00DE7477">
        <w:trPr>
          <w:trHeight w:val="1785"/>
        </w:trPr>
        <w:tc>
          <w:tcPr>
            <w:tcW w:w="738" w:type="dxa"/>
            <w:hideMark/>
          </w:tcPr>
          <w:p w14:paraId="43D7482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4641</w:t>
            </w:r>
          </w:p>
        </w:tc>
        <w:tc>
          <w:tcPr>
            <w:tcW w:w="990" w:type="dxa"/>
            <w:hideMark/>
          </w:tcPr>
          <w:p w14:paraId="34F6C11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2061.33</w:t>
            </w:r>
          </w:p>
        </w:tc>
        <w:tc>
          <w:tcPr>
            <w:tcW w:w="1080" w:type="dxa"/>
            <w:hideMark/>
          </w:tcPr>
          <w:p w14:paraId="795AD53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2CB37A5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"If the initiator receives the expected feedback" should be "If the beam tracking initiator receives the expected feedback"; ditto in that sentence "responder" -&gt; "beam tracking responder"</w:t>
            </w:r>
          </w:p>
        </w:tc>
        <w:tc>
          <w:tcPr>
            <w:tcW w:w="3600" w:type="dxa"/>
            <w:hideMark/>
          </w:tcPr>
          <w:p w14:paraId="7C69857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r w:rsidR="00DE7477" w:rsidRPr="00DE7477" w14:paraId="3DE284D0" w14:textId="77777777" w:rsidTr="00DE7477">
        <w:trPr>
          <w:trHeight w:val="3570"/>
        </w:trPr>
        <w:tc>
          <w:tcPr>
            <w:tcW w:w="738" w:type="dxa"/>
            <w:hideMark/>
          </w:tcPr>
          <w:p w14:paraId="58B470C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4782</w:t>
            </w:r>
          </w:p>
        </w:tc>
        <w:tc>
          <w:tcPr>
            <w:tcW w:w="990" w:type="dxa"/>
            <w:hideMark/>
          </w:tcPr>
          <w:p w14:paraId="1D56AF3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2164.58</w:t>
            </w:r>
          </w:p>
        </w:tc>
        <w:tc>
          <w:tcPr>
            <w:tcW w:w="1080" w:type="dxa"/>
            <w:hideMark/>
          </w:tcPr>
          <w:p w14:paraId="218C008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11.1.4.3.4</w:t>
            </w:r>
          </w:p>
        </w:tc>
        <w:tc>
          <w:tcPr>
            <w:tcW w:w="3600" w:type="dxa"/>
            <w:hideMark/>
          </w:tcPr>
          <w:p w14:paraId="12FC51E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From the draft: "If a FILS STA receives one or more Probe Request frame(s), subject to the criteria above, and the STA has dot11FILSOmitReplicateProbeResponses equal to true, the responding STA shall select the response with the next Beacon frame or one or more Probe Response frames as a response to all Probe Request frames(11ai)."  Huh?</w:t>
            </w:r>
          </w:p>
        </w:tc>
        <w:tc>
          <w:tcPr>
            <w:tcW w:w="3600" w:type="dxa"/>
            <w:hideMark/>
          </w:tcPr>
          <w:p w14:paraId="74DF844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Replace the sentence with: "If a FILS STA receives one or more Probe Request frame(s) and the STA has dot11FILSOmitReplicateProbeResponses equal to true, then the responding STA shall respond, subject to the criteria above, by letting the response be the next Beacon frame, a broadcast Probe Response frame, or one or more directed Probe Response frames."</w:t>
            </w:r>
          </w:p>
        </w:tc>
      </w:tr>
      <w:tr w:rsidR="00DE7477" w:rsidRPr="00DE7477" w14:paraId="31942B84" w14:textId="77777777" w:rsidTr="00DE7477">
        <w:trPr>
          <w:trHeight w:val="765"/>
        </w:trPr>
        <w:tc>
          <w:tcPr>
            <w:tcW w:w="738" w:type="dxa"/>
            <w:hideMark/>
          </w:tcPr>
          <w:p w14:paraId="360E047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52CF22F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6F7CA18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1B4EF0A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3E71DF6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r w:rsidR="00DE7477" w:rsidRPr="00DE7477" w14:paraId="1D27D6F0" w14:textId="77777777" w:rsidTr="00DE7477">
        <w:trPr>
          <w:trHeight w:val="1020"/>
        </w:trPr>
        <w:tc>
          <w:tcPr>
            <w:tcW w:w="738" w:type="dxa"/>
            <w:hideMark/>
          </w:tcPr>
          <w:p w14:paraId="1C562A2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4723</w:t>
            </w:r>
          </w:p>
        </w:tc>
        <w:tc>
          <w:tcPr>
            <w:tcW w:w="990" w:type="dxa"/>
            <w:hideMark/>
          </w:tcPr>
          <w:p w14:paraId="309C647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1165.59</w:t>
            </w:r>
          </w:p>
        </w:tc>
        <w:tc>
          <w:tcPr>
            <w:tcW w:w="1080" w:type="dxa"/>
            <w:hideMark/>
          </w:tcPr>
          <w:p w14:paraId="7AC7604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4DC57A5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Wrapped Key field contains the encrypted GTK" is confusing -- is it wrapped or encrypted?</w:t>
            </w:r>
          </w:p>
        </w:tc>
        <w:tc>
          <w:tcPr>
            <w:tcW w:w="3600" w:type="dxa"/>
            <w:hideMark/>
          </w:tcPr>
          <w:p w14:paraId="2BF2D02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"The Wrapped Key field contains the wrapped GTK"</w:t>
            </w:r>
          </w:p>
        </w:tc>
      </w:tr>
      <w:tr w:rsidR="00DE7477" w:rsidRPr="00DE7477" w14:paraId="129E3D77" w14:textId="77777777" w:rsidTr="00DE7477">
        <w:trPr>
          <w:trHeight w:val="3060"/>
        </w:trPr>
        <w:tc>
          <w:tcPr>
            <w:tcW w:w="738" w:type="dxa"/>
            <w:hideMark/>
          </w:tcPr>
          <w:p w14:paraId="1C6D713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4722</w:t>
            </w:r>
          </w:p>
        </w:tc>
        <w:tc>
          <w:tcPr>
            <w:tcW w:w="990" w:type="dxa"/>
            <w:hideMark/>
          </w:tcPr>
          <w:p w14:paraId="2D9CC4B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1166.25</w:t>
            </w:r>
          </w:p>
        </w:tc>
        <w:tc>
          <w:tcPr>
            <w:tcW w:w="1080" w:type="dxa"/>
            <w:hideMark/>
          </w:tcPr>
          <w:p w14:paraId="723263E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122ECE0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length of the resulting AES-Key-</w:t>
            </w:r>
            <w:r w:rsidRPr="00DE7477">
              <w:rPr>
                <w:rFonts w:ascii="Arial" w:eastAsia="Times New Roman" w:hAnsi="Arial" w:cs="Arial"/>
                <w:sz w:val="20"/>
                <w:lang w:val="en-US"/>
              </w:rPr>
              <w:br/>
              <w:t>wrapped IGTK in the Wrapped Key field is Key Length + 8 octets." -- this is true for the NIST key wrap algorithm (CID 2510 resolution) but might not be of other key wrap algorithms in the future, so risk of spec rot.  Also, "AES-Key-wrapped" is not defined</w:t>
            </w:r>
          </w:p>
        </w:tc>
        <w:tc>
          <w:tcPr>
            <w:tcW w:w="3600" w:type="dxa"/>
            <w:hideMark/>
          </w:tcPr>
          <w:p w14:paraId="28A30FB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sentence, and last sentence of referenced subclause (on BIGTK)</w:t>
            </w:r>
          </w:p>
        </w:tc>
      </w:tr>
      <w:tr w:rsidR="00DE7477" w:rsidRPr="00DE7477" w14:paraId="44CC4BB2" w14:textId="77777777" w:rsidTr="00DE7477">
        <w:trPr>
          <w:trHeight w:val="1530"/>
        </w:trPr>
        <w:tc>
          <w:tcPr>
            <w:tcW w:w="738" w:type="dxa"/>
            <w:hideMark/>
          </w:tcPr>
          <w:p w14:paraId="5BA8C63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4709</w:t>
            </w:r>
          </w:p>
        </w:tc>
        <w:tc>
          <w:tcPr>
            <w:tcW w:w="990" w:type="dxa"/>
            <w:hideMark/>
          </w:tcPr>
          <w:p w14:paraId="74C9DAF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EE30B0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672AF3C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75D6998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10.6.7 and 10.6.8</w:t>
            </w:r>
          </w:p>
        </w:tc>
      </w:tr>
      <w:tr w:rsidR="00DE7477" w:rsidRPr="00DE7477" w14:paraId="46C2E375" w14:textId="77777777" w:rsidTr="00DE7477">
        <w:trPr>
          <w:trHeight w:val="1530"/>
        </w:trPr>
        <w:tc>
          <w:tcPr>
            <w:tcW w:w="738" w:type="dxa"/>
            <w:hideMark/>
          </w:tcPr>
          <w:p w14:paraId="6C80D77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4708</w:t>
            </w:r>
          </w:p>
        </w:tc>
        <w:tc>
          <w:tcPr>
            <w:tcW w:w="990" w:type="dxa"/>
            <w:hideMark/>
          </w:tcPr>
          <w:p w14:paraId="25D7988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5B02221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7BE1CF8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20E3305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Merge 10.6.7 and 10.6.8 into 10.6.5.  I think perhaps the other Mark has some ideas about this</w:t>
            </w:r>
          </w:p>
        </w:tc>
      </w:tr>
      <w:tr w:rsidR="00DE7477" w:rsidRPr="00DE7477" w14:paraId="3CA1571E" w14:textId="77777777" w:rsidTr="00DE7477">
        <w:trPr>
          <w:trHeight w:val="1530"/>
        </w:trPr>
        <w:tc>
          <w:tcPr>
            <w:tcW w:w="738" w:type="dxa"/>
            <w:hideMark/>
          </w:tcPr>
          <w:p w14:paraId="3D9CD58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4700</w:t>
            </w:r>
          </w:p>
        </w:tc>
        <w:tc>
          <w:tcPr>
            <w:tcW w:w="990" w:type="dxa"/>
            <w:hideMark/>
          </w:tcPr>
          <w:p w14:paraId="44B83D3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6B12128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9.4.5</w:t>
            </w:r>
          </w:p>
        </w:tc>
        <w:tc>
          <w:tcPr>
            <w:tcW w:w="3600" w:type="dxa"/>
            <w:hideMark/>
          </w:tcPr>
          <w:p w14:paraId="2F5E3FF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Instead of ISO 14962 just refer to ASCII</w:t>
            </w:r>
          </w:p>
        </w:tc>
        <w:tc>
          <w:tcPr>
            <w:tcW w:w="3600" w:type="dxa"/>
            <w:hideMark/>
          </w:tcPr>
          <w:p w14:paraId="4DC93FC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9.4.5.4 and 9.4.5.21 change " is a 3-octet ISO 14962:1997 encoded string" to " is an ASCII string" and "ISO 14962:1997)" to "ASCII)"</w:t>
            </w:r>
          </w:p>
        </w:tc>
      </w:tr>
      <w:tr w:rsidR="00DE7477" w:rsidRPr="00DE7477" w14:paraId="37CDFEE3" w14:textId="77777777" w:rsidTr="00DE7477">
        <w:trPr>
          <w:trHeight w:val="1275"/>
        </w:trPr>
        <w:tc>
          <w:tcPr>
            <w:tcW w:w="738" w:type="dxa"/>
            <w:hideMark/>
          </w:tcPr>
          <w:p w14:paraId="1497E3D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4658</w:t>
            </w:r>
          </w:p>
        </w:tc>
        <w:tc>
          <w:tcPr>
            <w:tcW w:w="990" w:type="dxa"/>
            <w:hideMark/>
          </w:tcPr>
          <w:p w14:paraId="220D06C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1464.28</w:t>
            </w:r>
          </w:p>
        </w:tc>
        <w:tc>
          <w:tcPr>
            <w:tcW w:w="1080" w:type="dxa"/>
            <w:hideMark/>
          </w:tcPr>
          <w:p w14:paraId="68C8C47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9.4.2.246</w:t>
            </w:r>
          </w:p>
        </w:tc>
        <w:tc>
          <w:tcPr>
            <w:tcW w:w="3600" w:type="dxa"/>
            <w:hideMark/>
          </w:tcPr>
          <w:p w14:paraId="79253B4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"concatenated list of " -- it can hardly be anything else.  For other lists we don't explcitly say it's a concatenation</w:t>
            </w:r>
          </w:p>
        </w:tc>
        <w:tc>
          <w:tcPr>
            <w:tcW w:w="3600" w:type="dxa"/>
            <w:hideMark/>
          </w:tcPr>
          <w:p w14:paraId="2460FCC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"concatenated"</w:t>
            </w:r>
          </w:p>
        </w:tc>
      </w:tr>
      <w:tr w:rsidR="00DE7477" w:rsidRPr="00DE7477" w14:paraId="1F9AFDC4" w14:textId="77777777" w:rsidTr="00DE7477">
        <w:trPr>
          <w:trHeight w:val="510"/>
        </w:trPr>
        <w:tc>
          <w:tcPr>
            <w:tcW w:w="738" w:type="dxa"/>
            <w:hideMark/>
          </w:tcPr>
          <w:p w14:paraId="74B824D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4653</w:t>
            </w:r>
          </w:p>
        </w:tc>
        <w:tc>
          <w:tcPr>
            <w:tcW w:w="990" w:type="dxa"/>
            <w:hideMark/>
          </w:tcPr>
          <w:p w14:paraId="5769B51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885.35</w:t>
            </w:r>
          </w:p>
        </w:tc>
        <w:tc>
          <w:tcPr>
            <w:tcW w:w="1080" w:type="dxa"/>
            <w:hideMark/>
          </w:tcPr>
          <w:p w14:paraId="0D55896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9.3.3.11</w:t>
            </w:r>
          </w:p>
        </w:tc>
        <w:tc>
          <w:tcPr>
            <w:tcW w:w="3600" w:type="dxa"/>
            <w:hideMark/>
          </w:tcPr>
          <w:p w14:paraId="2585F26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"conditionally present" is not clear</w:t>
            </w:r>
          </w:p>
        </w:tc>
        <w:tc>
          <w:tcPr>
            <w:tcW w:w="3600" w:type="dxa"/>
            <w:hideMark/>
          </w:tcPr>
          <w:p w14:paraId="1EB1A1D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"optionally present"</w:t>
            </w:r>
          </w:p>
        </w:tc>
      </w:tr>
      <w:tr w:rsidR="00DE7477" w:rsidRPr="00DE7477" w14:paraId="06B18224" w14:textId="77777777" w:rsidTr="00DE7477">
        <w:trPr>
          <w:trHeight w:val="510"/>
        </w:trPr>
        <w:tc>
          <w:tcPr>
            <w:tcW w:w="738" w:type="dxa"/>
            <w:hideMark/>
          </w:tcPr>
          <w:p w14:paraId="18060C51"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4795</w:t>
            </w:r>
          </w:p>
        </w:tc>
        <w:tc>
          <w:tcPr>
            <w:tcW w:w="990" w:type="dxa"/>
            <w:hideMark/>
          </w:tcPr>
          <w:p w14:paraId="3B13372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2060.28</w:t>
            </w:r>
          </w:p>
        </w:tc>
        <w:tc>
          <w:tcPr>
            <w:tcW w:w="1080" w:type="dxa"/>
            <w:hideMark/>
          </w:tcPr>
          <w:p w14:paraId="6B38723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6F82A30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No such thing as  "TRN-R-PACKET" type.</w:t>
            </w:r>
          </w:p>
        </w:tc>
        <w:tc>
          <w:tcPr>
            <w:tcW w:w="3600" w:type="dxa"/>
            <w:hideMark/>
          </w:tcPr>
          <w:p w14:paraId="01B48DD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"TRN-R-PACKET" to "TRN-R" throughout.</w:t>
            </w:r>
          </w:p>
        </w:tc>
      </w:tr>
      <w:tr w:rsidR="00DE7477" w:rsidRPr="00DE7477" w14:paraId="05B7531D" w14:textId="77777777" w:rsidTr="00DE7477">
        <w:trPr>
          <w:trHeight w:val="4335"/>
        </w:trPr>
        <w:tc>
          <w:tcPr>
            <w:tcW w:w="738" w:type="dxa"/>
            <w:hideMark/>
          </w:tcPr>
          <w:p w14:paraId="62DA522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4234</w:t>
            </w:r>
          </w:p>
        </w:tc>
        <w:tc>
          <w:tcPr>
            <w:tcW w:w="990" w:type="dxa"/>
            <w:hideMark/>
          </w:tcPr>
          <w:p w14:paraId="6C8F9AE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793.14</w:t>
            </w:r>
          </w:p>
        </w:tc>
        <w:tc>
          <w:tcPr>
            <w:tcW w:w="1080" w:type="dxa"/>
            <w:hideMark/>
          </w:tcPr>
          <w:p w14:paraId="5C363F3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9.2.4.2</w:t>
            </w:r>
          </w:p>
        </w:tc>
        <w:tc>
          <w:tcPr>
            <w:tcW w:w="3600" w:type="dxa"/>
            <w:hideMark/>
          </w:tcPr>
          <w:p w14:paraId="282352A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Duration/ID field sent by (QoS) STAs in Extension frames is not specified</w:t>
            </w:r>
          </w:p>
        </w:tc>
        <w:tc>
          <w:tcPr>
            <w:tcW w:w="3600" w:type="dxa"/>
            <w:hideMark/>
          </w:tcPr>
          <w:p w14:paraId="6E27BE2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"In Data and Management frames sent by QoS STAs, the Duration/ID field contains a duration value</w:t>
            </w:r>
            <w:r w:rsidRPr="00DE7477">
              <w:rPr>
                <w:rFonts w:ascii="Arial" w:eastAsia="Times New Roman" w:hAnsi="Arial" w:cs="Arial"/>
                <w:sz w:val="20"/>
                <w:lang w:val="en-US"/>
              </w:rPr>
              <w:br/>
              <w:t>as defined for each frame type in 9.2.5 (Duration/ID field (QoS STA))." to "In Data, Management and Extension frames sent by QoS STAs, the Duration/ID field contains a duration value</w:t>
            </w:r>
            <w:r w:rsidRPr="00DE7477">
              <w:rPr>
                <w:rFonts w:ascii="Arial" w:eastAsia="Times New Roman" w:hAnsi="Arial" w:cs="Arial"/>
                <w:sz w:val="20"/>
                <w:lang w:val="en-US"/>
              </w:rPr>
              <w:br/>
              <w:t>as defined for each frame type in 9.2.5 (Duration/ID field (QoS STA)) and 9.3.4.3."</w:t>
            </w:r>
          </w:p>
        </w:tc>
      </w:tr>
      <w:tr w:rsidR="00DE7477" w:rsidRPr="00DE7477" w14:paraId="6366A312" w14:textId="77777777" w:rsidTr="00DE7477">
        <w:trPr>
          <w:trHeight w:val="2295"/>
        </w:trPr>
        <w:tc>
          <w:tcPr>
            <w:tcW w:w="738" w:type="dxa"/>
            <w:hideMark/>
          </w:tcPr>
          <w:p w14:paraId="64FC2AC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4318</w:t>
            </w:r>
          </w:p>
        </w:tc>
        <w:tc>
          <w:tcPr>
            <w:tcW w:w="990" w:type="dxa"/>
            <w:hideMark/>
          </w:tcPr>
          <w:p w14:paraId="390199F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0D7D514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1BA31C5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5B839E8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"An STA shall not transmit in a VHT PPDU an MPDU that exceeds the maximum MPDU length capability indicated in the VHT Capabilities element received from the recipient STA"; also for S1G instead of VHT in 10.12.5</w:t>
            </w:r>
          </w:p>
        </w:tc>
      </w:tr>
      <w:tr w:rsidR="00DE7477" w:rsidRPr="00DE7477" w14:paraId="56016B5D" w14:textId="77777777" w:rsidTr="00DE7477">
        <w:trPr>
          <w:trHeight w:val="2295"/>
        </w:trPr>
        <w:tc>
          <w:tcPr>
            <w:tcW w:w="738" w:type="dxa"/>
            <w:hideMark/>
          </w:tcPr>
          <w:p w14:paraId="738AE28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4317</w:t>
            </w:r>
          </w:p>
        </w:tc>
        <w:tc>
          <w:tcPr>
            <w:tcW w:w="990" w:type="dxa"/>
            <w:hideMark/>
          </w:tcPr>
          <w:p w14:paraId="3221FC1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5CD1A3B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7181E89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1FC4A52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"to a STA " in the cited text; also in 10.12.5</w:t>
            </w:r>
          </w:p>
        </w:tc>
      </w:tr>
      <w:tr w:rsidR="00DE7477" w:rsidRPr="00DE7477" w14:paraId="7D1DB075" w14:textId="77777777" w:rsidTr="00DE7477">
        <w:trPr>
          <w:trHeight w:val="1020"/>
        </w:trPr>
        <w:tc>
          <w:tcPr>
            <w:tcW w:w="738" w:type="dxa"/>
            <w:hideMark/>
          </w:tcPr>
          <w:p w14:paraId="0F80BB9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4309</w:t>
            </w:r>
          </w:p>
        </w:tc>
        <w:tc>
          <w:tcPr>
            <w:tcW w:w="990" w:type="dxa"/>
            <w:hideMark/>
          </w:tcPr>
          <w:p w14:paraId="58A9131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844.18</w:t>
            </w:r>
          </w:p>
        </w:tc>
        <w:tc>
          <w:tcPr>
            <w:tcW w:w="1080" w:type="dxa"/>
            <w:hideMark/>
          </w:tcPr>
          <w:p w14:paraId="694DB8D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9.3.1.19</w:t>
            </w:r>
          </w:p>
        </w:tc>
        <w:tc>
          <w:tcPr>
            <w:tcW w:w="3600" w:type="dxa"/>
            <w:hideMark/>
          </w:tcPr>
          <w:p w14:paraId="65B8CA0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the Compressed Beamforming Feedback Matrix</w:t>
            </w:r>
            <w:r w:rsidRPr="00DE7477">
              <w:rPr>
                <w:rFonts w:ascii="Arial" w:eastAsia="Times New Roman" w:hAnsi="Arial" w:cs="Arial"/>
                <w:sz w:val="20"/>
                <w:lang w:val="en-US"/>
              </w:rPr>
              <w:br/>
              <w:t>subfield" -- no such subfield</w:t>
            </w:r>
          </w:p>
        </w:tc>
        <w:tc>
          <w:tcPr>
            <w:tcW w:w="3600" w:type="dxa"/>
            <w:hideMark/>
          </w:tcPr>
          <w:p w14:paraId="7D2B31A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"in the compressed beamforming feedback matrix"</w:t>
            </w:r>
          </w:p>
        </w:tc>
      </w:tr>
      <w:tr w:rsidR="00DE7477" w:rsidRPr="00DE7477" w14:paraId="45DF841D" w14:textId="77777777" w:rsidTr="00DE7477">
        <w:trPr>
          <w:trHeight w:val="1275"/>
        </w:trPr>
        <w:tc>
          <w:tcPr>
            <w:tcW w:w="738" w:type="dxa"/>
            <w:hideMark/>
          </w:tcPr>
          <w:p w14:paraId="7707670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4295</w:t>
            </w:r>
          </w:p>
        </w:tc>
        <w:tc>
          <w:tcPr>
            <w:tcW w:w="990" w:type="dxa"/>
            <w:hideMark/>
          </w:tcPr>
          <w:p w14:paraId="7208280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797.37</w:t>
            </w:r>
          </w:p>
        </w:tc>
        <w:tc>
          <w:tcPr>
            <w:tcW w:w="1080" w:type="dxa"/>
            <w:hideMark/>
          </w:tcPr>
          <w:p w14:paraId="3DF435B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9.2.4.5.1</w:t>
            </w:r>
          </w:p>
        </w:tc>
        <w:tc>
          <w:tcPr>
            <w:tcW w:w="3600" w:type="dxa"/>
            <w:hideMark/>
          </w:tcPr>
          <w:p w14:paraId="5CBE591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 TPU STA is by definition not in a mesh BSS</w:t>
            </w:r>
          </w:p>
        </w:tc>
        <w:tc>
          <w:tcPr>
            <w:tcW w:w="3600" w:type="dxa"/>
            <w:hideMark/>
          </w:tcPr>
          <w:p w14:paraId="0D6DBC5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"in a</w:t>
            </w:r>
            <w:r w:rsidRPr="00DE7477">
              <w:rPr>
                <w:rFonts w:ascii="Arial" w:eastAsia="Times New Roman" w:hAnsi="Arial" w:cs="Arial"/>
                <w:sz w:val="20"/>
                <w:lang w:val="en-US"/>
              </w:rPr>
              <w:br/>
              <w:t>nonmesh BSS" in the fifth from last to penultimate row of Table 9-10--QoS Control field</w:t>
            </w:r>
          </w:p>
        </w:tc>
      </w:tr>
      <w:tr w:rsidR="00DE7477" w:rsidRPr="00DE7477" w14:paraId="1CFD78EB" w14:textId="77777777" w:rsidTr="00DE7477">
        <w:trPr>
          <w:trHeight w:val="2295"/>
        </w:trPr>
        <w:tc>
          <w:tcPr>
            <w:tcW w:w="738" w:type="dxa"/>
            <w:hideMark/>
          </w:tcPr>
          <w:p w14:paraId="2ADC27F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4285</w:t>
            </w:r>
          </w:p>
        </w:tc>
        <w:tc>
          <w:tcPr>
            <w:tcW w:w="990" w:type="dxa"/>
            <w:hideMark/>
          </w:tcPr>
          <w:p w14:paraId="5AF55FD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1045.28</w:t>
            </w:r>
          </w:p>
        </w:tc>
        <w:tc>
          <w:tcPr>
            <w:tcW w:w="1080" w:type="dxa"/>
            <w:hideMark/>
          </w:tcPr>
          <w:p w14:paraId="126A3DF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9.4.2.20.19</w:t>
            </w:r>
          </w:p>
        </w:tc>
        <w:tc>
          <w:tcPr>
            <w:tcW w:w="3600" w:type="dxa"/>
            <w:hideMark/>
          </w:tcPr>
          <w:p w14:paraId="10D78FB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(#151)Neighbor  Report  subelements  specify  a  superset  of  nearby  APs  with  which  the</w:t>
            </w:r>
            <w:r w:rsidRPr="00DE7477">
              <w:rPr>
                <w:rFonts w:ascii="Arial" w:eastAsia="Times New Roman" w:hAnsi="Arial" w:cs="Arial"/>
                <w:sz w:val="20"/>
                <w:lang w:val="en-US"/>
              </w:rPr>
              <w:br/>
              <w:t>requested  STA  is  requested  to  perform  the  FTM  procedure" -- you can't do FTM with more than the nearby APs</w:t>
            </w:r>
          </w:p>
        </w:tc>
        <w:tc>
          <w:tcPr>
            <w:tcW w:w="3600" w:type="dxa"/>
            <w:hideMark/>
          </w:tcPr>
          <w:p w14:paraId="38B1EDD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"superset" to "subset" in the cited text</w:t>
            </w:r>
          </w:p>
        </w:tc>
      </w:tr>
      <w:tr w:rsidR="00DE7477" w:rsidRPr="00DE7477" w14:paraId="52AC6AE3" w14:textId="77777777" w:rsidTr="00DE7477">
        <w:trPr>
          <w:trHeight w:val="1785"/>
        </w:trPr>
        <w:tc>
          <w:tcPr>
            <w:tcW w:w="738" w:type="dxa"/>
            <w:hideMark/>
          </w:tcPr>
          <w:p w14:paraId="43148AD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4253</w:t>
            </w:r>
          </w:p>
        </w:tc>
        <w:tc>
          <w:tcPr>
            <w:tcW w:w="990" w:type="dxa"/>
            <w:hideMark/>
          </w:tcPr>
          <w:p w14:paraId="062022A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1117.10</w:t>
            </w:r>
          </w:p>
        </w:tc>
        <w:tc>
          <w:tcPr>
            <w:tcW w:w="1080" w:type="dxa"/>
            <w:hideMark/>
          </w:tcPr>
          <w:p w14:paraId="19DEC08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9.4.2.27</w:t>
            </w:r>
          </w:p>
        </w:tc>
        <w:tc>
          <w:tcPr>
            <w:tcW w:w="3600" w:type="dxa"/>
            <w:hideMark/>
          </w:tcPr>
          <w:p w14:paraId="118DD78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default value of dot11ChannelUtilizationBea-</w:t>
            </w:r>
            <w:r w:rsidRPr="00DE7477">
              <w:rPr>
                <w:rFonts w:ascii="Arial" w:eastAsia="Times New Roman" w:hAnsi="Arial" w:cs="Arial"/>
                <w:sz w:val="20"/>
                <w:lang w:val="en-US"/>
              </w:rPr>
              <w:br/>
              <w:t>conIntervals is defined in Annex C." -- so is the default of many other MIB attributes, but we don't say so for any other ones</w:t>
            </w:r>
          </w:p>
        </w:tc>
        <w:tc>
          <w:tcPr>
            <w:tcW w:w="3600" w:type="dxa"/>
            <w:hideMark/>
          </w:tcPr>
          <w:p w14:paraId="0992755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sentence</w:t>
            </w:r>
          </w:p>
        </w:tc>
      </w:tr>
      <w:tr w:rsidR="00DE7477" w:rsidRPr="00DE7477" w14:paraId="307804AA" w14:textId="77777777" w:rsidTr="00DE7477">
        <w:trPr>
          <w:trHeight w:val="2550"/>
        </w:trPr>
        <w:tc>
          <w:tcPr>
            <w:tcW w:w="738" w:type="dxa"/>
            <w:hideMark/>
          </w:tcPr>
          <w:p w14:paraId="3B8D6FF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4490</w:t>
            </w:r>
          </w:p>
        </w:tc>
        <w:tc>
          <w:tcPr>
            <w:tcW w:w="990" w:type="dxa"/>
            <w:hideMark/>
          </w:tcPr>
          <w:p w14:paraId="3C0D26F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994.47</w:t>
            </w:r>
          </w:p>
        </w:tc>
        <w:tc>
          <w:tcPr>
            <w:tcW w:w="1080" w:type="dxa"/>
            <w:hideMark/>
          </w:tcPr>
          <w:p w14:paraId="5F9D334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2CC4878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TIM element contains four fields: DTIM Count, DTIM Period, Bitmap Control, and Partial Virtual</w:t>
            </w:r>
            <w:r w:rsidRPr="00DE7477">
              <w:rPr>
                <w:rFonts w:ascii="Arial" w:eastAsia="Times New Roman" w:hAnsi="Arial" w:cs="Arial"/>
                <w:sz w:val="20"/>
                <w:lang w:val="en-US"/>
              </w:rPr>
              <w:br/>
              <w:t>Bitmap. See Figure 9-149 (TIM element format)." -- as the figure shows, it contains 6 fields, including Element ID and Length.  Duplication considered harmful!</w:t>
            </w:r>
          </w:p>
        </w:tc>
        <w:tc>
          <w:tcPr>
            <w:tcW w:w="3600" w:type="dxa"/>
            <w:hideMark/>
          </w:tcPr>
          <w:p w14:paraId="0A8F248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"The TIM element is used to signal the timing and availability of data for associated STAs.  The format of</w:t>
            </w:r>
            <w:r w:rsidRPr="00DE7477">
              <w:rPr>
                <w:rFonts w:ascii="Arial" w:eastAsia="Times New Roman" w:hAnsi="Arial" w:cs="Arial"/>
                <w:sz w:val="20"/>
                <w:lang w:val="en-US"/>
              </w:rPr>
              <w:br/>
              <w:t>this element is shown in Figure 9-149."</w:t>
            </w:r>
          </w:p>
        </w:tc>
      </w:tr>
      <w:tr w:rsidR="00DE7477" w:rsidRPr="00DE7477" w14:paraId="1E2D2BCE" w14:textId="77777777" w:rsidTr="00DE7477">
        <w:trPr>
          <w:trHeight w:val="1530"/>
        </w:trPr>
        <w:tc>
          <w:tcPr>
            <w:tcW w:w="738" w:type="dxa"/>
            <w:hideMark/>
          </w:tcPr>
          <w:p w14:paraId="0757B02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4240</w:t>
            </w:r>
          </w:p>
        </w:tc>
        <w:tc>
          <w:tcPr>
            <w:tcW w:w="990" w:type="dxa"/>
            <w:hideMark/>
          </w:tcPr>
          <w:p w14:paraId="4A0D52B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855.52</w:t>
            </w:r>
          </w:p>
        </w:tc>
        <w:tc>
          <w:tcPr>
            <w:tcW w:w="1080" w:type="dxa"/>
            <w:hideMark/>
          </w:tcPr>
          <w:p w14:paraId="7C2BC13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9.3.3.1</w:t>
            </w:r>
          </w:p>
        </w:tc>
        <w:tc>
          <w:tcPr>
            <w:tcW w:w="3600" w:type="dxa"/>
            <w:hideMark/>
          </w:tcPr>
          <w:p w14:paraId="35A09A2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"Unused element ID codes are reserved." is unclear (how "unused"?) and unnecessary (T9-94 already lists all possible EIDs and EEIDs).  Delete</w:t>
            </w:r>
          </w:p>
        </w:tc>
        <w:tc>
          <w:tcPr>
            <w:tcW w:w="3600" w:type="dxa"/>
            <w:hideMark/>
          </w:tcPr>
          <w:p w14:paraId="6D457F2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 at the referenced location and in 9.8.5.1</w:t>
            </w:r>
          </w:p>
        </w:tc>
      </w:tr>
      <w:tr w:rsidR="00DE7477" w:rsidRPr="00DE7477" w14:paraId="25D8FDE6" w14:textId="77777777" w:rsidTr="00DE7477">
        <w:trPr>
          <w:trHeight w:val="1020"/>
        </w:trPr>
        <w:tc>
          <w:tcPr>
            <w:tcW w:w="738" w:type="dxa"/>
            <w:hideMark/>
          </w:tcPr>
          <w:p w14:paraId="45F64FE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4347</w:t>
            </w:r>
          </w:p>
        </w:tc>
        <w:tc>
          <w:tcPr>
            <w:tcW w:w="990" w:type="dxa"/>
            <w:hideMark/>
          </w:tcPr>
          <w:p w14:paraId="156366F9"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2172181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311284E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e) needs to be conditional on dot11SSIDListActivated is true, like d)</w:t>
            </w:r>
          </w:p>
        </w:tc>
        <w:tc>
          <w:tcPr>
            <w:tcW w:w="3600" w:type="dxa"/>
            <w:hideMark/>
          </w:tcPr>
          <w:p w14:paraId="2E80FF9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e) to start "When dot11SSIDListActivated is true and the SSID List parameter is present"</w:t>
            </w:r>
          </w:p>
        </w:tc>
      </w:tr>
      <w:tr w:rsidR="00DE7477" w:rsidRPr="00DE7477" w14:paraId="29637D5C" w14:textId="77777777" w:rsidTr="00DE7477">
        <w:trPr>
          <w:trHeight w:val="765"/>
        </w:trPr>
        <w:tc>
          <w:tcPr>
            <w:tcW w:w="738" w:type="dxa"/>
            <w:hideMark/>
          </w:tcPr>
          <w:p w14:paraId="1091181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4221</w:t>
            </w:r>
          </w:p>
        </w:tc>
        <w:tc>
          <w:tcPr>
            <w:tcW w:w="990" w:type="dxa"/>
            <w:hideMark/>
          </w:tcPr>
          <w:p w14:paraId="29558199"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1618.40</w:t>
            </w:r>
          </w:p>
        </w:tc>
        <w:tc>
          <w:tcPr>
            <w:tcW w:w="1080" w:type="dxa"/>
            <w:hideMark/>
          </w:tcPr>
          <w:p w14:paraId="5059854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559CAB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There is no such thing as a "valid TSF" as opposed to an invalid one</w:t>
            </w:r>
          </w:p>
        </w:tc>
        <w:tc>
          <w:tcPr>
            <w:tcW w:w="3600" w:type="dxa"/>
            <w:hideMark/>
          </w:tcPr>
          <w:p w14:paraId="30C24F2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"valid " in the cited text</w:t>
            </w:r>
          </w:p>
        </w:tc>
      </w:tr>
      <w:tr w:rsidR="00DE7477" w:rsidRPr="00DE7477" w14:paraId="4BFB77A4" w14:textId="77777777" w:rsidTr="00DE7477">
        <w:trPr>
          <w:trHeight w:val="510"/>
        </w:trPr>
        <w:tc>
          <w:tcPr>
            <w:tcW w:w="738" w:type="dxa"/>
            <w:hideMark/>
          </w:tcPr>
          <w:p w14:paraId="68CD055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4216</w:t>
            </w:r>
          </w:p>
        </w:tc>
        <w:tc>
          <w:tcPr>
            <w:tcW w:w="990" w:type="dxa"/>
            <w:hideMark/>
          </w:tcPr>
          <w:p w14:paraId="1C53C3E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2059.39</w:t>
            </w:r>
          </w:p>
        </w:tc>
        <w:tc>
          <w:tcPr>
            <w:tcW w:w="1080" w:type="dxa"/>
            <w:hideMark/>
          </w:tcPr>
          <w:p w14:paraId="548F968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10.42.6.4.4</w:t>
            </w:r>
          </w:p>
        </w:tc>
        <w:tc>
          <w:tcPr>
            <w:tcW w:w="3600" w:type="dxa"/>
            <w:hideMark/>
          </w:tcPr>
          <w:p w14:paraId="238EFE4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"DMG  Antenna  Pattern  Reciprocity" -- no such field</w:t>
            </w:r>
          </w:p>
        </w:tc>
        <w:tc>
          <w:tcPr>
            <w:tcW w:w="3600" w:type="dxa"/>
            <w:hideMark/>
          </w:tcPr>
          <w:p w14:paraId="3FBCE07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"DMG " (2x in the para)</w:t>
            </w:r>
          </w:p>
        </w:tc>
      </w:tr>
      <w:tr w:rsidR="00DE7477" w:rsidRPr="00DE7477" w14:paraId="653DE896" w14:textId="77777777" w:rsidTr="00DE7477">
        <w:trPr>
          <w:trHeight w:val="3060"/>
        </w:trPr>
        <w:tc>
          <w:tcPr>
            <w:tcW w:w="738" w:type="dxa"/>
            <w:hideMark/>
          </w:tcPr>
          <w:p w14:paraId="09299C9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4201</w:t>
            </w:r>
          </w:p>
        </w:tc>
        <w:tc>
          <w:tcPr>
            <w:tcW w:w="990" w:type="dxa"/>
            <w:hideMark/>
          </w:tcPr>
          <w:p w14:paraId="1C68B6F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1442.22</w:t>
            </w:r>
          </w:p>
        </w:tc>
        <w:tc>
          <w:tcPr>
            <w:tcW w:w="1080" w:type="dxa"/>
            <w:hideMark/>
          </w:tcPr>
          <w:p w14:paraId="78406D2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9.4.2.229.2</w:t>
            </w:r>
          </w:p>
        </w:tc>
        <w:tc>
          <w:tcPr>
            <w:tcW w:w="3600" w:type="dxa"/>
            <w:hideMark/>
          </w:tcPr>
          <w:p w14:paraId="5AA89DA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 CMMG STA is not a DMG STA</w:t>
            </w:r>
          </w:p>
        </w:tc>
        <w:tc>
          <w:tcPr>
            <w:tcW w:w="3600" w:type="dxa"/>
            <w:hideMark/>
          </w:tcPr>
          <w:p w14:paraId="11B4EEE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 DMG" in "Figure 9-754--CMMG Capabilities Info field format".  In Table 9-313--Subfields of the CMMG Capabilities Info field format change "Number of RX</w:t>
            </w:r>
            <w:r w:rsidRPr="00DE7477">
              <w:rPr>
                <w:rFonts w:ascii="Arial" w:eastAsia="Times New Roman" w:hAnsi="Arial" w:cs="Arial"/>
                <w:sz w:val="20"/>
                <w:lang w:val="en-US"/>
              </w:rPr>
              <w:br/>
              <w:t>DMG Antennas" to "Number of Rx Antennas" (note Rx not RX) and change "DMG Antenna Reciprocity" to "Antenna Reciprocity" (as in the figure)</w:t>
            </w:r>
          </w:p>
        </w:tc>
      </w:tr>
      <w:tr w:rsidR="00DE7477" w:rsidRPr="00DE7477" w14:paraId="52F6E1BF" w14:textId="77777777" w:rsidTr="00DE7477">
        <w:trPr>
          <w:trHeight w:val="1020"/>
        </w:trPr>
        <w:tc>
          <w:tcPr>
            <w:tcW w:w="738" w:type="dxa"/>
            <w:hideMark/>
          </w:tcPr>
          <w:p w14:paraId="1310A61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4193</w:t>
            </w:r>
          </w:p>
        </w:tc>
        <w:tc>
          <w:tcPr>
            <w:tcW w:w="990" w:type="dxa"/>
            <w:hideMark/>
          </w:tcPr>
          <w:p w14:paraId="00BFE9B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1852.54</w:t>
            </w:r>
          </w:p>
        </w:tc>
        <w:tc>
          <w:tcPr>
            <w:tcW w:w="1080" w:type="dxa"/>
            <w:hideMark/>
          </w:tcPr>
          <w:p w14:paraId="5D76D26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10.23.4.2.3</w:t>
            </w:r>
          </w:p>
        </w:tc>
        <w:tc>
          <w:tcPr>
            <w:tcW w:w="3600" w:type="dxa"/>
            <w:hideMark/>
          </w:tcPr>
          <w:p w14:paraId="32726B9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"To describe the behavior at the STA, two MAC variables are defined. " duplicates the first para of the subclause</w:t>
            </w:r>
          </w:p>
        </w:tc>
        <w:tc>
          <w:tcPr>
            <w:tcW w:w="3600" w:type="dxa"/>
            <w:hideMark/>
          </w:tcPr>
          <w:p w14:paraId="6A978C8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w:t>
            </w:r>
          </w:p>
        </w:tc>
      </w:tr>
      <w:tr w:rsidR="00DE7477" w:rsidRPr="00DE7477" w14:paraId="08B28F1F" w14:textId="77777777" w:rsidTr="00DE7477">
        <w:trPr>
          <w:trHeight w:val="2295"/>
        </w:trPr>
        <w:tc>
          <w:tcPr>
            <w:tcW w:w="738" w:type="dxa"/>
            <w:hideMark/>
          </w:tcPr>
          <w:p w14:paraId="643F39E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4154</w:t>
            </w:r>
          </w:p>
        </w:tc>
        <w:tc>
          <w:tcPr>
            <w:tcW w:w="990" w:type="dxa"/>
            <w:hideMark/>
          </w:tcPr>
          <w:p w14:paraId="689CFA6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1827.61</w:t>
            </w:r>
          </w:p>
        </w:tc>
        <w:tc>
          <w:tcPr>
            <w:tcW w:w="1080" w:type="dxa"/>
            <w:hideMark/>
          </w:tcPr>
          <w:p w14:paraId="693F370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10.23.2.2</w:t>
            </w:r>
          </w:p>
        </w:tc>
        <w:tc>
          <w:tcPr>
            <w:tcW w:w="3600" w:type="dxa"/>
            <w:hideMark/>
          </w:tcPr>
          <w:p w14:paraId="392FF4A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subbullets all refer to "that AC" but there is no reference for "that"</w:t>
            </w:r>
          </w:p>
        </w:tc>
        <w:tc>
          <w:tcPr>
            <w:tcW w:w="3600" w:type="dxa"/>
            <w:hideMark/>
          </w:tcPr>
          <w:p w14:paraId="7FCA232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Add the words "corresponding to an AC" in the introductory phrase which immediately precedes item a), so that it reads, "The backoff procedure shall be invoked by an EDCAF corresopnding to an AC when"</w:t>
            </w:r>
          </w:p>
        </w:tc>
      </w:tr>
      <w:tr w:rsidR="00DE7477" w:rsidRPr="00DE7477" w14:paraId="19636B44" w14:textId="77777777" w:rsidTr="00DE7477">
        <w:trPr>
          <w:trHeight w:val="1275"/>
        </w:trPr>
        <w:tc>
          <w:tcPr>
            <w:tcW w:w="738" w:type="dxa"/>
            <w:hideMark/>
          </w:tcPr>
          <w:p w14:paraId="45293B8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4068</w:t>
            </w:r>
          </w:p>
        </w:tc>
        <w:tc>
          <w:tcPr>
            <w:tcW w:w="990" w:type="dxa"/>
            <w:hideMark/>
          </w:tcPr>
          <w:p w14:paraId="59DE7F4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1503.49</w:t>
            </w:r>
          </w:p>
        </w:tc>
        <w:tc>
          <w:tcPr>
            <w:tcW w:w="1080" w:type="dxa"/>
            <w:hideMark/>
          </w:tcPr>
          <w:p w14:paraId="47C534E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738AB27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"STA needs transmit training".  This is a protocol for interoperability, so I think it is better to say "STA requests transmit training".</w:t>
            </w:r>
          </w:p>
        </w:tc>
        <w:tc>
          <w:tcPr>
            <w:tcW w:w="3600" w:type="dxa"/>
            <w:hideMark/>
          </w:tcPr>
          <w:p w14:paraId="2AEE774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"needs" to "requests".</w:t>
            </w:r>
          </w:p>
        </w:tc>
      </w:tr>
      <w:tr w:rsidR="00DE7477" w:rsidRPr="00DE7477" w14:paraId="139FAC40" w14:textId="77777777" w:rsidTr="00DE7477">
        <w:trPr>
          <w:trHeight w:val="2040"/>
        </w:trPr>
        <w:tc>
          <w:tcPr>
            <w:tcW w:w="738" w:type="dxa"/>
            <w:hideMark/>
          </w:tcPr>
          <w:p w14:paraId="1616BC3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4067</w:t>
            </w:r>
          </w:p>
        </w:tc>
        <w:tc>
          <w:tcPr>
            <w:tcW w:w="990" w:type="dxa"/>
            <w:hideMark/>
          </w:tcPr>
          <w:p w14:paraId="013F396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1503.42</w:t>
            </w:r>
          </w:p>
        </w:tc>
        <w:tc>
          <w:tcPr>
            <w:tcW w:w="1080" w:type="dxa"/>
            <w:hideMark/>
          </w:tcPr>
          <w:p w14:paraId="718A4A2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614BD8A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ordering of these sentences is confusing to read: "To obtain the number of TRN-R subfields, the value of the L-RX subfield is multiplied by 4. Possible values range from 0 to 16."</w:t>
            </w:r>
          </w:p>
        </w:tc>
        <w:tc>
          <w:tcPr>
            <w:tcW w:w="3600" w:type="dxa"/>
            <w:hideMark/>
          </w:tcPr>
          <w:p w14:paraId="35C2F78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Reword to "The L-RX field is an unsigned integer with range 0 to 16. Values outside this range are reserved. The number of requested TRN-R subfields is equal to the value of the L-RX subfield multiplied by 4."</w:t>
            </w:r>
          </w:p>
        </w:tc>
      </w:tr>
      <w:tr w:rsidR="00DE7477" w:rsidRPr="00DE7477" w14:paraId="3BA31BFB" w14:textId="77777777" w:rsidTr="00DE7477">
        <w:trPr>
          <w:trHeight w:val="1275"/>
        </w:trPr>
        <w:tc>
          <w:tcPr>
            <w:tcW w:w="738" w:type="dxa"/>
            <w:hideMark/>
          </w:tcPr>
          <w:p w14:paraId="6F9FC66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4243</w:t>
            </w:r>
          </w:p>
        </w:tc>
        <w:tc>
          <w:tcPr>
            <w:tcW w:w="990" w:type="dxa"/>
            <w:hideMark/>
          </w:tcPr>
          <w:p w14:paraId="5F8C1FC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2467.63</w:t>
            </w:r>
          </w:p>
        </w:tc>
        <w:tc>
          <w:tcPr>
            <w:tcW w:w="1080" w:type="dxa"/>
            <w:hideMark/>
          </w:tcPr>
          <w:p w14:paraId="1DAB3F8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11.29.2</w:t>
            </w:r>
          </w:p>
        </w:tc>
        <w:tc>
          <w:tcPr>
            <w:tcW w:w="3600" w:type="dxa"/>
            <w:hideMark/>
          </w:tcPr>
          <w:p w14:paraId="4DAFEC2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Information Response frame may include vendor-specific elements. " -- true of all Action frames unless explicitly disallowed</w:t>
            </w:r>
          </w:p>
        </w:tc>
        <w:tc>
          <w:tcPr>
            <w:tcW w:w="3600" w:type="dxa"/>
            <w:hideMark/>
          </w:tcPr>
          <w:p w14:paraId="7103D8D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w:t>
            </w:r>
          </w:p>
        </w:tc>
      </w:tr>
      <w:tr w:rsidR="00DE7477" w:rsidRPr="00DE7477" w14:paraId="2514AE53" w14:textId="77777777" w:rsidTr="00DE7477">
        <w:trPr>
          <w:trHeight w:val="5100"/>
        </w:trPr>
        <w:tc>
          <w:tcPr>
            <w:tcW w:w="738" w:type="dxa"/>
            <w:hideMark/>
          </w:tcPr>
          <w:p w14:paraId="7B753E8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4377</w:t>
            </w:r>
          </w:p>
        </w:tc>
        <w:tc>
          <w:tcPr>
            <w:tcW w:w="990" w:type="dxa"/>
            <w:hideMark/>
          </w:tcPr>
          <w:p w14:paraId="5BECB2C8"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805.22</w:t>
            </w:r>
          </w:p>
        </w:tc>
        <w:tc>
          <w:tcPr>
            <w:tcW w:w="1080" w:type="dxa"/>
            <w:hideMark/>
          </w:tcPr>
          <w:p w14:paraId="229398A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9.2.4.6.2</w:t>
            </w:r>
          </w:p>
        </w:tc>
        <w:tc>
          <w:tcPr>
            <w:tcW w:w="3600" w:type="dxa"/>
            <w:hideMark/>
          </w:tcPr>
          <w:p w14:paraId="1354B52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Figure 9-13--Link Adaptation Control subfield format should number the bits from 0, not from 1.  Ditto Figure 9-12--HT Control Middle subfield of the HT variant HT Control field format, Figure 9-16--HT Control Middle subfield of the VHT variant HT Control field format, Figure 9-21--MFB subfield in the CMMG variant HT Control field format, Figure 9-687--Control field format, Figure 9-114--First example of Compressed Beamforming Report field encoding, Figure 9-115--Second example of Compressed Beamforming Report field encoding</w:t>
            </w:r>
          </w:p>
        </w:tc>
        <w:tc>
          <w:tcPr>
            <w:tcW w:w="3600" w:type="dxa"/>
            <w:hideMark/>
          </w:tcPr>
          <w:p w14:paraId="33B7967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Subtract 1 from each of the bit positions in the figure</w:t>
            </w:r>
          </w:p>
        </w:tc>
      </w:tr>
      <w:tr w:rsidR="00DE7477" w:rsidRPr="00DE7477" w14:paraId="4C96D971" w14:textId="77777777" w:rsidTr="00DE7477">
        <w:trPr>
          <w:trHeight w:val="1020"/>
        </w:trPr>
        <w:tc>
          <w:tcPr>
            <w:tcW w:w="738" w:type="dxa"/>
            <w:hideMark/>
          </w:tcPr>
          <w:p w14:paraId="25705E2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4056</w:t>
            </w:r>
          </w:p>
        </w:tc>
        <w:tc>
          <w:tcPr>
            <w:tcW w:w="990" w:type="dxa"/>
            <w:hideMark/>
          </w:tcPr>
          <w:p w14:paraId="62D7BF6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1121.31</w:t>
            </w:r>
          </w:p>
        </w:tc>
        <w:tc>
          <w:tcPr>
            <w:tcW w:w="1080" w:type="dxa"/>
            <w:hideMark/>
          </w:tcPr>
          <w:p w14:paraId="09D69AB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9.4.2.29</w:t>
            </w:r>
          </w:p>
        </w:tc>
        <w:tc>
          <w:tcPr>
            <w:tcW w:w="3600" w:type="dxa"/>
            <w:hideMark/>
          </w:tcPr>
          <w:p w14:paraId="08FA8FE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"Length (55)". The Length is 55 or 57. Also, there is no need to include "55" in the figure.</w:t>
            </w:r>
          </w:p>
        </w:tc>
        <w:tc>
          <w:tcPr>
            <w:tcW w:w="3600" w:type="dxa"/>
            <w:hideMark/>
          </w:tcPr>
          <w:p w14:paraId="0F6FBC4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"(55)" at 1121.31</w:t>
            </w:r>
          </w:p>
        </w:tc>
      </w:tr>
      <w:tr w:rsidR="00DE7477" w:rsidRPr="00DE7477" w14:paraId="75A4B9BA" w14:textId="77777777" w:rsidTr="00DE7477">
        <w:trPr>
          <w:trHeight w:val="3060"/>
        </w:trPr>
        <w:tc>
          <w:tcPr>
            <w:tcW w:w="738" w:type="dxa"/>
            <w:hideMark/>
          </w:tcPr>
          <w:p w14:paraId="5220A23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4485</w:t>
            </w:r>
          </w:p>
        </w:tc>
        <w:tc>
          <w:tcPr>
            <w:tcW w:w="990" w:type="dxa"/>
            <w:hideMark/>
          </w:tcPr>
          <w:p w14:paraId="48FCBE0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1242.42</w:t>
            </w:r>
          </w:p>
        </w:tc>
        <w:tc>
          <w:tcPr>
            <w:tcW w:w="1080" w:type="dxa"/>
            <w:hideMark/>
          </w:tcPr>
          <w:p w14:paraId="2311D68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9.4.2.83</w:t>
            </w:r>
          </w:p>
        </w:tc>
        <w:tc>
          <w:tcPr>
            <w:tcW w:w="3600" w:type="dxa"/>
            <w:hideMark/>
          </w:tcPr>
          <w:p w14:paraId="7E609CC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Low Rate TIM Rate field provides an indication of the rate that is used to transmit the low data rate TIM frame, in units of 0.5 Mb/s. A value of 0 indicates that the low rate TIM frame is not transmitted." -- 11.2.3.15 TIM Broadcast does not allow the low rate TIM frame not to be txed; only the high rate one is optional to transmit</w:t>
            </w:r>
          </w:p>
        </w:tc>
        <w:tc>
          <w:tcPr>
            <w:tcW w:w="3600" w:type="dxa"/>
            <w:hideMark/>
          </w:tcPr>
          <w:p w14:paraId="5B6CBD3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"A value of 0 indicates that the low rate TIM frame is not transmitted."</w:t>
            </w:r>
          </w:p>
        </w:tc>
      </w:tr>
      <w:tr w:rsidR="00DE7477" w:rsidRPr="00DE7477" w14:paraId="65DAFDDC" w14:textId="77777777" w:rsidTr="00DE7477">
        <w:trPr>
          <w:trHeight w:val="3570"/>
        </w:trPr>
        <w:tc>
          <w:tcPr>
            <w:tcW w:w="738" w:type="dxa"/>
            <w:hideMark/>
          </w:tcPr>
          <w:p w14:paraId="4B761C5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4454</w:t>
            </w:r>
          </w:p>
        </w:tc>
        <w:tc>
          <w:tcPr>
            <w:tcW w:w="990" w:type="dxa"/>
            <w:hideMark/>
          </w:tcPr>
          <w:p w14:paraId="0D2A148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1518.53</w:t>
            </w:r>
          </w:p>
        </w:tc>
        <w:tc>
          <w:tcPr>
            <w:tcW w:w="1080" w:type="dxa"/>
            <w:hideMark/>
          </w:tcPr>
          <w:p w14:paraId="2262D14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9.6.3.8</w:t>
            </w:r>
          </w:p>
        </w:tc>
        <w:tc>
          <w:tcPr>
            <w:tcW w:w="3600" w:type="dxa"/>
            <w:hideMark/>
          </w:tcPr>
          <w:p w14:paraId="4403F7F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QoS Action field is defined in 9.6.3.1 (General). representing ADDTS Reserve Response.</w:t>
            </w:r>
            <w:r w:rsidRPr="00DE7477">
              <w:rPr>
                <w:rFonts w:ascii="Arial" w:eastAsia="Times New Roman" w:hAnsi="Arial" w:cs="Arial"/>
                <w:sz w:val="20"/>
                <w:lang w:val="en-US"/>
              </w:rPr>
              <w:br/>
              <w:t>The (#2110)Higher Layer Stream ID element is defined in 9.4.2.124 (Higher Layer Stream ID element).</w:t>
            </w:r>
            <w:r w:rsidRPr="00DE7477">
              <w:rPr>
                <w:rFonts w:ascii="Arial" w:eastAsia="Times New Roman" w:hAnsi="Arial" w:cs="Arial"/>
                <w:sz w:val="20"/>
                <w:lang w:val="en-US"/>
              </w:rPr>
              <w:br/>
              <w:t>The Status Code field is defined in 9.4.1.9 (Status Code field)." is too vague.  Needs to refer to specific contents.  Similarly in other locations in 9.6.3</w:t>
            </w:r>
          </w:p>
        </w:tc>
        <w:tc>
          <w:tcPr>
            <w:tcW w:w="3600" w:type="dxa"/>
            <w:hideMark/>
          </w:tcPr>
          <w:p w14:paraId="674BE69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At 1518.53, change to "The QoS Action field is defined in 9.6.3.1." and "The Higher Layer Stream ID field contains a Higher Layer Stream ID element (see 9.4.2.124)."</w:t>
            </w:r>
          </w:p>
        </w:tc>
      </w:tr>
      <w:tr w:rsidR="00DE7477" w:rsidRPr="00DE7477" w14:paraId="42E07B03" w14:textId="77777777" w:rsidTr="00DE7477">
        <w:trPr>
          <w:trHeight w:val="1020"/>
        </w:trPr>
        <w:tc>
          <w:tcPr>
            <w:tcW w:w="738" w:type="dxa"/>
            <w:hideMark/>
          </w:tcPr>
          <w:p w14:paraId="1D49BF2F"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4447</w:t>
            </w:r>
          </w:p>
        </w:tc>
        <w:tc>
          <w:tcPr>
            <w:tcW w:w="990" w:type="dxa"/>
            <w:hideMark/>
          </w:tcPr>
          <w:p w14:paraId="313834E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1718.01</w:t>
            </w:r>
          </w:p>
        </w:tc>
        <w:tc>
          <w:tcPr>
            <w:tcW w:w="1080" w:type="dxa"/>
            <w:hideMark/>
          </w:tcPr>
          <w:p w14:paraId="54518E8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10.1</w:t>
            </w:r>
          </w:p>
        </w:tc>
        <w:tc>
          <w:tcPr>
            <w:tcW w:w="3600" w:type="dxa"/>
            <w:hideMark/>
          </w:tcPr>
          <w:p w14:paraId="57D5B55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"Designation</w:t>
            </w:r>
            <w:r w:rsidRPr="00DE7477">
              <w:rPr>
                <w:rFonts w:ascii="Arial" w:eastAsia="Times New Roman" w:hAnsi="Arial" w:cs="Arial"/>
                <w:sz w:val="20"/>
                <w:lang w:val="en-US"/>
              </w:rPr>
              <w:br/>
              <w:t>(informative)" in Table 10-1 is not used anywhere, so just delete the column</w:t>
            </w:r>
          </w:p>
        </w:tc>
        <w:tc>
          <w:tcPr>
            <w:tcW w:w="3600" w:type="dxa"/>
            <w:hideMark/>
          </w:tcPr>
          <w:p w14:paraId="3C9BDFA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r w:rsidR="00DE7477" w:rsidRPr="00DE7477" w14:paraId="0CF99842" w14:textId="77777777" w:rsidTr="00DE7477">
        <w:trPr>
          <w:trHeight w:val="2295"/>
        </w:trPr>
        <w:tc>
          <w:tcPr>
            <w:tcW w:w="738" w:type="dxa"/>
            <w:hideMark/>
          </w:tcPr>
          <w:p w14:paraId="38DBFE6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4442</w:t>
            </w:r>
          </w:p>
        </w:tc>
        <w:tc>
          <w:tcPr>
            <w:tcW w:w="990" w:type="dxa"/>
            <w:hideMark/>
          </w:tcPr>
          <w:p w14:paraId="6ABB86D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2272.13</w:t>
            </w:r>
          </w:p>
        </w:tc>
        <w:tc>
          <w:tcPr>
            <w:tcW w:w="1080" w:type="dxa"/>
            <w:hideMark/>
          </w:tcPr>
          <w:p w14:paraId="3731B72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11.6.2</w:t>
            </w:r>
          </w:p>
        </w:tc>
        <w:tc>
          <w:tcPr>
            <w:tcW w:w="3600" w:type="dxa"/>
            <w:hideMark/>
          </w:tcPr>
          <w:p w14:paraId="094B6DF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If</w:t>
            </w:r>
            <w:r w:rsidRPr="00DE7477">
              <w:rPr>
                <w:rFonts w:ascii="Arial" w:eastAsia="Times New Roman" w:hAnsi="Arial" w:cs="Arial"/>
                <w:sz w:val="20"/>
                <w:lang w:val="en-US"/>
              </w:rPr>
              <w:br/>
              <w:t>the  MAC  and  the  transmitter  of  the  (#1072)(#2409)sync  packet  are  collocated  within  the  same  STA" -- huh?  How can a MAC and a transmitter be distinct things that are collocated within a STA?</w:t>
            </w:r>
          </w:p>
        </w:tc>
        <w:tc>
          <w:tcPr>
            <w:tcW w:w="3600" w:type="dxa"/>
            <w:hideMark/>
          </w:tcPr>
          <w:p w14:paraId="2DC5812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the cited text to "If the STA is the transmitter of the sync packet"</w:t>
            </w:r>
          </w:p>
        </w:tc>
      </w:tr>
      <w:tr w:rsidR="00DE7477" w:rsidRPr="00DE7477" w14:paraId="4345C25E" w14:textId="77777777" w:rsidTr="00DE7477">
        <w:trPr>
          <w:trHeight w:val="2040"/>
        </w:trPr>
        <w:tc>
          <w:tcPr>
            <w:tcW w:w="738" w:type="dxa"/>
            <w:hideMark/>
          </w:tcPr>
          <w:p w14:paraId="5E52C79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4422</w:t>
            </w:r>
          </w:p>
        </w:tc>
        <w:tc>
          <w:tcPr>
            <w:tcW w:w="990" w:type="dxa"/>
            <w:hideMark/>
          </w:tcPr>
          <w:p w14:paraId="28BF946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1834.17</w:t>
            </w:r>
          </w:p>
        </w:tc>
        <w:tc>
          <w:tcPr>
            <w:tcW w:w="1080" w:type="dxa"/>
            <w:hideMark/>
          </w:tcPr>
          <w:p w14:paraId="58ACA46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10.23.2.7</w:t>
            </w:r>
          </w:p>
        </w:tc>
        <w:tc>
          <w:tcPr>
            <w:tcW w:w="3600" w:type="dxa"/>
            <w:hideMark/>
          </w:tcPr>
          <w:p w14:paraId="722D039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"Frames from the primary AC shall be transmitted first." is not clear: does it mean at least one (or two?) shall be transmitted, or does it mean all available shall be transmitted (cf.previous bullet)</w:t>
            </w:r>
          </w:p>
        </w:tc>
        <w:tc>
          <w:tcPr>
            <w:tcW w:w="3600" w:type="dxa"/>
            <w:hideMark/>
          </w:tcPr>
          <w:p w14:paraId="43EF02A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"All frames  from  the  primary  AC  shall  be</w:t>
            </w:r>
            <w:r w:rsidRPr="00DE7477">
              <w:rPr>
                <w:rFonts w:ascii="Arial" w:eastAsia="Times New Roman" w:hAnsi="Arial" w:cs="Arial"/>
                <w:sz w:val="20"/>
                <w:lang w:val="en-US"/>
              </w:rPr>
              <w:br/>
              <w:t>transmitted first"</w:t>
            </w:r>
          </w:p>
        </w:tc>
      </w:tr>
      <w:tr w:rsidR="00DE7477" w:rsidRPr="00DE7477" w14:paraId="6FD2111C" w14:textId="77777777" w:rsidTr="00DE7477">
        <w:trPr>
          <w:trHeight w:val="8190"/>
        </w:trPr>
        <w:tc>
          <w:tcPr>
            <w:tcW w:w="738" w:type="dxa"/>
            <w:hideMark/>
          </w:tcPr>
          <w:p w14:paraId="663E7A18"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4418</w:t>
            </w:r>
          </w:p>
        </w:tc>
        <w:tc>
          <w:tcPr>
            <w:tcW w:w="990" w:type="dxa"/>
            <w:hideMark/>
          </w:tcPr>
          <w:p w14:paraId="05DEE4C8"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1113.25</w:t>
            </w:r>
          </w:p>
        </w:tc>
        <w:tc>
          <w:tcPr>
            <w:tcW w:w="1080" w:type="dxa"/>
            <w:hideMark/>
          </w:tcPr>
          <w:p w14:paraId="52FB7C0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9.4.2.26</w:t>
            </w:r>
          </w:p>
        </w:tc>
        <w:tc>
          <w:tcPr>
            <w:tcW w:w="3600" w:type="dxa"/>
            <w:hideMark/>
          </w:tcPr>
          <w:p w14:paraId="14D1512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"Reject Unadmitted Frame" extended capability is weird: "When dot11RejectUnadmittedTraffic is true, the Reject Unadmitted Frame bit is</w:t>
            </w:r>
            <w:r w:rsidRPr="00DE7477">
              <w:rPr>
                <w:rFonts w:ascii="Arial" w:eastAsia="Times New Roman" w:hAnsi="Arial" w:cs="Arial"/>
                <w:sz w:val="20"/>
                <w:lang w:val="en-US"/>
              </w:rPr>
              <w:br/>
              <w:t>set to 1 to indicate that the STA rejects MA-UNITDATA.request primitives for</w:t>
            </w:r>
            <w:r w:rsidRPr="00DE7477">
              <w:rPr>
                <w:rFonts w:ascii="Arial" w:eastAsia="Times New Roman" w:hAnsi="Arial" w:cs="Arial"/>
                <w:sz w:val="20"/>
                <w:lang w:val="en-US"/>
              </w:rPr>
              <w:br/>
              <w:t>frames belonging to an unadmitted TS.</w:t>
            </w:r>
            <w:r w:rsidRPr="00DE7477">
              <w:rPr>
                <w:rFonts w:ascii="Arial" w:eastAsia="Times New Roman" w:hAnsi="Arial" w:cs="Arial"/>
                <w:sz w:val="20"/>
                <w:lang w:val="en-US"/>
              </w:rPr>
              <w:br/>
              <w:t>When dot11RejectUnadmittedTraffic is false, the Reject Unadmitted Frame bit is</w:t>
            </w:r>
            <w:r w:rsidRPr="00DE7477">
              <w:rPr>
                <w:rFonts w:ascii="Arial" w:eastAsia="Times New Roman" w:hAnsi="Arial" w:cs="Arial"/>
                <w:sz w:val="20"/>
                <w:lang w:val="en-US"/>
              </w:rPr>
              <w:br/>
              <w:t>set to 0 to indicate that the STA is not required to reject MA-UNITDATA.request</w:t>
            </w:r>
            <w:r w:rsidRPr="00DE7477">
              <w:rPr>
                <w:rFonts w:ascii="Arial" w:eastAsia="Times New Roman" w:hAnsi="Arial" w:cs="Arial"/>
                <w:sz w:val="20"/>
                <w:lang w:val="en-US"/>
              </w:rPr>
              <w:br/>
              <w:t>primitives for frames belonging to an unadmitted TS.".  Why does the peer need to know the local policy on rejecting unadmitted traffic?  Why does the peer not need to know for sure whether the peer will reject unadmitted traffic ("is not required to reject" ... but might).  Also "the STA's MA-UNITDATA primitive rejects</w:t>
            </w:r>
            <w:r w:rsidRPr="00DE7477">
              <w:rPr>
                <w:rFonts w:ascii="Arial" w:eastAsia="Times New Roman" w:hAnsi="Arial" w:cs="Arial"/>
                <w:sz w:val="20"/>
                <w:lang w:val="en-US"/>
              </w:rPr>
              <w:br/>
              <w:t>frames" is weird -- it's not the primitive that rejects, it's the STA, and there is no MA-UNITDATA primitive, there are only MA-UNITDATA.something primitives</w:t>
            </w:r>
          </w:p>
        </w:tc>
        <w:tc>
          <w:tcPr>
            <w:tcW w:w="3600" w:type="dxa"/>
            <w:hideMark/>
          </w:tcPr>
          <w:p w14:paraId="3D22819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Table 9-153--Extended Capabilities field change "the STA rejects MA-UNITDATA.request primitives for</w:t>
            </w:r>
            <w:r w:rsidRPr="00DE7477">
              <w:rPr>
                <w:rFonts w:ascii="Arial" w:eastAsia="Times New Roman" w:hAnsi="Arial" w:cs="Arial"/>
                <w:sz w:val="20"/>
                <w:lang w:val="en-US"/>
              </w:rPr>
              <w:br/>
              <w:t>frames belonging to an unadmitted TS" to "the STA does not transmit frames belonging to an unadmitted TS" and "the STA is not required to reject MA-UNITDATA.request</w:t>
            </w:r>
            <w:r w:rsidRPr="00DE7477">
              <w:rPr>
                <w:rFonts w:ascii="Arial" w:eastAsia="Times New Roman" w:hAnsi="Arial" w:cs="Arial"/>
                <w:sz w:val="20"/>
                <w:lang w:val="en-US"/>
              </w:rPr>
              <w:br/>
              <w:t>primitives for frames belonging to an unadmitted TS" to "the STA might transmit frames belonging to an unadmitted TS".  In C.3 change "This attribute when true indicates the STA's MA-UNITDATA primitive rejects</w:t>
            </w:r>
            <w:r w:rsidRPr="00DE7477">
              <w:rPr>
                <w:rFonts w:ascii="Arial" w:eastAsia="Times New Roman" w:hAnsi="Arial" w:cs="Arial"/>
                <w:sz w:val="20"/>
                <w:lang w:val="en-US"/>
              </w:rPr>
              <w:br/>
              <w:t>frames" to "This attribute when true indicates the STA rejects MA-UNITDATA.requests"</w:t>
            </w:r>
          </w:p>
        </w:tc>
      </w:tr>
      <w:tr w:rsidR="00DE7477" w:rsidRPr="00DE7477" w14:paraId="7FBD2720" w14:textId="77777777" w:rsidTr="00DE7477">
        <w:trPr>
          <w:trHeight w:val="1530"/>
        </w:trPr>
        <w:tc>
          <w:tcPr>
            <w:tcW w:w="738" w:type="dxa"/>
            <w:hideMark/>
          </w:tcPr>
          <w:p w14:paraId="68E75329"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4323</w:t>
            </w:r>
          </w:p>
        </w:tc>
        <w:tc>
          <w:tcPr>
            <w:tcW w:w="990" w:type="dxa"/>
            <w:hideMark/>
          </w:tcPr>
          <w:p w14:paraId="0D6E2CA1"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2154.47</w:t>
            </w:r>
          </w:p>
        </w:tc>
        <w:tc>
          <w:tcPr>
            <w:tcW w:w="1080" w:type="dxa"/>
            <w:hideMark/>
          </w:tcPr>
          <w:p w14:paraId="56B2E31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27BE076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decimal value of the 11 LSBs of the AID assigned to an S1G STA shall be" -- the value is the value; the encoding/representation is irrelevant</w:t>
            </w:r>
          </w:p>
        </w:tc>
        <w:tc>
          <w:tcPr>
            <w:tcW w:w="3600" w:type="dxa"/>
            <w:hideMark/>
          </w:tcPr>
          <w:p w14:paraId="402FAAE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"decimal " in the cited text</w:t>
            </w:r>
          </w:p>
        </w:tc>
      </w:tr>
      <w:tr w:rsidR="00DE7477" w:rsidRPr="00DE7477" w14:paraId="5BF7E43F" w14:textId="77777777" w:rsidTr="00DE7477">
        <w:trPr>
          <w:trHeight w:val="1530"/>
        </w:trPr>
        <w:tc>
          <w:tcPr>
            <w:tcW w:w="738" w:type="dxa"/>
            <w:hideMark/>
          </w:tcPr>
          <w:p w14:paraId="1692FF7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4392</w:t>
            </w:r>
          </w:p>
        </w:tc>
        <w:tc>
          <w:tcPr>
            <w:tcW w:w="990" w:type="dxa"/>
            <w:hideMark/>
          </w:tcPr>
          <w:p w14:paraId="205E85F8"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2187.02</w:t>
            </w:r>
          </w:p>
        </w:tc>
        <w:tc>
          <w:tcPr>
            <w:tcW w:w="1080" w:type="dxa"/>
            <w:hideMark/>
          </w:tcPr>
          <w:p w14:paraId="65462E7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11.2.3.6</w:t>
            </w:r>
          </w:p>
        </w:tc>
        <w:tc>
          <w:tcPr>
            <w:tcW w:w="3600" w:type="dxa"/>
            <w:hideMark/>
          </w:tcPr>
          <w:p w14:paraId="507288D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There is no strictly ordered service class anymore</w:t>
            </w:r>
          </w:p>
        </w:tc>
        <w:tc>
          <w:tcPr>
            <w:tcW w:w="3600" w:type="dxa"/>
            <w:hideMark/>
          </w:tcPr>
          <w:p w14:paraId="54F87D9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the referenced para delete ", except those that have the StrictlyOrdered service</w:t>
            </w:r>
            <w:r w:rsidRPr="00DE7477">
              <w:rPr>
                <w:rFonts w:ascii="Arial" w:eastAsia="Times New Roman" w:hAnsi="Arial" w:cs="Arial"/>
                <w:sz w:val="20"/>
                <w:lang w:val="en-US"/>
              </w:rPr>
              <w:br/>
              <w:t>class" (2x).  In Figure 9-27 delete "/</w:t>
            </w:r>
            <w:r w:rsidRPr="00DE7477">
              <w:rPr>
                <w:rFonts w:ascii="Arial" w:eastAsia="Times New Roman" w:hAnsi="Arial" w:cs="Arial"/>
                <w:sz w:val="20"/>
                <w:lang w:val="en-US"/>
              </w:rPr>
              <w:br/>
              <w:t>Order"</w:t>
            </w:r>
          </w:p>
        </w:tc>
      </w:tr>
      <w:tr w:rsidR="00DE7477" w:rsidRPr="00DE7477" w14:paraId="18F3F57E" w14:textId="77777777" w:rsidTr="00DE7477">
        <w:trPr>
          <w:trHeight w:val="2040"/>
        </w:trPr>
        <w:tc>
          <w:tcPr>
            <w:tcW w:w="738" w:type="dxa"/>
            <w:hideMark/>
          </w:tcPr>
          <w:p w14:paraId="4FFC3A8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4342</w:t>
            </w:r>
          </w:p>
        </w:tc>
        <w:tc>
          <w:tcPr>
            <w:tcW w:w="990" w:type="dxa"/>
            <w:hideMark/>
          </w:tcPr>
          <w:p w14:paraId="1A5E074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1563.10</w:t>
            </w:r>
          </w:p>
        </w:tc>
        <w:tc>
          <w:tcPr>
            <w:tcW w:w="1080" w:type="dxa"/>
            <w:hideMark/>
          </w:tcPr>
          <w:p w14:paraId="2449745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9.6.7.36</w:t>
            </w:r>
          </w:p>
        </w:tc>
        <w:tc>
          <w:tcPr>
            <w:tcW w:w="3600" w:type="dxa"/>
            <w:hideMark/>
          </w:tcPr>
          <w:p w14:paraId="3101607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Should qualify the MCS in Table 9-386--FILS Minimum Rate</w:t>
            </w:r>
          </w:p>
        </w:tc>
        <w:tc>
          <w:tcPr>
            <w:tcW w:w="3600" w:type="dxa"/>
            <w:hideMark/>
          </w:tcPr>
          <w:p w14:paraId="1CDE587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Table 9-386--FILS Minimum Rate add "HT-" before "MCS" in the penultimate column, and "VHT-" before "MCS" in the last column (note this covers TVHT via the hand-wavy substitution rules elsewhere)</w:t>
            </w:r>
          </w:p>
        </w:tc>
      </w:tr>
      <w:tr w:rsidR="00DE7477" w:rsidRPr="00DE7477" w14:paraId="11B7EAD0" w14:textId="77777777" w:rsidTr="00DE7477">
        <w:trPr>
          <w:trHeight w:val="1275"/>
        </w:trPr>
        <w:tc>
          <w:tcPr>
            <w:tcW w:w="738" w:type="dxa"/>
            <w:hideMark/>
          </w:tcPr>
          <w:p w14:paraId="621DA1B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4376</w:t>
            </w:r>
          </w:p>
        </w:tc>
        <w:tc>
          <w:tcPr>
            <w:tcW w:w="990" w:type="dxa"/>
            <w:hideMark/>
          </w:tcPr>
          <w:p w14:paraId="25D1B32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8D20E6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w:t>
            </w:r>
          </w:p>
        </w:tc>
        <w:tc>
          <w:tcPr>
            <w:tcW w:w="3600" w:type="dxa"/>
            <w:hideMark/>
          </w:tcPr>
          <w:p w14:paraId="2D7F19E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Some of the Frame Control field figures have the wrong bit numbering: the PV should be "B0 B1" not "B1 B2".  Fix in Figure 9-5, 9-6</w:t>
            </w:r>
          </w:p>
        </w:tc>
        <w:tc>
          <w:tcPr>
            <w:tcW w:w="3600" w:type="dxa"/>
            <w:hideMark/>
          </w:tcPr>
          <w:p w14:paraId="0010707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r w:rsidR="00DE7477" w:rsidRPr="00DE7477" w14:paraId="21AE1004" w14:textId="77777777" w:rsidTr="00DE7477">
        <w:trPr>
          <w:trHeight w:val="2040"/>
        </w:trPr>
        <w:tc>
          <w:tcPr>
            <w:tcW w:w="738" w:type="dxa"/>
            <w:hideMark/>
          </w:tcPr>
          <w:p w14:paraId="57B7F60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4373</w:t>
            </w:r>
          </w:p>
        </w:tc>
        <w:tc>
          <w:tcPr>
            <w:tcW w:w="990" w:type="dxa"/>
            <w:hideMark/>
          </w:tcPr>
          <w:p w14:paraId="4765F7C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1609.54</w:t>
            </w:r>
          </w:p>
        </w:tc>
        <w:tc>
          <w:tcPr>
            <w:tcW w:w="1080" w:type="dxa"/>
            <w:hideMark/>
          </w:tcPr>
          <w:p w14:paraId="2DDE518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9.6.13.20</w:t>
            </w:r>
          </w:p>
        </w:tc>
        <w:tc>
          <w:tcPr>
            <w:tcW w:w="3600" w:type="dxa"/>
            <w:hideMark/>
          </w:tcPr>
          <w:p w14:paraId="44EA542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"Each subelement starts with the ID and</w:t>
            </w:r>
            <w:r w:rsidRPr="00DE7477">
              <w:rPr>
                <w:rFonts w:ascii="Arial" w:eastAsia="Times New Roman" w:hAnsi="Arial" w:cs="Arial"/>
                <w:sz w:val="20"/>
                <w:lang w:val="en-US"/>
              </w:rPr>
              <w:br/>
              <w:t>Length fields. The Length field in the subelement is the length of the contents of the subelement." is duplication of the general rules for subelements</w:t>
            </w:r>
          </w:p>
        </w:tc>
        <w:tc>
          <w:tcPr>
            <w:tcW w:w="3600" w:type="dxa"/>
            <w:hideMark/>
          </w:tcPr>
          <w:p w14:paraId="6CAC1BA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w:t>
            </w:r>
          </w:p>
        </w:tc>
      </w:tr>
      <w:tr w:rsidR="00DE7477" w:rsidRPr="00DE7477" w14:paraId="63B9D5C9" w14:textId="77777777" w:rsidTr="00DE7477">
        <w:trPr>
          <w:trHeight w:val="765"/>
        </w:trPr>
        <w:tc>
          <w:tcPr>
            <w:tcW w:w="738" w:type="dxa"/>
            <w:hideMark/>
          </w:tcPr>
          <w:p w14:paraId="2DA9396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4371</w:t>
            </w:r>
          </w:p>
        </w:tc>
        <w:tc>
          <w:tcPr>
            <w:tcW w:w="990" w:type="dxa"/>
            <w:hideMark/>
          </w:tcPr>
          <w:p w14:paraId="500BF6F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2376.17</w:t>
            </w:r>
          </w:p>
        </w:tc>
        <w:tc>
          <w:tcPr>
            <w:tcW w:w="1080" w:type="dxa"/>
            <w:hideMark/>
          </w:tcPr>
          <w:p w14:paraId="760F283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11.22.6.4</w:t>
            </w:r>
          </w:p>
        </w:tc>
        <w:tc>
          <w:tcPr>
            <w:tcW w:w="3600" w:type="dxa"/>
            <w:hideMark/>
          </w:tcPr>
          <w:p w14:paraId="3E85C94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"initial Fine Timing Request frame" -- no such frame</w:t>
            </w:r>
          </w:p>
        </w:tc>
        <w:tc>
          <w:tcPr>
            <w:tcW w:w="3600" w:type="dxa"/>
            <w:hideMark/>
          </w:tcPr>
          <w:p w14:paraId="2D885F3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r w:rsidR="00DE7477" w:rsidRPr="00DE7477" w14:paraId="5EA2804F" w14:textId="77777777" w:rsidTr="00DE7477">
        <w:trPr>
          <w:trHeight w:val="765"/>
        </w:trPr>
        <w:tc>
          <w:tcPr>
            <w:tcW w:w="738" w:type="dxa"/>
            <w:hideMark/>
          </w:tcPr>
          <w:p w14:paraId="6B4B762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4370</w:t>
            </w:r>
          </w:p>
        </w:tc>
        <w:tc>
          <w:tcPr>
            <w:tcW w:w="990" w:type="dxa"/>
            <w:hideMark/>
          </w:tcPr>
          <w:p w14:paraId="4901ADB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1353.29</w:t>
            </w:r>
          </w:p>
        </w:tc>
        <w:tc>
          <w:tcPr>
            <w:tcW w:w="1080" w:type="dxa"/>
            <w:hideMark/>
          </w:tcPr>
          <w:p w14:paraId="6071E14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0BDC498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"Fine Timing Request" -- no such frame</w:t>
            </w:r>
          </w:p>
        </w:tc>
        <w:tc>
          <w:tcPr>
            <w:tcW w:w="3600" w:type="dxa"/>
            <w:hideMark/>
          </w:tcPr>
          <w:p w14:paraId="1CFE30C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r w:rsidR="00DE7477" w:rsidRPr="00DE7477" w14:paraId="258CF627" w14:textId="77777777" w:rsidTr="00DE7477">
        <w:trPr>
          <w:trHeight w:val="1275"/>
        </w:trPr>
        <w:tc>
          <w:tcPr>
            <w:tcW w:w="738" w:type="dxa"/>
            <w:hideMark/>
          </w:tcPr>
          <w:p w14:paraId="1B21491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4351</w:t>
            </w:r>
          </w:p>
        </w:tc>
        <w:tc>
          <w:tcPr>
            <w:tcW w:w="990" w:type="dxa"/>
            <w:hideMark/>
          </w:tcPr>
          <w:p w14:paraId="66FEC56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6E7375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7F43C0C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e) appears to duplicate d), though d) does not give the destination address</w:t>
            </w:r>
          </w:p>
        </w:tc>
        <w:tc>
          <w:tcPr>
            <w:tcW w:w="3600" w:type="dxa"/>
            <w:hideMark/>
          </w:tcPr>
          <w:p w14:paraId="6548666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e) and in d) after "send zero or more probe requests" add " to the broadcast destination address"</w:t>
            </w:r>
          </w:p>
        </w:tc>
      </w:tr>
      <w:tr w:rsidR="00DE7477" w:rsidRPr="00DE7477" w14:paraId="01C36585" w14:textId="77777777" w:rsidTr="00DE7477">
        <w:trPr>
          <w:trHeight w:val="2295"/>
        </w:trPr>
        <w:tc>
          <w:tcPr>
            <w:tcW w:w="738" w:type="dxa"/>
            <w:hideMark/>
          </w:tcPr>
          <w:p w14:paraId="2BCBF84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4349</w:t>
            </w:r>
          </w:p>
        </w:tc>
        <w:tc>
          <w:tcPr>
            <w:tcW w:w="990" w:type="dxa"/>
            <w:hideMark/>
          </w:tcPr>
          <w:p w14:paraId="4AFFB76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2159.29</w:t>
            </w:r>
          </w:p>
        </w:tc>
        <w:tc>
          <w:tcPr>
            <w:tcW w:w="1080" w:type="dxa"/>
            <w:hideMark/>
          </w:tcPr>
          <w:p w14:paraId="4F2B791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51D1CB5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 says "These additional probe</w:t>
            </w:r>
            <w:r w:rsidRPr="00DE7477">
              <w:rPr>
                <w:rFonts w:ascii="Arial" w:eastAsia="Times New Roman" w:hAnsi="Arial" w:cs="Arial"/>
                <w:sz w:val="20"/>
                <w:lang w:val="en-US"/>
              </w:rPr>
              <w:br/>
              <w:t>requests (following step c)) should only carry SSIDs not indicated in the step c) probe request.".  Why is this a should?  There's no point sending probes for stuff that has already been probed</w:t>
            </w:r>
          </w:p>
        </w:tc>
        <w:tc>
          <w:tcPr>
            <w:tcW w:w="3600" w:type="dxa"/>
            <w:hideMark/>
          </w:tcPr>
          <w:p w14:paraId="78737E5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"should" in the cited text</w:t>
            </w:r>
          </w:p>
        </w:tc>
      </w:tr>
      <w:tr w:rsidR="00DE7477" w:rsidRPr="00DE7477" w14:paraId="641AA938" w14:textId="77777777" w:rsidTr="00DE7477">
        <w:trPr>
          <w:trHeight w:val="765"/>
        </w:trPr>
        <w:tc>
          <w:tcPr>
            <w:tcW w:w="738" w:type="dxa"/>
            <w:hideMark/>
          </w:tcPr>
          <w:p w14:paraId="401A478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4489</w:t>
            </w:r>
          </w:p>
        </w:tc>
        <w:tc>
          <w:tcPr>
            <w:tcW w:w="990" w:type="dxa"/>
            <w:hideMark/>
          </w:tcPr>
          <w:p w14:paraId="4B37DAD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38D278A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D6BEB7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30345E8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each to "Handover Remaining BI field"</w:t>
            </w:r>
          </w:p>
        </w:tc>
      </w:tr>
      <w:tr w:rsidR="00DE7477" w:rsidRPr="00DE7477" w14:paraId="0DBCF626" w14:textId="77777777" w:rsidTr="00DE7477">
        <w:trPr>
          <w:trHeight w:val="765"/>
        </w:trPr>
        <w:tc>
          <w:tcPr>
            <w:tcW w:w="738" w:type="dxa"/>
            <w:hideMark/>
          </w:tcPr>
          <w:p w14:paraId="6DDABD2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4410</w:t>
            </w:r>
          </w:p>
        </w:tc>
        <w:tc>
          <w:tcPr>
            <w:tcW w:w="990" w:type="dxa"/>
            <w:hideMark/>
          </w:tcPr>
          <w:p w14:paraId="7B9886D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2375.25</w:t>
            </w:r>
          </w:p>
        </w:tc>
        <w:tc>
          <w:tcPr>
            <w:tcW w:w="1080" w:type="dxa"/>
            <w:hideMark/>
          </w:tcPr>
          <w:p w14:paraId="257AE7E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11.22.6.3</w:t>
            </w:r>
          </w:p>
        </w:tc>
        <w:tc>
          <w:tcPr>
            <w:tcW w:w="3600" w:type="dxa"/>
            <w:hideMark/>
          </w:tcPr>
          <w:p w14:paraId="771FB9D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the Fine Timing Parameters field" -- no such field</w:t>
            </w:r>
          </w:p>
        </w:tc>
        <w:tc>
          <w:tcPr>
            <w:tcW w:w="3600" w:type="dxa"/>
            <w:hideMark/>
          </w:tcPr>
          <w:p w14:paraId="1728A7E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the Fine Timing Measurement Parameters field"</w:t>
            </w:r>
          </w:p>
        </w:tc>
      </w:tr>
      <w:tr w:rsidR="00873D4A" w:rsidRPr="00DE7477" w14:paraId="2CE3E9CA" w14:textId="77777777" w:rsidTr="00DE7477">
        <w:trPr>
          <w:trHeight w:val="765"/>
        </w:trPr>
        <w:tc>
          <w:tcPr>
            <w:tcW w:w="738" w:type="dxa"/>
          </w:tcPr>
          <w:p w14:paraId="5BD46E25" w14:textId="671F13FC" w:rsidR="00873D4A" w:rsidRPr="00DE7477" w:rsidRDefault="00873D4A" w:rsidP="00873D4A">
            <w:pPr>
              <w:jc w:val="right"/>
              <w:rPr>
                <w:rFonts w:ascii="Arial" w:eastAsia="Times New Roman" w:hAnsi="Arial" w:cs="Arial"/>
                <w:sz w:val="20"/>
                <w:lang w:val="en-US"/>
              </w:rPr>
            </w:pPr>
            <w:r w:rsidRPr="00233EF1">
              <w:rPr>
                <w:rFonts w:ascii="Arial" w:eastAsia="Times New Roman" w:hAnsi="Arial" w:cs="Arial"/>
                <w:color w:val="000000"/>
                <w:sz w:val="20"/>
                <w:lang w:val="en-US"/>
              </w:rPr>
              <w:t>4814</w:t>
            </w:r>
          </w:p>
        </w:tc>
        <w:tc>
          <w:tcPr>
            <w:tcW w:w="990" w:type="dxa"/>
          </w:tcPr>
          <w:p w14:paraId="7F9268EA" w14:textId="2E4E9373" w:rsidR="00873D4A" w:rsidRPr="00DE7477" w:rsidRDefault="00873D4A" w:rsidP="00873D4A">
            <w:pPr>
              <w:jc w:val="right"/>
              <w:rPr>
                <w:rFonts w:ascii="Arial" w:eastAsia="Times New Roman" w:hAnsi="Arial" w:cs="Arial"/>
                <w:sz w:val="20"/>
                <w:lang w:val="en-US"/>
              </w:rPr>
            </w:pPr>
            <w:r w:rsidRPr="00233EF1">
              <w:rPr>
                <w:rFonts w:ascii="Arial" w:eastAsia="Times New Roman" w:hAnsi="Arial" w:cs="Arial"/>
                <w:color w:val="000000"/>
                <w:sz w:val="20"/>
                <w:lang w:val="en-US"/>
              </w:rPr>
              <w:t>287.</w:t>
            </w:r>
            <w:r>
              <w:rPr>
                <w:rFonts w:ascii="Arial" w:eastAsia="Times New Roman" w:hAnsi="Arial" w:cs="Arial"/>
                <w:color w:val="000000"/>
                <w:sz w:val="20"/>
                <w:lang w:val="en-US"/>
              </w:rPr>
              <w:t>48</w:t>
            </w:r>
          </w:p>
        </w:tc>
        <w:tc>
          <w:tcPr>
            <w:tcW w:w="1080" w:type="dxa"/>
          </w:tcPr>
          <w:p w14:paraId="2ECFD34B" w14:textId="177B61A5"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t>4.1</w:t>
            </w:r>
          </w:p>
        </w:tc>
        <w:tc>
          <w:tcPr>
            <w:tcW w:w="3600" w:type="dxa"/>
          </w:tcPr>
          <w:p w14:paraId="75E9A881" w14:textId="735DB9A0"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t>The 802.11 Style Guide says clause 4 should be written in delcarative,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tcPr>
          <w:p w14:paraId="1FF248EA" w14:textId="6DA7224A"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t>At least 4.10, and potentially all of clause 4, needs to be scrubbed for details that are beyond "general description" and/or are the best/only normative specification in the Standard of any behaviors, and move such text to a later clause.</w:t>
            </w:r>
          </w:p>
        </w:tc>
      </w:tr>
      <w:tr w:rsidR="00873D4A" w:rsidRPr="00DE7477" w14:paraId="61B1DE23" w14:textId="77777777" w:rsidTr="00DE7477">
        <w:trPr>
          <w:trHeight w:val="765"/>
        </w:trPr>
        <w:tc>
          <w:tcPr>
            <w:tcW w:w="738" w:type="dxa"/>
          </w:tcPr>
          <w:p w14:paraId="652B66D9" w14:textId="7FA3C2D2"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lastRenderedPageBreak/>
              <w:t>4813</w:t>
            </w:r>
          </w:p>
        </w:tc>
        <w:tc>
          <w:tcPr>
            <w:tcW w:w="990" w:type="dxa"/>
          </w:tcPr>
          <w:p w14:paraId="4D1575D0" w14:textId="4875F7E3"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769.</w:t>
            </w:r>
            <w:r>
              <w:rPr>
                <w:rFonts w:ascii="Arial" w:eastAsia="Times New Roman" w:hAnsi="Arial" w:cs="Arial"/>
                <w:color w:val="000000"/>
                <w:sz w:val="20"/>
                <w:lang w:val="en-US"/>
              </w:rPr>
              <w:t>44</w:t>
            </w:r>
          </w:p>
        </w:tc>
        <w:tc>
          <w:tcPr>
            <w:tcW w:w="1080" w:type="dxa"/>
          </w:tcPr>
          <w:p w14:paraId="4B558461" w14:textId="70B39435"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8.3.5.6.2</w:t>
            </w:r>
          </w:p>
        </w:tc>
        <w:tc>
          <w:tcPr>
            <w:tcW w:w="3600" w:type="dxa"/>
          </w:tcPr>
          <w:p w14:paraId="2AC45295" w14:textId="34499FCE"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8.3.5.6.2 says "The required PHY parameters are listed in 8.3.4.3 (PHY SAP service primitives parameters)." But, 8.3.4.3 just says "A set of parameters" for PHY-TXSTART.confirm (and .request).</w:t>
            </w:r>
          </w:p>
        </w:tc>
        <w:tc>
          <w:tcPr>
            <w:tcW w:w="3600" w:type="dxa"/>
          </w:tcPr>
          <w:p w14:paraId="48A0F3B2" w14:textId="078460B4"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102645F0" w14:textId="77777777" w:rsidTr="00DE7477">
        <w:trPr>
          <w:trHeight w:val="765"/>
        </w:trPr>
        <w:tc>
          <w:tcPr>
            <w:tcW w:w="738" w:type="dxa"/>
          </w:tcPr>
          <w:p w14:paraId="173EC4BE" w14:textId="2755D165"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4812</w:t>
            </w:r>
          </w:p>
        </w:tc>
        <w:tc>
          <w:tcPr>
            <w:tcW w:w="990" w:type="dxa"/>
          </w:tcPr>
          <w:p w14:paraId="5E0E60A6" w14:textId="224ED4ED"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308.0</w:t>
            </w:r>
            <w:r>
              <w:rPr>
                <w:rFonts w:ascii="Arial" w:eastAsia="Times New Roman" w:hAnsi="Arial" w:cs="Arial"/>
                <w:color w:val="000000"/>
                <w:sz w:val="20"/>
                <w:lang w:val="en-US"/>
              </w:rPr>
              <w:t>1</w:t>
            </w:r>
          </w:p>
        </w:tc>
        <w:tc>
          <w:tcPr>
            <w:tcW w:w="1080" w:type="dxa"/>
          </w:tcPr>
          <w:p w14:paraId="689E9FE9" w14:textId="454B5BA5"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5.1.5.7</w:t>
            </w:r>
          </w:p>
        </w:tc>
        <w:tc>
          <w:tcPr>
            <w:tcW w:w="3600" w:type="dxa"/>
          </w:tcPr>
          <w:p w14:paraId="2869A528" w14:textId="770790B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There's no figure in clause 5 (like Figure 5-7) for a DMG Relay.</w:t>
            </w:r>
          </w:p>
        </w:tc>
        <w:tc>
          <w:tcPr>
            <w:tcW w:w="3600" w:type="dxa"/>
          </w:tcPr>
          <w:p w14:paraId="77F1BE81" w14:textId="7847E37E"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707D3B44" w14:textId="77777777" w:rsidTr="00DE7477">
        <w:trPr>
          <w:trHeight w:val="765"/>
        </w:trPr>
        <w:tc>
          <w:tcPr>
            <w:tcW w:w="738" w:type="dxa"/>
          </w:tcPr>
          <w:p w14:paraId="0D5DDFD3" w14:textId="0F57914C"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4784</w:t>
            </w:r>
          </w:p>
        </w:tc>
        <w:tc>
          <w:tcPr>
            <w:tcW w:w="990" w:type="dxa"/>
          </w:tcPr>
          <w:p w14:paraId="6560695B" w14:textId="2D6DD22C"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3857.0</w:t>
            </w:r>
            <w:r>
              <w:rPr>
                <w:rFonts w:ascii="Arial" w:eastAsia="Times New Roman" w:hAnsi="Arial" w:cs="Arial"/>
                <w:color w:val="000000"/>
                <w:sz w:val="20"/>
                <w:lang w:val="en-US"/>
              </w:rPr>
              <w:t>8</w:t>
            </w:r>
          </w:p>
        </w:tc>
        <w:tc>
          <w:tcPr>
            <w:tcW w:w="1080" w:type="dxa"/>
          </w:tcPr>
          <w:p w14:paraId="3EB6C1BE" w14:textId="6924B959"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C.3</w:t>
            </w:r>
          </w:p>
        </w:tc>
        <w:tc>
          <w:tcPr>
            <w:tcW w:w="3600" w:type="dxa"/>
          </w:tcPr>
          <w:p w14:paraId="04336F44" w14:textId="40E7839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Put the DESCRIPTION for 11ak MIB attributes in the standard layout.</w:t>
            </w:r>
          </w:p>
        </w:tc>
        <w:tc>
          <w:tcPr>
            <w:tcW w:w="3600" w:type="dxa"/>
          </w:tcPr>
          <w:p w14:paraId="444043FE" w14:textId="0CB02627"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272E6FB1" w14:textId="77777777" w:rsidTr="00DE7477">
        <w:trPr>
          <w:trHeight w:val="765"/>
        </w:trPr>
        <w:tc>
          <w:tcPr>
            <w:tcW w:w="738" w:type="dxa"/>
          </w:tcPr>
          <w:p w14:paraId="42004CCC" w14:textId="3B7FB41D"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4768</w:t>
            </w:r>
          </w:p>
        </w:tc>
        <w:tc>
          <w:tcPr>
            <w:tcW w:w="990" w:type="dxa"/>
          </w:tcPr>
          <w:p w14:paraId="208EF704" w14:textId="2D2D9C12"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680.</w:t>
            </w:r>
            <w:r>
              <w:rPr>
                <w:rFonts w:ascii="Arial" w:eastAsia="Times New Roman" w:hAnsi="Arial" w:cs="Arial"/>
                <w:color w:val="000000"/>
                <w:sz w:val="20"/>
                <w:lang w:val="en-US"/>
              </w:rPr>
              <w:t>44</w:t>
            </w:r>
          </w:p>
        </w:tc>
        <w:tc>
          <w:tcPr>
            <w:tcW w:w="1080" w:type="dxa"/>
          </w:tcPr>
          <w:p w14:paraId="27A7242E" w14:textId="49C928B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6.3.97.2.2</w:t>
            </w:r>
          </w:p>
        </w:tc>
        <w:tc>
          <w:tcPr>
            <w:tcW w:w="3600" w:type="dxa"/>
          </w:tcPr>
          <w:p w14:paraId="5223B660" w14:textId="452BEDF0"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The ContactVerificationSignal parameter appears to be an entire CVS frame (as defined in 9.6.7.27), when the only information actually conveyed is the Map ID. The rest of the frame format is (should be) known only to the MAC, and not the user of the MLME SAP.</w:t>
            </w:r>
          </w:p>
        </w:tc>
        <w:tc>
          <w:tcPr>
            <w:tcW w:w="3600" w:type="dxa"/>
          </w:tcPr>
          <w:p w14:paraId="3F186D85" w14:textId="4153FAE3"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Change "ContactVerificationSignal" to "Map ID" in the parameter list and parameter table. In the parameter table's Description column, replace the text with, "The Map ID field is set to a number that is equal to the Map ID of the recently received WSM, which is being verified."This pattern of passing a frame, instead of information content, is found elsewhere, such as other primitives for the CVS/GDD function (including GDD Enablement Response), and the FT ("REMOTE-REQUEST"), Mesh peering management, Channel Availability Query, and Network Channel Control functions. A contribution will be provided for proposed changes to address these.</w:t>
            </w:r>
          </w:p>
        </w:tc>
      </w:tr>
    </w:tbl>
    <w:p w14:paraId="0ABD2CF2" w14:textId="4990F518" w:rsidR="00C45154" w:rsidRDefault="00C45154" w:rsidP="008A162E"/>
    <w:p w14:paraId="251F9419" w14:textId="77777777" w:rsidR="00C45154" w:rsidRDefault="00C45154">
      <w:r>
        <w:br w:type="page"/>
      </w:r>
    </w:p>
    <w:p w14:paraId="0EF81B4E" w14:textId="77777777" w:rsidR="00067CE1" w:rsidRPr="00067CE1" w:rsidRDefault="00067CE1"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2A32C507" w:rsidR="00BA31EC" w:rsidRDefault="00BA31EC" w:rsidP="00BA31EC"/>
    <w:p w14:paraId="153577D3" w14:textId="77777777" w:rsidR="002C154C" w:rsidRDefault="002C154C" w:rsidP="002C154C">
      <w:pPr>
        <w:rPr>
          <w:b/>
          <w:sz w:val="28"/>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EF4029F" w14:textId="77777777" w:rsidTr="00F76CC0">
        <w:trPr>
          <w:trHeight w:val="524"/>
        </w:trPr>
        <w:tc>
          <w:tcPr>
            <w:tcW w:w="738" w:type="dxa"/>
            <w:tcBorders>
              <w:top w:val="single" w:sz="4" w:space="0" w:color="auto"/>
              <w:left w:val="single" w:sz="4" w:space="0" w:color="auto"/>
              <w:bottom w:val="single" w:sz="4" w:space="0" w:color="auto"/>
              <w:right w:val="single" w:sz="4" w:space="0" w:color="auto"/>
            </w:tcBorders>
            <w:hideMark/>
          </w:tcPr>
          <w:p w14:paraId="3F42882F"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66F4531"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5BE6C01"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54217F1"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39D2729"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9F2EAD9" w14:textId="77777777" w:rsidTr="00F76CC0">
        <w:trPr>
          <w:trHeight w:val="1530"/>
        </w:trPr>
        <w:tc>
          <w:tcPr>
            <w:tcW w:w="738" w:type="dxa"/>
            <w:hideMark/>
          </w:tcPr>
          <w:p w14:paraId="5215667A" w14:textId="77777777" w:rsidR="002C154C" w:rsidRPr="00DE7477" w:rsidRDefault="002C154C" w:rsidP="00F76CC0">
            <w:pPr>
              <w:jc w:val="right"/>
              <w:rPr>
                <w:rFonts w:ascii="Arial" w:eastAsia="Times New Roman" w:hAnsi="Arial" w:cs="Arial"/>
                <w:sz w:val="20"/>
                <w:lang w:val="en-US"/>
              </w:rPr>
            </w:pPr>
            <w:r w:rsidRPr="00DE7477">
              <w:rPr>
                <w:rFonts w:ascii="Arial" w:eastAsia="Times New Roman" w:hAnsi="Arial" w:cs="Arial"/>
                <w:sz w:val="20"/>
                <w:lang w:val="en-US"/>
              </w:rPr>
              <w:t>4553</w:t>
            </w:r>
          </w:p>
        </w:tc>
        <w:tc>
          <w:tcPr>
            <w:tcW w:w="990" w:type="dxa"/>
            <w:hideMark/>
          </w:tcPr>
          <w:p w14:paraId="1A09328F" w14:textId="77777777" w:rsidR="002C154C" w:rsidRPr="00DE7477" w:rsidRDefault="002C154C" w:rsidP="00F76CC0">
            <w:pPr>
              <w:jc w:val="right"/>
              <w:rPr>
                <w:rFonts w:ascii="Arial" w:eastAsia="Times New Roman" w:hAnsi="Arial" w:cs="Arial"/>
                <w:sz w:val="20"/>
                <w:lang w:val="en-US"/>
              </w:rPr>
            </w:pPr>
            <w:r w:rsidRPr="00DE7477">
              <w:rPr>
                <w:rFonts w:ascii="Arial" w:eastAsia="Times New Roman" w:hAnsi="Arial" w:cs="Arial"/>
                <w:sz w:val="20"/>
              </w:rPr>
              <w:t>1748.00</w:t>
            </w:r>
          </w:p>
        </w:tc>
        <w:tc>
          <w:tcPr>
            <w:tcW w:w="1080" w:type="dxa"/>
            <w:hideMark/>
          </w:tcPr>
          <w:p w14:paraId="6DE5626D"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10.3.2.12</w:t>
            </w:r>
          </w:p>
        </w:tc>
        <w:tc>
          <w:tcPr>
            <w:tcW w:w="3600" w:type="dxa"/>
            <w:hideMark/>
          </w:tcPr>
          <w:p w14:paraId="13FDDE92"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"the  fragment  BA  procedure  described  in  this  subclause" -- there is no other fragment BA procedure than the one in this subclause</w:t>
            </w:r>
          </w:p>
        </w:tc>
        <w:tc>
          <w:tcPr>
            <w:tcW w:w="3600" w:type="dxa"/>
            <w:hideMark/>
          </w:tcPr>
          <w:p w14:paraId="0D503AF8"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Delete "  described  in  this  subclause" (3x)</w:t>
            </w:r>
          </w:p>
        </w:tc>
      </w:tr>
    </w:tbl>
    <w:p w14:paraId="57286DDB" w14:textId="77777777" w:rsidR="002C154C" w:rsidRDefault="002C154C" w:rsidP="002C154C"/>
    <w:p w14:paraId="450B6165" w14:textId="77777777" w:rsidR="002C154C" w:rsidRDefault="002C154C" w:rsidP="002C154C">
      <w:r>
        <w:rPr>
          <w:u w:val="single"/>
        </w:rPr>
        <w:t>Discussion:</w:t>
      </w:r>
    </w:p>
    <w:p w14:paraId="60A43CAD" w14:textId="77777777" w:rsidR="002C154C" w:rsidRPr="003A5BE3" w:rsidRDefault="002C154C" w:rsidP="002C154C"/>
    <w:p w14:paraId="17B8A2A6"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mc:AlternateContent>
          <mc:Choice Requires="wpi">
            <w:drawing>
              <wp:anchor distT="0" distB="0" distL="114300" distR="114300" simplePos="0" relativeHeight="251673600" behindDoc="0" locked="0" layoutInCell="1" allowOverlap="1" wp14:anchorId="2EE1ACBE" wp14:editId="22ACD36F">
                <wp:simplePos x="0" y="0"/>
                <wp:positionH relativeFrom="column">
                  <wp:posOffset>4184647</wp:posOffset>
                </wp:positionH>
                <wp:positionV relativeFrom="paragraph">
                  <wp:posOffset>2199334</wp:posOffset>
                </wp:positionV>
                <wp:extent cx="1300320" cy="49680"/>
                <wp:effectExtent l="95250" t="133350" r="109855" b="160020"/>
                <wp:wrapNone/>
                <wp:docPr id="283" name="Ink 283"/>
                <wp:cNvGraphicFramePr/>
                <a:graphic xmlns:a="http://schemas.openxmlformats.org/drawingml/2006/main">
                  <a:graphicData uri="http://schemas.microsoft.com/office/word/2010/wordprocessingInk">
                    <w14:contentPart bwMode="auto" r:id="rId22">
                      <w14:nvContentPartPr>
                        <w14:cNvContentPartPr/>
                      </w14:nvContentPartPr>
                      <w14:xfrm>
                        <a:off x="0" y="0"/>
                        <a:ext cx="1300320" cy="49680"/>
                      </w14:xfrm>
                    </w14:contentPart>
                  </a:graphicData>
                </a:graphic>
              </wp:anchor>
            </w:drawing>
          </mc:Choice>
          <mc:Fallback>
            <w:pict>
              <v:shape w14:anchorId="76C8B990" id="Ink 283" o:spid="_x0000_s1026" type="#_x0000_t75" style="position:absolute;margin-left:325.25pt;margin-top:164.7pt;width:110.9pt;height:20.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">
                <v:imagedata r:id="rId23"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2576" behindDoc="0" locked="0" layoutInCell="1" allowOverlap="1" wp14:anchorId="5B381E11" wp14:editId="12E65CBA">
                <wp:simplePos x="0" y="0"/>
                <wp:positionH relativeFrom="column">
                  <wp:posOffset>443887</wp:posOffset>
                </wp:positionH>
                <wp:positionV relativeFrom="paragraph">
                  <wp:posOffset>2196094</wp:posOffset>
                </wp:positionV>
                <wp:extent cx="682560" cy="33840"/>
                <wp:effectExtent l="95250" t="152400" r="99060" b="156845"/>
                <wp:wrapNone/>
                <wp:docPr id="282" name="Ink 282"/>
                <wp:cNvGraphicFramePr/>
                <a:graphic xmlns:a="http://schemas.openxmlformats.org/drawingml/2006/main">
                  <a:graphicData uri="http://schemas.microsoft.com/office/word/2010/wordprocessingInk">
                    <w14:contentPart bwMode="auto" r:id="rId24">
                      <w14:nvContentPartPr>
                        <w14:cNvContentPartPr/>
                      </w14:nvContentPartPr>
                      <w14:xfrm>
                        <a:off x="0" y="0"/>
                        <a:ext cx="682560" cy="33840"/>
                      </w14:xfrm>
                    </w14:contentPart>
                  </a:graphicData>
                </a:graphic>
              </wp:anchor>
            </w:drawing>
          </mc:Choice>
          <mc:Fallback>
            <w:pict>
              <v:shape w14:anchorId="29E4E531" id="Ink 282" o:spid="_x0000_s1026" type="#_x0000_t75" style="position:absolute;margin-left:30.7pt;margin-top:164.4pt;width:62.25pt;height:19.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">
                <v:imagedata r:id="rId25"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1552" behindDoc="0" locked="0" layoutInCell="1" allowOverlap="1" wp14:anchorId="2A800A49" wp14:editId="0D176DA3">
                <wp:simplePos x="0" y="0"/>
                <wp:positionH relativeFrom="column">
                  <wp:posOffset>5336647</wp:posOffset>
                </wp:positionH>
                <wp:positionV relativeFrom="paragraph">
                  <wp:posOffset>2060734</wp:posOffset>
                </wp:positionV>
                <wp:extent cx="573480" cy="9000"/>
                <wp:effectExtent l="95250" t="152400" r="112395" b="162560"/>
                <wp:wrapNone/>
                <wp:docPr id="281" name="Ink 281"/>
                <wp:cNvGraphicFramePr/>
                <a:graphic xmlns:a="http://schemas.openxmlformats.org/drawingml/2006/main">
                  <a:graphicData uri="http://schemas.microsoft.com/office/word/2010/wordprocessingInk">
                    <w14:contentPart bwMode="auto" r:id="rId26">
                      <w14:nvContentPartPr>
                        <w14:cNvContentPartPr/>
                      </w14:nvContentPartPr>
                      <w14:xfrm>
                        <a:off x="0" y="0"/>
                        <a:ext cx="573480" cy="9000"/>
                      </w14:xfrm>
                    </w14:contentPart>
                  </a:graphicData>
                </a:graphic>
              </wp:anchor>
            </w:drawing>
          </mc:Choice>
          <mc:Fallback>
            <w:pict>
              <v:shape w14:anchorId="3C906AB2" id="Ink 281" o:spid="_x0000_s1026" type="#_x0000_t75" style="position:absolute;margin-left:415.95pt;margin-top:153.75pt;width:53.65pt;height:17.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">
                <v:imagedata r:id="rId27"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0528" behindDoc="0" locked="0" layoutInCell="1" allowOverlap="1" wp14:anchorId="56D5B4E5" wp14:editId="5F89953F">
                <wp:simplePos x="0" y="0"/>
                <wp:positionH relativeFrom="column">
                  <wp:posOffset>2783527</wp:posOffset>
                </wp:positionH>
                <wp:positionV relativeFrom="paragraph">
                  <wp:posOffset>1724134</wp:posOffset>
                </wp:positionV>
                <wp:extent cx="1408680" cy="55440"/>
                <wp:effectExtent l="57150" t="133350" r="115570" b="173355"/>
                <wp:wrapNone/>
                <wp:docPr id="280" name="Ink 280"/>
                <wp:cNvGraphicFramePr/>
                <a:graphic xmlns:a="http://schemas.openxmlformats.org/drawingml/2006/main">
                  <a:graphicData uri="http://schemas.microsoft.com/office/word/2010/wordprocessingInk">
                    <w14:contentPart bwMode="auto" r:id="rId28">
                      <w14:nvContentPartPr>
                        <w14:cNvContentPartPr/>
                      </w14:nvContentPartPr>
                      <w14:xfrm>
                        <a:off x="0" y="0"/>
                        <a:ext cx="1408680" cy="55440"/>
                      </w14:xfrm>
                    </w14:contentPart>
                  </a:graphicData>
                </a:graphic>
              </wp:anchor>
            </w:drawing>
          </mc:Choice>
          <mc:Fallback>
            <w:pict>
              <v:shape w14:anchorId="00E7D150" id="Ink 280" o:spid="_x0000_s1026" type="#_x0000_t75" style="position:absolute;margin-left:214.95pt;margin-top:127.25pt;width:119.4pt;height:21.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">
                <v:imagedata r:id="rId29" o:title=""/>
              </v:shape>
            </w:pict>
          </mc:Fallback>
        </mc:AlternateContent>
      </w:r>
      <w:r w:rsidRPr="001B6ECF">
        <w:rPr>
          <w:bCs/>
          <w:noProof/>
          <w:szCs w:val="22"/>
          <w:bdr w:val="single" w:sz="8" w:space="0" w:color="auto" w:shadow="1"/>
        </w:rPr>
        <w:drawing>
          <wp:inline distT="0" distB="0" distL="0" distR="0" wp14:anchorId="3C2F8CD8" wp14:editId="073B1715">
            <wp:extent cx="6009005" cy="23336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9005" cy="2333625"/>
                    </a:xfrm>
                    <a:prstGeom prst="rect">
                      <a:avLst/>
                    </a:prstGeom>
                    <a:noFill/>
                    <a:ln>
                      <a:noFill/>
                    </a:ln>
                  </pic:spPr>
                </pic:pic>
              </a:graphicData>
            </a:graphic>
          </wp:inline>
        </w:drawing>
      </w:r>
    </w:p>
    <w:p w14:paraId="21448011" w14:textId="77777777" w:rsidR="002C154C" w:rsidRDefault="002C154C" w:rsidP="002C154C"/>
    <w:p w14:paraId="5BF1C3C5" w14:textId="77777777" w:rsidR="002C154C" w:rsidRDefault="002C154C" w:rsidP="002C154C">
      <w:r>
        <w:t xml:space="preserve">Arguably, it is helpful to be very clear that an S1G STA uses the procedure described in this subclause, and not the procedure described in 10.4, given the mention of partitioning MSDUs/MMPDUs per 10.4 in the prior paragraph.  </w:t>
      </w:r>
    </w:p>
    <w:p w14:paraId="64F0543A" w14:textId="77777777" w:rsidR="002C154C" w:rsidRDefault="002C154C" w:rsidP="002C154C"/>
    <w:p w14:paraId="72DC11FB" w14:textId="77777777" w:rsidR="002C154C" w:rsidRDefault="002C154C" w:rsidP="002C154C">
      <w:r>
        <w:t>“described in this subclause” could perhaps be parenthetical “(described in this subclause)” since saying “shall use the fragment BA procedure” is a complete specification.  However, this is not the usual style in the Draft.  The repetition of this information three times is excessive, however.</w:t>
      </w:r>
    </w:p>
    <w:p w14:paraId="7FAAAD03" w14:textId="77777777" w:rsidR="002C154C" w:rsidRDefault="002C154C" w:rsidP="002C154C"/>
    <w:p w14:paraId="51BC3C68" w14:textId="77777777" w:rsidR="002C154C" w:rsidRDefault="002C154C" w:rsidP="002C154C">
      <w:r w:rsidRPr="003D2E47">
        <w:rPr>
          <w:highlight w:val="green"/>
          <w:u w:val="single"/>
        </w:rPr>
        <w:t>Proposed Resolution:</w:t>
      </w:r>
    </w:p>
    <w:p w14:paraId="3D664669" w14:textId="77777777" w:rsidR="002C154C" w:rsidRDefault="002C154C" w:rsidP="002C154C"/>
    <w:p w14:paraId="17A801D0" w14:textId="77777777" w:rsidR="002C154C" w:rsidRDefault="002C154C" w:rsidP="002C154C">
      <w:r>
        <w:t>Revised.</w:t>
      </w:r>
    </w:p>
    <w:p w14:paraId="235A4FF9" w14:textId="77777777" w:rsidR="002C154C" w:rsidRDefault="002C154C" w:rsidP="002C154C"/>
    <w:p w14:paraId="5ABABAE7" w14:textId="77777777" w:rsidR="002C154C" w:rsidRDefault="002C154C" w:rsidP="002C154C">
      <w:r>
        <w:t xml:space="preserve">At P1748.17, delete “described in this subclause”.  Same thing at P1748.18.  </w:t>
      </w:r>
    </w:p>
    <w:p w14:paraId="48A119A4" w14:textId="77777777" w:rsidR="002C154C" w:rsidRDefault="002C154C" w:rsidP="002C154C"/>
    <w:p w14:paraId="67618DBB" w14:textId="77777777" w:rsidR="002C154C" w:rsidRDefault="002C154C" w:rsidP="002C154C">
      <w:r w:rsidRPr="002C154C">
        <w:t>At P1748.14, change “described in this subclause” to “, as described in this subclause,”.  At line 13, replace “sending frames” with “sending an MSDU or MMPDU (whether fragmented or not)”</w:t>
      </w:r>
    </w:p>
    <w:p w14:paraId="24872104" w14:textId="77777777" w:rsidR="002C154C" w:rsidRPr="003A5BE3" w:rsidRDefault="002C154C" w:rsidP="002C154C">
      <w:pPr>
        <w:rPr>
          <w:u w:val="single"/>
        </w:rPr>
      </w:pPr>
    </w:p>
    <w:p w14:paraId="6F0A6760" w14:textId="77777777" w:rsidR="002C154C" w:rsidRDefault="002C154C" w:rsidP="002C154C">
      <w:r>
        <w:br w:type="page"/>
      </w:r>
    </w:p>
    <w:p w14:paraId="7D2CAE4E"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41B040FC" w14:textId="77777777" w:rsidTr="00F76CC0">
        <w:trPr>
          <w:trHeight w:val="524"/>
        </w:trPr>
        <w:tc>
          <w:tcPr>
            <w:tcW w:w="738" w:type="dxa"/>
            <w:tcBorders>
              <w:top w:val="single" w:sz="4" w:space="0" w:color="auto"/>
              <w:left w:val="single" w:sz="4" w:space="0" w:color="auto"/>
              <w:bottom w:val="single" w:sz="4" w:space="0" w:color="auto"/>
              <w:right w:val="single" w:sz="4" w:space="0" w:color="auto"/>
            </w:tcBorders>
            <w:hideMark/>
          </w:tcPr>
          <w:p w14:paraId="3627DDD9"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2769CE2"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B6D55C8"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809EA9"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D53C4C2"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C60F04B" w14:textId="77777777" w:rsidTr="00F76CC0">
        <w:trPr>
          <w:trHeight w:val="1530"/>
        </w:trPr>
        <w:tc>
          <w:tcPr>
            <w:tcW w:w="738" w:type="dxa"/>
            <w:hideMark/>
          </w:tcPr>
          <w:p w14:paraId="21B9DCCA" w14:textId="77777777" w:rsidR="002C154C" w:rsidRPr="00DE7477" w:rsidRDefault="002C154C" w:rsidP="00F76CC0">
            <w:pPr>
              <w:jc w:val="right"/>
              <w:rPr>
                <w:rFonts w:ascii="Arial" w:eastAsia="Times New Roman" w:hAnsi="Arial" w:cs="Arial"/>
                <w:sz w:val="20"/>
                <w:lang w:val="en-US"/>
              </w:rPr>
            </w:pPr>
            <w:r w:rsidRPr="00DE7477">
              <w:rPr>
                <w:rFonts w:ascii="Arial" w:eastAsia="Times New Roman" w:hAnsi="Arial" w:cs="Arial"/>
                <w:sz w:val="20"/>
                <w:lang w:val="en-US"/>
              </w:rPr>
              <w:t>4809</w:t>
            </w:r>
          </w:p>
        </w:tc>
        <w:tc>
          <w:tcPr>
            <w:tcW w:w="990" w:type="dxa"/>
            <w:hideMark/>
          </w:tcPr>
          <w:p w14:paraId="7257F1AB" w14:textId="77777777" w:rsidR="002C154C" w:rsidRPr="00DE7477" w:rsidRDefault="002C154C" w:rsidP="00F76CC0">
            <w:pPr>
              <w:jc w:val="right"/>
              <w:rPr>
                <w:rFonts w:ascii="Arial" w:eastAsia="Times New Roman" w:hAnsi="Arial" w:cs="Arial"/>
                <w:sz w:val="20"/>
                <w:lang w:val="en-US"/>
              </w:rPr>
            </w:pPr>
            <w:r w:rsidRPr="00DE7477">
              <w:rPr>
                <w:rFonts w:ascii="Arial" w:eastAsia="Times New Roman" w:hAnsi="Arial" w:cs="Arial"/>
                <w:sz w:val="20"/>
              </w:rPr>
              <w:t>1589.40</w:t>
            </w:r>
          </w:p>
        </w:tc>
        <w:tc>
          <w:tcPr>
            <w:tcW w:w="1080" w:type="dxa"/>
            <w:hideMark/>
          </w:tcPr>
          <w:p w14:paraId="32DF277B"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9.6.12.3</w:t>
            </w:r>
          </w:p>
        </w:tc>
        <w:tc>
          <w:tcPr>
            <w:tcW w:w="3600" w:type="dxa"/>
            <w:hideMark/>
          </w:tcPr>
          <w:p w14:paraId="35FA64FD"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Change 6 occurrences of "in response to a received", to be simpler and match the majority language in the draft.</w:t>
            </w:r>
          </w:p>
        </w:tc>
        <w:tc>
          <w:tcPr>
            <w:tcW w:w="3600" w:type="dxa"/>
            <w:hideMark/>
          </w:tcPr>
          <w:p w14:paraId="62010670"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Delete "received" (and change "a" to "an" as appropriate) at P1589L40, P1590L53, P1592L56, P2180L1, P2482L30, and P2482L39.</w:t>
            </w:r>
          </w:p>
        </w:tc>
      </w:tr>
    </w:tbl>
    <w:p w14:paraId="0DEF65E2" w14:textId="77777777" w:rsidR="002C154C" w:rsidRDefault="002C154C" w:rsidP="002C154C"/>
    <w:p w14:paraId="34245383" w14:textId="77777777" w:rsidR="002C154C" w:rsidRDefault="002C154C" w:rsidP="002C154C">
      <w:r>
        <w:rPr>
          <w:u w:val="single"/>
        </w:rPr>
        <w:t>Discussion:</w:t>
      </w:r>
    </w:p>
    <w:p w14:paraId="70A49C35" w14:textId="77777777" w:rsidR="002C154C" w:rsidRDefault="002C154C" w:rsidP="002C154C"/>
    <w:p w14:paraId="7609925D"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0F14797" wp14:editId="43541FDB">
            <wp:extent cx="6009005" cy="659130"/>
            <wp:effectExtent l="0" t="0" r="0" b="762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9005" cy="659130"/>
                    </a:xfrm>
                    <a:prstGeom prst="rect">
                      <a:avLst/>
                    </a:prstGeom>
                    <a:noFill/>
                    <a:ln>
                      <a:noFill/>
                    </a:ln>
                  </pic:spPr>
                </pic:pic>
              </a:graphicData>
            </a:graphic>
          </wp:inline>
        </w:drawing>
      </w:r>
    </w:p>
    <w:p w14:paraId="6840F664" w14:textId="77777777" w:rsidR="002C154C" w:rsidRDefault="002C154C" w:rsidP="002C154C"/>
    <w:p w14:paraId="1F3936DE" w14:textId="77777777" w:rsidR="002C154C" w:rsidRDefault="002C154C" w:rsidP="002C154C">
      <w:r>
        <w:t>Agree with the comment, “in response to a TDLS Setup Request Action field” is simpler, and consistent with style elsewhere in the Draft.</w:t>
      </w:r>
    </w:p>
    <w:p w14:paraId="70FAA2A2" w14:textId="77777777" w:rsidR="002C154C" w:rsidRDefault="002C154C" w:rsidP="002C154C"/>
    <w:p w14:paraId="5A3E25B3" w14:textId="77777777" w:rsidR="002C154C" w:rsidRDefault="002C154C" w:rsidP="002C154C">
      <w:r>
        <w:t>The other locations are similar.</w:t>
      </w:r>
    </w:p>
    <w:p w14:paraId="1D391FD1" w14:textId="77777777" w:rsidR="002C154C" w:rsidRDefault="002C154C" w:rsidP="002C154C"/>
    <w:p w14:paraId="33865BF5" w14:textId="77777777" w:rsidR="002C154C" w:rsidRDefault="002C154C" w:rsidP="002C154C">
      <w:r w:rsidRPr="003D2E47">
        <w:rPr>
          <w:highlight w:val="green"/>
          <w:u w:val="single"/>
        </w:rPr>
        <w:t>Proposed Resolution:</w:t>
      </w:r>
    </w:p>
    <w:p w14:paraId="4482A756" w14:textId="77777777" w:rsidR="002C154C" w:rsidRDefault="002C154C" w:rsidP="002C154C"/>
    <w:p w14:paraId="635A6635" w14:textId="77777777" w:rsidR="002C154C" w:rsidRDefault="002C154C" w:rsidP="002C154C">
      <w:r>
        <w:t>Accepted.</w:t>
      </w:r>
    </w:p>
    <w:p w14:paraId="1E0FE289" w14:textId="77777777" w:rsidR="002C154C" w:rsidRPr="00F24D15" w:rsidRDefault="002C154C" w:rsidP="002C154C"/>
    <w:p w14:paraId="62726F18" w14:textId="77777777" w:rsidR="002C154C" w:rsidRDefault="002C154C" w:rsidP="002C154C">
      <w:r>
        <w:br w:type="page"/>
      </w:r>
    </w:p>
    <w:p w14:paraId="5B1CD6F1"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178BF753" w14:textId="77777777" w:rsidTr="00F76CC0">
        <w:trPr>
          <w:trHeight w:val="524"/>
        </w:trPr>
        <w:tc>
          <w:tcPr>
            <w:tcW w:w="738" w:type="dxa"/>
            <w:tcBorders>
              <w:top w:val="single" w:sz="4" w:space="0" w:color="auto"/>
              <w:left w:val="single" w:sz="4" w:space="0" w:color="auto"/>
              <w:bottom w:val="single" w:sz="4" w:space="0" w:color="auto"/>
              <w:right w:val="single" w:sz="4" w:space="0" w:color="auto"/>
            </w:tcBorders>
            <w:hideMark/>
          </w:tcPr>
          <w:p w14:paraId="7C6EB29D"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DC733C9"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1A7E83"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9742EEB"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38EA93"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410CA615" w14:textId="77777777" w:rsidTr="00F76CC0">
        <w:trPr>
          <w:trHeight w:val="2550"/>
        </w:trPr>
        <w:tc>
          <w:tcPr>
            <w:tcW w:w="738" w:type="dxa"/>
            <w:hideMark/>
          </w:tcPr>
          <w:p w14:paraId="6F9BF09C" w14:textId="77777777" w:rsidR="002C154C" w:rsidRPr="00DE7477" w:rsidRDefault="002C154C" w:rsidP="00F76CC0">
            <w:pPr>
              <w:jc w:val="right"/>
              <w:rPr>
                <w:rFonts w:ascii="Arial" w:eastAsia="Times New Roman" w:hAnsi="Arial" w:cs="Arial"/>
                <w:sz w:val="20"/>
                <w:lang w:val="en-US"/>
              </w:rPr>
            </w:pPr>
            <w:r w:rsidRPr="00DE7477">
              <w:rPr>
                <w:rFonts w:ascii="Arial" w:eastAsia="Times New Roman" w:hAnsi="Arial" w:cs="Arial"/>
                <w:sz w:val="20"/>
                <w:lang w:val="en-US"/>
              </w:rPr>
              <w:t>4599</w:t>
            </w:r>
          </w:p>
        </w:tc>
        <w:tc>
          <w:tcPr>
            <w:tcW w:w="990" w:type="dxa"/>
            <w:hideMark/>
          </w:tcPr>
          <w:p w14:paraId="4C6A791F" w14:textId="77777777" w:rsidR="002C154C" w:rsidRPr="00DE7477" w:rsidRDefault="002C154C" w:rsidP="00F76CC0">
            <w:pPr>
              <w:jc w:val="right"/>
              <w:rPr>
                <w:rFonts w:ascii="Arial" w:eastAsia="Times New Roman" w:hAnsi="Arial" w:cs="Arial"/>
                <w:sz w:val="20"/>
                <w:lang w:val="en-US"/>
              </w:rPr>
            </w:pPr>
            <w:r w:rsidRPr="00DE7477">
              <w:rPr>
                <w:rFonts w:ascii="Arial" w:eastAsia="Times New Roman" w:hAnsi="Arial" w:cs="Arial"/>
                <w:sz w:val="20"/>
                <w:lang w:eastAsia="ja-JP" w:bidi="he-IL"/>
              </w:rPr>
              <w:t>2487.52</w:t>
            </w:r>
          </w:p>
        </w:tc>
        <w:tc>
          <w:tcPr>
            <w:tcW w:w="1080" w:type="dxa"/>
            <w:hideMark/>
          </w:tcPr>
          <w:p w14:paraId="2BB57C32"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eastAsia="ja-JP" w:bidi="he-IL"/>
              </w:rPr>
              <w:t>11.32.5</w:t>
            </w:r>
          </w:p>
        </w:tc>
        <w:tc>
          <w:tcPr>
            <w:tcW w:w="3600" w:type="dxa"/>
            <w:hideMark/>
          </w:tcPr>
          <w:p w14:paraId="6C6A4D26"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 -- it has no choice but to ignore it.  Also "with" should be "as"</w:t>
            </w:r>
          </w:p>
        </w:tc>
        <w:tc>
          <w:tcPr>
            <w:tcW w:w="3600" w:type="dxa"/>
            <w:hideMark/>
          </w:tcPr>
          <w:p w14:paraId="451E937B"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Change to "A receiving TR-MLME shall silently ignore the received On-channel Tunnel Request frame if</w:t>
            </w:r>
            <w:r w:rsidRPr="00DE7477">
              <w:rPr>
                <w:rFonts w:ascii="Arial" w:eastAsia="Times New Roman" w:hAnsi="Arial" w:cs="Arial"/>
                <w:sz w:val="20"/>
                <w:lang w:val="en-US"/>
              </w:rPr>
              <w:br/>
              <w:t>that frame is not targeting an NT-MLME in the same multi-band capable device as the TR-MLME."</w:t>
            </w:r>
          </w:p>
        </w:tc>
      </w:tr>
    </w:tbl>
    <w:p w14:paraId="1D4C49A6" w14:textId="77777777" w:rsidR="002C154C" w:rsidRPr="00F24D15" w:rsidRDefault="002C154C" w:rsidP="002C154C">
      <w:pPr>
        <w:rPr>
          <w:bCs/>
          <w:szCs w:val="22"/>
        </w:rPr>
      </w:pPr>
    </w:p>
    <w:p w14:paraId="12B22CDD" w14:textId="77777777" w:rsidR="002C154C" w:rsidRPr="00F24D15" w:rsidRDefault="002C154C" w:rsidP="002C154C">
      <w:pPr>
        <w:rPr>
          <w:bCs/>
          <w:szCs w:val="22"/>
        </w:rPr>
      </w:pPr>
      <w:r w:rsidRPr="00F24D15">
        <w:rPr>
          <w:bCs/>
          <w:szCs w:val="22"/>
          <w:u w:val="single"/>
        </w:rPr>
        <w:t>Discussion:</w:t>
      </w:r>
    </w:p>
    <w:p w14:paraId="586FDFAB" w14:textId="77777777" w:rsidR="002C154C" w:rsidRPr="00F24D15" w:rsidRDefault="002C154C" w:rsidP="002C154C">
      <w:pPr>
        <w:rPr>
          <w:bCs/>
          <w:szCs w:val="22"/>
        </w:rPr>
      </w:pPr>
    </w:p>
    <w:p w14:paraId="56E4849A"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D56F0A6" wp14:editId="5B5AD84F">
            <wp:extent cx="6026785" cy="42164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6785" cy="421640"/>
                    </a:xfrm>
                    <a:prstGeom prst="rect">
                      <a:avLst/>
                    </a:prstGeom>
                    <a:noFill/>
                    <a:ln>
                      <a:noFill/>
                    </a:ln>
                  </pic:spPr>
                </pic:pic>
              </a:graphicData>
            </a:graphic>
          </wp:inline>
        </w:drawing>
      </w:r>
    </w:p>
    <w:p w14:paraId="17BFEDDA" w14:textId="77777777" w:rsidR="002C154C" w:rsidRDefault="002C154C" w:rsidP="002C154C">
      <w:pPr>
        <w:rPr>
          <w:bCs/>
          <w:szCs w:val="22"/>
        </w:rPr>
      </w:pPr>
    </w:p>
    <w:p w14:paraId="391478DF" w14:textId="77777777" w:rsidR="002C154C" w:rsidRDefault="002C154C" w:rsidP="002C154C">
      <w:pPr>
        <w:rPr>
          <w:bCs/>
          <w:szCs w:val="22"/>
        </w:rPr>
      </w:pPr>
      <w:r>
        <w:rPr>
          <w:bCs/>
          <w:szCs w:val="22"/>
        </w:rPr>
        <w:t>Agree with the commenter (on both points).</w:t>
      </w:r>
    </w:p>
    <w:p w14:paraId="616DD116" w14:textId="77777777" w:rsidR="002C154C" w:rsidRDefault="002C154C" w:rsidP="002C154C">
      <w:pPr>
        <w:rPr>
          <w:bCs/>
          <w:szCs w:val="22"/>
        </w:rPr>
      </w:pPr>
    </w:p>
    <w:p w14:paraId="4CFB1D2C" w14:textId="77777777" w:rsidR="002C154C" w:rsidRDefault="002C154C" w:rsidP="002C154C">
      <w:pPr>
        <w:rPr>
          <w:bCs/>
          <w:szCs w:val="22"/>
        </w:rPr>
      </w:pPr>
      <w:r>
        <w:rPr>
          <w:bCs/>
          <w:szCs w:val="22"/>
        </w:rPr>
        <w:t>Also, “silently ignore” is duplicative; what other way can something be “ignored”?</w:t>
      </w:r>
    </w:p>
    <w:p w14:paraId="589AF534" w14:textId="77777777" w:rsidR="002C154C" w:rsidRDefault="002C154C" w:rsidP="002C154C">
      <w:pPr>
        <w:rPr>
          <w:bCs/>
          <w:szCs w:val="22"/>
        </w:rPr>
      </w:pPr>
    </w:p>
    <w:p w14:paraId="4BBDAC06" w14:textId="77777777" w:rsidR="002C154C" w:rsidRDefault="002C154C" w:rsidP="002C154C">
      <w:pPr>
        <w:rPr>
          <w:bCs/>
          <w:szCs w:val="22"/>
        </w:rPr>
      </w:pPr>
      <w:r w:rsidRPr="003D2E47">
        <w:rPr>
          <w:bCs/>
          <w:szCs w:val="22"/>
          <w:highlight w:val="green"/>
          <w:u w:val="single"/>
        </w:rPr>
        <w:t>Proposed Resolution:</w:t>
      </w:r>
    </w:p>
    <w:p w14:paraId="467D3DBE" w14:textId="77777777" w:rsidR="002C154C" w:rsidRDefault="002C154C" w:rsidP="002C154C">
      <w:pPr>
        <w:rPr>
          <w:bCs/>
          <w:szCs w:val="22"/>
        </w:rPr>
      </w:pPr>
    </w:p>
    <w:p w14:paraId="4DB67A83" w14:textId="77777777" w:rsidR="002C154C" w:rsidRDefault="002C154C" w:rsidP="002C154C">
      <w:pPr>
        <w:rPr>
          <w:bCs/>
          <w:szCs w:val="22"/>
        </w:rPr>
      </w:pPr>
      <w:r>
        <w:rPr>
          <w:bCs/>
          <w:szCs w:val="22"/>
        </w:rPr>
        <w:t>Revised.</w:t>
      </w:r>
    </w:p>
    <w:p w14:paraId="6C86E148" w14:textId="77777777" w:rsidR="002C154C" w:rsidRDefault="002C154C" w:rsidP="002C154C">
      <w:pPr>
        <w:rPr>
          <w:bCs/>
          <w:szCs w:val="22"/>
        </w:rPr>
      </w:pPr>
    </w:p>
    <w:p w14:paraId="0D7D845D" w14:textId="77777777" w:rsidR="002C154C" w:rsidRDefault="002C154C" w:rsidP="002C154C">
      <w:pPr>
        <w:rPr>
          <w:bCs/>
          <w:szCs w:val="22"/>
        </w:rPr>
      </w:pPr>
      <w:r>
        <w:rPr>
          <w:bCs/>
          <w:szCs w:val="22"/>
        </w:rPr>
        <w:t>Replace</w:t>
      </w:r>
    </w:p>
    <w:p w14:paraId="234BAB58" w14:textId="77777777" w:rsidR="002C154C" w:rsidRDefault="002C154C" w:rsidP="002C154C">
      <w:pPr>
        <w:ind w:left="720"/>
        <w:rPr>
          <w:bCs/>
          <w:szCs w:val="22"/>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w:t>
      </w:r>
      <w:r>
        <w:rPr>
          <w:rFonts w:ascii="Arial" w:eastAsia="Times New Roman" w:hAnsi="Arial" w:cs="Arial"/>
          <w:sz w:val="20"/>
          <w:lang w:val="en-US"/>
        </w:rPr>
        <w:t>.</w:t>
      </w:r>
    </w:p>
    <w:p w14:paraId="28F9145B" w14:textId="77777777" w:rsidR="002C154C" w:rsidRDefault="002C154C" w:rsidP="002C154C">
      <w:pPr>
        <w:rPr>
          <w:bCs/>
          <w:szCs w:val="22"/>
        </w:rPr>
      </w:pPr>
      <w:r>
        <w:rPr>
          <w:bCs/>
          <w:szCs w:val="22"/>
        </w:rPr>
        <w:t>with</w:t>
      </w:r>
    </w:p>
    <w:p w14:paraId="768EA22D" w14:textId="77777777" w:rsidR="002C154C" w:rsidRDefault="002C154C" w:rsidP="002C154C">
      <w:pPr>
        <w:ind w:left="720"/>
        <w:rPr>
          <w:rFonts w:ascii="Arial" w:eastAsia="Times New Roman" w:hAnsi="Arial" w:cs="Arial"/>
          <w:sz w:val="20"/>
          <w:lang w:val="en-US"/>
        </w:rPr>
      </w:pPr>
      <w:r w:rsidRPr="00DE7477">
        <w:rPr>
          <w:rFonts w:ascii="Arial" w:eastAsia="Times New Roman" w:hAnsi="Arial" w:cs="Arial"/>
          <w:sz w:val="20"/>
          <w:lang w:val="en-US"/>
        </w:rPr>
        <w:t xml:space="preserve">A receiving TR-MLME </w:t>
      </w:r>
      <w:r w:rsidRPr="00BD4468">
        <w:rPr>
          <w:rFonts w:ascii="Arial" w:eastAsia="Times New Roman" w:hAnsi="Arial" w:cs="Arial"/>
          <w:sz w:val="20"/>
          <w:highlight w:val="yellow"/>
          <w:lang w:val="en-US"/>
        </w:rPr>
        <w:t>shall ignore</w:t>
      </w:r>
      <w:r w:rsidRPr="00DE7477">
        <w:rPr>
          <w:rFonts w:ascii="Arial" w:eastAsia="Times New Roman" w:hAnsi="Arial" w:cs="Arial"/>
          <w:sz w:val="20"/>
          <w:lang w:val="en-US"/>
        </w:rPr>
        <w:t xml:space="preserve"> the received On-channel Tunnel Request frame if</w:t>
      </w:r>
      <w:r w:rsidRPr="00DE7477">
        <w:rPr>
          <w:rFonts w:ascii="Arial" w:eastAsia="Times New Roman" w:hAnsi="Arial" w:cs="Arial"/>
          <w:sz w:val="20"/>
          <w:lang w:val="en-US"/>
        </w:rPr>
        <w:br/>
        <w:t xml:space="preserve">that frame is not targeting an NT-MLME in the same multi-band capable device </w:t>
      </w:r>
      <w:r w:rsidRPr="00BD4468">
        <w:rPr>
          <w:rFonts w:ascii="Arial" w:eastAsia="Times New Roman" w:hAnsi="Arial" w:cs="Arial"/>
          <w:sz w:val="20"/>
          <w:highlight w:val="yellow"/>
          <w:lang w:val="en-US"/>
        </w:rPr>
        <w:t>as</w:t>
      </w:r>
      <w:r w:rsidRPr="00DE7477">
        <w:rPr>
          <w:rFonts w:ascii="Arial" w:eastAsia="Times New Roman" w:hAnsi="Arial" w:cs="Arial"/>
          <w:sz w:val="20"/>
          <w:lang w:val="en-US"/>
        </w:rPr>
        <w:t xml:space="preserve"> the TR-MLME</w:t>
      </w:r>
      <w:r>
        <w:rPr>
          <w:rFonts w:ascii="Arial" w:eastAsia="Times New Roman" w:hAnsi="Arial" w:cs="Arial"/>
          <w:sz w:val="20"/>
          <w:lang w:val="en-US"/>
        </w:rPr>
        <w:t>.</w:t>
      </w:r>
    </w:p>
    <w:p w14:paraId="58F07E40" w14:textId="77777777" w:rsidR="002C154C" w:rsidRPr="00BD4468" w:rsidRDefault="002C154C" w:rsidP="002C154C">
      <w:pPr>
        <w:rPr>
          <w:bCs/>
          <w:szCs w:val="22"/>
        </w:rPr>
      </w:pPr>
    </w:p>
    <w:p w14:paraId="1D28384A" w14:textId="77777777" w:rsidR="002C154C" w:rsidRPr="00F24D15" w:rsidRDefault="002C154C" w:rsidP="002C154C">
      <w:pPr>
        <w:rPr>
          <w:bCs/>
          <w:szCs w:val="22"/>
        </w:rPr>
      </w:pPr>
      <w:r w:rsidRPr="00F24D15">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5C21BF6" w14:textId="77777777" w:rsidTr="00F76CC0">
        <w:trPr>
          <w:trHeight w:val="524"/>
        </w:trPr>
        <w:tc>
          <w:tcPr>
            <w:tcW w:w="738" w:type="dxa"/>
            <w:tcBorders>
              <w:top w:val="single" w:sz="4" w:space="0" w:color="auto"/>
              <w:left w:val="single" w:sz="4" w:space="0" w:color="auto"/>
              <w:bottom w:val="single" w:sz="4" w:space="0" w:color="auto"/>
              <w:right w:val="single" w:sz="4" w:space="0" w:color="auto"/>
            </w:tcBorders>
            <w:hideMark/>
          </w:tcPr>
          <w:p w14:paraId="2B043CF6"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CA3672E"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A4A4C"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C0FF62"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207CD"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B36248" w14:textId="77777777" w:rsidTr="00F76CC0">
        <w:trPr>
          <w:trHeight w:val="3701"/>
        </w:trPr>
        <w:tc>
          <w:tcPr>
            <w:tcW w:w="738" w:type="dxa"/>
            <w:hideMark/>
          </w:tcPr>
          <w:p w14:paraId="12B79A11" w14:textId="77777777" w:rsidR="002C154C" w:rsidRPr="00DE7477" w:rsidRDefault="002C154C" w:rsidP="00F76CC0">
            <w:pPr>
              <w:jc w:val="right"/>
              <w:rPr>
                <w:rFonts w:ascii="Arial" w:eastAsia="Times New Roman" w:hAnsi="Arial" w:cs="Arial"/>
                <w:sz w:val="20"/>
                <w:lang w:val="en-US"/>
              </w:rPr>
            </w:pPr>
            <w:r w:rsidRPr="00DE7477">
              <w:rPr>
                <w:rFonts w:ascii="Arial" w:eastAsia="Times New Roman" w:hAnsi="Arial" w:cs="Arial"/>
                <w:sz w:val="20"/>
                <w:lang w:val="en-US"/>
              </w:rPr>
              <w:t>4594</w:t>
            </w:r>
          </w:p>
        </w:tc>
        <w:tc>
          <w:tcPr>
            <w:tcW w:w="990" w:type="dxa"/>
            <w:hideMark/>
          </w:tcPr>
          <w:p w14:paraId="289E2EA8" w14:textId="77777777" w:rsidR="002C154C" w:rsidRPr="00DE7477" w:rsidRDefault="002C154C" w:rsidP="00F76CC0">
            <w:pPr>
              <w:jc w:val="right"/>
              <w:rPr>
                <w:rFonts w:ascii="Arial" w:eastAsia="Times New Roman" w:hAnsi="Arial" w:cs="Arial"/>
                <w:sz w:val="20"/>
                <w:lang w:val="en-US"/>
              </w:rPr>
            </w:pPr>
            <w:r w:rsidRPr="00DE7477">
              <w:rPr>
                <w:rFonts w:ascii="Arial" w:eastAsia="Times New Roman" w:hAnsi="Arial" w:cs="Arial"/>
                <w:sz w:val="20"/>
                <w:lang w:val="en-US"/>
              </w:rPr>
              <w:t>1487.36</w:t>
            </w:r>
          </w:p>
        </w:tc>
        <w:tc>
          <w:tcPr>
            <w:tcW w:w="1080" w:type="dxa"/>
            <w:hideMark/>
          </w:tcPr>
          <w:p w14:paraId="5770AA83"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9.4.5.20</w:t>
            </w:r>
          </w:p>
        </w:tc>
        <w:tc>
          <w:tcPr>
            <w:tcW w:w="3600" w:type="dxa"/>
            <w:hideMark/>
          </w:tcPr>
          <w:p w14:paraId="184A485F"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"The Venue Number field identifies the position (1 = 1st, 2 = 2nd, and so on) of the corresponding</w:t>
            </w:r>
            <w:r>
              <w:rPr>
                <w:rFonts w:ascii="Arial" w:eastAsia="Times New Roman" w:hAnsi="Arial" w:cs="Arial"/>
                <w:sz w:val="20"/>
                <w:lang w:val="en-US"/>
              </w:rPr>
              <w:t xml:space="preserve"> </w:t>
            </w:r>
            <w:r w:rsidRPr="00DE7477">
              <w:rPr>
                <w:rFonts w:ascii="Arial" w:eastAsia="Times New Roman" w:hAnsi="Arial" w:cs="Arial"/>
                <w:sz w:val="20"/>
                <w:lang w:val="en-US"/>
              </w:rPr>
              <w:t>Venue Name Tuple subfield in a Venue Name ANQP-element from the same STA, as defined in 9.4.5.4</w:t>
            </w:r>
            <w:r>
              <w:rPr>
                <w:rFonts w:ascii="Arial" w:eastAsia="Times New Roman" w:hAnsi="Arial" w:cs="Arial"/>
                <w:sz w:val="20"/>
                <w:lang w:val="en-US"/>
              </w:rPr>
              <w:t xml:space="preserve"> </w:t>
            </w:r>
            <w:r w:rsidRPr="00DE7477">
              <w:rPr>
                <w:rFonts w:ascii="Arial" w:eastAsia="Times New Roman" w:hAnsi="Arial" w:cs="Arial"/>
                <w:sz w:val="20"/>
                <w:lang w:val="en-US"/>
              </w:rPr>
              <w:t>(Venue Name ANQP-element). If that same STA does not advertise a Venue Name ANQP-element, or does</w:t>
            </w:r>
            <w:r>
              <w:rPr>
                <w:rFonts w:ascii="Arial" w:eastAsia="Times New Roman" w:hAnsi="Arial" w:cs="Arial"/>
                <w:sz w:val="20"/>
                <w:lang w:val="en-US"/>
              </w:rPr>
              <w:t xml:space="preserve"> </w:t>
            </w:r>
            <w:r w:rsidRPr="00DE7477">
              <w:rPr>
                <w:rFonts w:ascii="Arial" w:eastAsia="Times New Roman" w:hAnsi="Arial" w:cs="Arial"/>
                <w:sz w:val="20"/>
                <w:lang w:val="en-US"/>
              </w:rPr>
              <w:t>not advertise any Venue Name Tuple subfields in the Venue Name ANQP-element, then the Venue Number</w:t>
            </w:r>
            <w:r>
              <w:rPr>
                <w:rFonts w:ascii="Arial" w:eastAsia="Times New Roman" w:hAnsi="Arial" w:cs="Arial"/>
                <w:sz w:val="20"/>
                <w:lang w:val="en-US"/>
              </w:rPr>
              <w:t xml:space="preserve"> </w:t>
            </w:r>
            <w:r w:rsidRPr="00DE7477">
              <w:rPr>
                <w:rFonts w:ascii="Arial" w:eastAsia="Times New Roman" w:hAnsi="Arial" w:cs="Arial"/>
                <w:sz w:val="20"/>
                <w:lang w:val="en-US"/>
              </w:rPr>
              <w:t>field is set to 0." -- second sentence implies there can only be at most one Venue Name ANQP-element</w:t>
            </w:r>
          </w:p>
        </w:tc>
        <w:tc>
          <w:tcPr>
            <w:tcW w:w="3600" w:type="dxa"/>
            <w:hideMark/>
          </w:tcPr>
          <w:p w14:paraId="74C723C0"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Change "a" to "the" in the first sentence</w:t>
            </w:r>
          </w:p>
        </w:tc>
      </w:tr>
    </w:tbl>
    <w:p w14:paraId="7ACE1C6D" w14:textId="77777777" w:rsidR="002C154C" w:rsidRDefault="002C154C" w:rsidP="002C154C">
      <w:pPr>
        <w:rPr>
          <w:bCs/>
          <w:szCs w:val="22"/>
        </w:rPr>
      </w:pPr>
    </w:p>
    <w:p w14:paraId="50256B3F" w14:textId="77777777" w:rsidR="002C154C" w:rsidRDefault="002C154C" w:rsidP="002C154C">
      <w:pPr>
        <w:rPr>
          <w:bCs/>
          <w:szCs w:val="22"/>
        </w:rPr>
      </w:pPr>
      <w:r>
        <w:rPr>
          <w:bCs/>
          <w:szCs w:val="22"/>
          <w:u w:val="single"/>
        </w:rPr>
        <w:t>Discussion:</w:t>
      </w:r>
    </w:p>
    <w:p w14:paraId="46902E39" w14:textId="77777777" w:rsidR="002C154C" w:rsidRDefault="002C154C" w:rsidP="002C154C">
      <w:pPr>
        <w:rPr>
          <w:bCs/>
          <w:szCs w:val="22"/>
        </w:rPr>
      </w:pPr>
    </w:p>
    <w:p w14:paraId="244A0E7C" w14:textId="77777777" w:rsidR="002C154C" w:rsidRDefault="002C154C" w:rsidP="002C154C">
      <w:pPr>
        <w:rPr>
          <w:bCs/>
          <w:szCs w:val="22"/>
        </w:rPr>
      </w:pPr>
      <w:r w:rsidRPr="00AA3EBA">
        <w:rPr>
          <w:bCs/>
          <w:noProof/>
          <w:szCs w:val="22"/>
          <w:bdr w:val="single" w:sz="8" w:space="0" w:color="auto" w:shadow="1"/>
        </w:rPr>
        <w:drawing>
          <wp:inline distT="0" distB="0" distL="0" distR="0" wp14:anchorId="47293DE5" wp14:editId="143842F3">
            <wp:extent cx="5984875" cy="8013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84875" cy="801370"/>
                    </a:xfrm>
                    <a:prstGeom prst="rect">
                      <a:avLst/>
                    </a:prstGeom>
                    <a:noFill/>
                    <a:ln>
                      <a:noFill/>
                    </a:ln>
                  </pic:spPr>
                </pic:pic>
              </a:graphicData>
            </a:graphic>
          </wp:inline>
        </w:drawing>
      </w:r>
    </w:p>
    <w:p w14:paraId="481A735A" w14:textId="77777777" w:rsidR="002C154C" w:rsidRDefault="002C154C" w:rsidP="002C154C">
      <w:pPr>
        <w:rPr>
          <w:bCs/>
          <w:szCs w:val="22"/>
        </w:rPr>
      </w:pPr>
    </w:p>
    <w:p w14:paraId="39C82866" w14:textId="77777777" w:rsidR="002C154C" w:rsidRDefault="002C154C" w:rsidP="002C154C">
      <w:pPr>
        <w:rPr>
          <w:bCs/>
          <w:szCs w:val="22"/>
        </w:rPr>
      </w:pPr>
      <w:r>
        <w:rPr>
          <w:bCs/>
          <w:szCs w:val="22"/>
        </w:rPr>
        <w:t>Unpacking the first sentence a bit:</w:t>
      </w:r>
    </w:p>
    <w:p w14:paraId="4EC2AFB0" w14:textId="77777777" w:rsidR="002C154C" w:rsidRDefault="002C154C" w:rsidP="002C154C">
      <w:pPr>
        <w:pStyle w:val="ListParagraph"/>
        <w:numPr>
          <w:ilvl w:val="0"/>
          <w:numId w:val="42"/>
        </w:numPr>
        <w:rPr>
          <w:bCs/>
          <w:szCs w:val="22"/>
        </w:rPr>
      </w:pPr>
      <w:r>
        <w:rPr>
          <w:bCs/>
          <w:szCs w:val="22"/>
        </w:rPr>
        <w:t>The STA might send a Venue Name ANQP-element, which contains zero or more venue names in Venue Name Tuples, as seen in 9.4.5.4:</w:t>
      </w:r>
    </w:p>
    <w:p w14:paraId="1DDADC97" w14:textId="77777777" w:rsidR="002C154C" w:rsidRPr="00C0701A" w:rsidRDefault="002C154C" w:rsidP="002C154C">
      <w:pPr>
        <w:rPr>
          <w:bCs/>
          <w:szCs w:val="22"/>
        </w:rPr>
      </w:pPr>
    </w:p>
    <w:p w14:paraId="704D44AD" w14:textId="77777777" w:rsidR="002C154C" w:rsidRDefault="002C154C" w:rsidP="002C154C">
      <w:pPr>
        <w:ind w:left="720"/>
        <w:rPr>
          <w:bCs/>
          <w:szCs w:val="22"/>
        </w:rPr>
      </w:pPr>
      <w:r w:rsidRPr="00C0701A">
        <w:rPr>
          <w:noProof/>
          <w:bdr w:val="single" w:sz="8" w:space="0" w:color="auto" w:shadow="1"/>
        </w:rPr>
        <w:drawing>
          <wp:inline distT="0" distB="0" distL="0" distR="0" wp14:anchorId="4D6D2610" wp14:editId="6F5A2015">
            <wp:extent cx="6050280" cy="2007235"/>
            <wp:effectExtent l="0" t="0" r="762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0280" cy="2007235"/>
                    </a:xfrm>
                    <a:prstGeom prst="rect">
                      <a:avLst/>
                    </a:prstGeom>
                    <a:noFill/>
                    <a:ln>
                      <a:noFill/>
                    </a:ln>
                  </pic:spPr>
                </pic:pic>
              </a:graphicData>
            </a:graphic>
          </wp:inline>
        </w:drawing>
      </w:r>
    </w:p>
    <w:p w14:paraId="5F50870C" w14:textId="77777777" w:rsidR="002C154C" w:rsidRPr="00B875D8" w:rsidRDefault="002C154C" w:rsidP="002C154C">
      <w:pPr>
        <w:ind w:left="720"/>
        <w:rPr>
          <w:noProof/>
          <w:bdr w:val="single" w:sz="8" w:space="0" w:color="auto" w:shadow="1"/>
        </w:rPr>
      </w:pPr>
      <w:r w:rsidRPr="00B875D8">
        <w:rPr>
          <w:noProof/>
          <w:bdr w:val="single" w:sz="8" w:space="0" w:color="auto" w:shadow="1"/>
        </w:rPr>
        <w:drawing>
          <wp:inline distT="0" distB="0" distL="0" distR="0" wp14:anchorId="6F8DB186" wp14:editId="29E0511A">
            <wp:extent cx="6080166" cy="223208"/>
            <wp:effectExtent l="0" t="0" r="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21416" cy="243078"/>
                    </a:xfrm>
                    <a:prstGeom prst="rect">
                      <a:avLst/>
                    </a:prstGeom>
                    <a:noFill/>
                    <a:ln>
                      <a:noFill/>
                    </a:ln>
                  </pic:spPr>
                </pic:pic>
              </a:graphicData>
            </a:graphic>
          </wp:inline>
        </w:drawing>
      </w:r>
    </w:p>
    <w:p w14:paraId="2F59CE46" w14:textId="77777777" w:rsidR="002C154C" w:rsidRDefault="002C154C" w:rsidP="002C154C">
      <w:pPr>
        <w:pStyle w:val="ListParagraph"/>
        <w:rPr>
          <w:bCs/>
          <w:szCs w:val="22"/>
        </w:rPr>
      </w:pPr>
    </w:p>
    <w:p w14:paraId="234B1106" w14:textId="77777777" w:rsidR="002C154C" w:rsidRDefault="002C154C" w:rsidP="002C154C">
      <w:pPr>
        <w:pStyle w:val="ListParagraph"/>
        <w:numPr>
          <w:ilvl w:val="0"/>
          <w:numId w:val="42"/>
        </w:numPr>
        <w:rPr>
          <w:bCs/>
          <w:szCs w:val="22"/>
        </w:rPr>
      </w:pPr>
      <w:r>
        <w:rPr>
          <w:bCs/>
          <w:szCs w:val="22"/>
        </w:rPr>
        <w:t>There is only one Venue Name ANQP-element transmitted, as implied by 11.23.3.3.11 (note the use of “the” in this text):</w:t>
      </w:r>
    </w:p>
    <w:p w14:paraId="11D8D27F" w14:textId="77777777" w:rsidR="002C154C" w:rsidRPr="00B875D8" w:rsidRDefault="002C154C" w:rsidP="002C154C">
      <w:pPr>
        <w:rPr>
          <w:bCs/>
          <w:szCs w:val="22"/>
        </w:rPr>
      </w:pPr>
    </w:p>
    <w:p w14:paraId="46101845" w14:textId="77777777" w:rsidR="002C154C" w:rsidRDefault="002C154C" w:rsidP="002C154C">
      <w:pPr>
        <w:ind w:left="720"/>
        <w:rPr>
          <w:noProof/>
          <w:bdr w:val="single" w:sz="8" w:space="0" w:color="auto" w:shadow="1"/>
        </w:rPr>
      </w:pPr>
      <w:r w:rsidRPr="00E10B30">
        <w:rPr>
          <w:noProof/>
          <w:bdr w:val="single" w:sz="8" w:space="0" w:color="auto" w:shadow="1"/>
        </w:rPr>
        <w:drawing>
          <wp:inline distT="0" distB="0" distL="0" distR="0" wp14:anchorId="1D9409D2" wp14:editId="534979AE">
            <wp:extent cx="6026529" cy="78359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8110" cy="783796"/>
                    </a:xfrm>
                    <a:prstGeom prst="rect">
                      <a:avLst/>
                    </a:prstGeom>
                    <a:noFill/>
                    <a:ln>
                      <a:noFill/>
                    </a:ln>
                  </pic:spPr>
                </pic:pic>
              </a:graphicData>
            </a:graphic>
          </wp:inline>
        </w:drawing>
      </w:r>
    </w:p>
    <w:p w14:paraId="727FE981" w14:textId="77777777" w:rsidR="002C154C" w:rsidRPr="00E10B30" w:rsidRDefault="002C154C" w:rsidP="002C154C">
      <w:pPr>
        <w:ind w:left="720"/>
        <w:rPr>
          <w:noProof/>
          <w:bdr w:val="single" w:sz="8" w:space="0" w:color="auto" w:shadow="1"/>
        </w:rPr>
      </w:pPr>
      <w:r w:rsidRPr="00E10B30">
        <w:rPr>
          <w:noProof/>
          <w:bdr w:val="single" w:sz="8" w:space="0" w:color="auto" w:shadow="1"/>
        </w:rPr>
        <w:lastRenderedPageBreak/>
        <w:drawing>
          <wp:inline distT="0" distB="0" distL="0" distR="0" wp14:anchorId="44CDF17C" wp14:editId="2BB603C1">
            <wp:extent cx="6009005" cy="80772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9005" cy="807720"/>
                    </a:xfrm>
                    <a:prstGeom prst="rect">
                      <a:avLst/>
                    </a:prstGeom>
                    <a:noFill/>
                    <a:ln>
                      <a:noFill/>
                    </a:ln>
                  </pic:spPr>
                </pic:pic>
              </a:graphicData>
            </a:graphic>
          </wp:inline>
        </w:drawing>
      </w:r>
    </w:p>
    <w:p w14:paraId="302DDCEB" w14:textId="77777777" w:rsidR="002C154C" w:rsidRPr="00E10B30" w:rsidRDefault="002C154C" w:rsidP="002C154C">
      <w:pPr>
        <w:rPr>
          <w:bCs/>
          <w:szCs w:val="22"/>
        </w:rPr>
      </w:pPr>
    </w:p>
    <w:p w14:paraId="6A81024E" w14:textId="77777777" w:rsidR="002C154C" w:rsidRDefault="002C154C" w:rsidP="002C154C">
      <w:pPr>
        <w:pStyle w:val="ListParagraph"/>
        <w:numPr>
          <w:ilvl w:val="0"/>
          <w:numId w:val="42"/>
        </w:numPr>
        <w:rPr>
          <w:bCs/>
          <w:szCs w:val="22"/>
        </w:rPr>
      </w:pPr>
      <w:r>
        <w:rPr>
          <w:bCs/>
          <w:szCs w:val="22"/>
        </w:rPr>
        <w:t>The Venue Number field is used to carry an ‘index’ into the Venue Name Tuples, as described in the cited text.  If there were more than one Venue Name ANQP-element from the same STA, this indexing would be ambiguous as to which Venue Name Tuples list was being referenced.</w:t>
      </w:r>
    </w:p>
    <w:p w14:paraId="7242497E" w14:textId="77777777" w:rsidR="002C154C" w:rsidRDefault="002C154C" w:rsidP="002C154C">
      <w:pPr>
        <w:rPr>
          <w:bCs/>
          <w:szCs w:val="22"/>
        </w:rPr>
      </w:pPr>
    </w:p>
    <w:p w14:paraId="740A5AD6" w14:textId="77777777" w:rsidR="002C154C" w:rsidRDefault="002C154C" w:rsidP="002C154C">
      <w:pPr>
        <w:rPr>
          <w:bCs/>
          <w:szCs w:val="22"/>
        </w:rPr>
      </w:pPr>
      <w:r>
        <w:rPr>
          <w:bCs/>
          <w:szCs w:val="22"/>
        </w:rPr>
        <w:t>Thus, agree with the commenter, there is only one (at most) Venue Name ANQP-element from this STA, so the article should be “the” to reference this specific, single element.</w:t>
      </w:r>
    </w:p>
    <w:p w14:paraId="4C4BAB84" w14:textId="77777777" w:rsidR="002C154C" w:rsidRDefault="002C154C" w:rsidP="002C154C">
      <w:pPr>
        <w:rPr>
          <w:bCs/>
          <w:szCs w:val="22"/>
        </w:rPr>
      </w:pPr>
    </w:p>
    <w:p w14:paraId="0DFFD6D3" w14:textId="77777777" w:rsidR="002C154C" w:rsidRDefault="002C154C" w:rsidP="002C154C">
      <w:pPr>
        <w:rPr>
          <w:bCs/>
          <w:szCs w:val="22"/>
        </w:rPr>
      </w:pPr>
      <w:r w:rsidRPr="0009494E">
        <w:rPr>
          <w:bCs/>
          <w:szCs w:val="22"/>
          <w:highlight w:val="green"/>
          <w:u w:val="single"/>
        </w:rPr>
        <w:t>Proposed Resolution:</w:t>
      </w:r>
    </w:p>
    <w:p w14:paraId="2AE11766" w14:textId="77777777" w:rsidR="002C154C" w:rsidRDefault="002C154C" w:rsidP="002C154C">
      <w:pPr>
        <w:rPr>
          <w:bCs/>
          <w:szCs w:val="22"/>
        </w:rPr>
      </w:pPr>
    </w:p>
    <w:p w14:paraId="184B671E" w14:textId="77777777" w:rsidR="002C154C" w:rsidRDefault="002C154C" w:rsidP="002C154C">
      <w:pPr>
        <w:rPr>
          <w:bCs/>
          <w:szCs w:val="22"/>
        </w:rPr>
      </w:pPr>
      <w:r>
        <w:rPr>
          <w:bCs/>
          <w:szCs w:val="22"/>
        </w:rPr>
        <w:t>Accepted.</w:t>
      </w:r>
    </w:p>
    <w:p w14:paraId="1FBFB32E" w14:textId="77777777" w:rsidR="002C154C" w:rsidRDefault="002C154C" w:rsidP="002C154C">
      <w:pPr>
        <w:rPr>
          <w:bCs/>
          <w:szCs w:val="22"/>
        </w:rPr>
      </w:pPr>
    </w:p>
    <w:p w14:paraId="1849B7EA"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790A46E7" w14:textId="77777777" w:rsidTr="00F76CC0">
        <w:trPr>
          <w:trHeight w:val="524"/>
        </w:trPr>
        <w:tc>
          <w:tcPr>
            <w:tcW w:w="738" w:type="dxa"/>
            <w:tcBorders>
              <w:top w:val="single" w:sz="4" w:space="0" w:color="auto"/>
              <w:left w:val="single" w:sz="4" w:space="0" w:color="auto"/>
              <w:bottom w:val="single" w:sz="4" w:space="0" w:color="auto"/>
              <w:right w:val="single" w:sz="4" w:space="0" w:color="auto"/>
            </w:tcBorders>
            <w:hideMark/>
          </w:tcPr>
          <w:p w14:paraId="5F215B6E"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DBD797C"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EA3A74"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D134A8"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0DDD392"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0B55DE5B" w14:textId="77777777" w:rsidTr="00F76CC0">
        <w:trPr>
          <w:trHeight w:val="4080"/>
        </w:trPr>
        <w:tc>
          <w:tcPr>
            <w:tcW w:w="738" w:type="dxa"/>
            <w:hideMark/>
          </w:tcPr>
          <w:p w14:paraId="1A4EF4F8" w14:textId="77777777" w:rsidR="002C154C" w:rsidRPr="00DE7477" w:rsidRDefault="002C154C" w:rsidP="00F76CC0">
            <w:pPr>
              <w:jc w:val="right"/>
              <w:rPr>
                <w:rFonts w:ascii="Arial" w:eastAsia="Times New Roman" w:hAnsi="Arial" w:cs="Arial"/>
                <w:sz w:val="20"/>
                <w:lang w:val="en-US"/>
              </w:rPr>
            </w:pPr>
            <w:r w:rsidRPr="00DE7477">
              <w:rPr>
                <w:rFonts w:ascii="Arial" w:eastAsia="Times New Roman" w:hAnsi="Arial" w:cs="Arial"/>
                <w:sz w:val="20"/>
                <w:lang w:val="en-US"/>
              </w:rPr>
              <w:t>4570</w:t>
            </w:r>
          </w:p>
        </w:tc>
        <w:tc>
          <w:tcPr>
            <w:tcW w:w="990" w:type="dxa"/>
            <w:hideMark/>
          </w:tcPr>
          <w:p w14:paraId="62189B0B" w14:textId="77777777" w:rsidR="002C154C" w:rsidRPr="00DE7477" w:rsidRDefault="002C154C" w:rsidP="00F76CC0">
            <w:pPr>
              <w:jc w:val="right"/>
              <w:rPr>
                <w:rFonts w:ascii="Arial" w:eastAsia="Times New Roman" w:hAnsi="Arial" w:cs="Arial"/>
                <w:sz w:val="20"/>
                <w:lang w:val="en-US"/>
              </w:rPr>
            </w:pPr>
            <w:r w:rsidRPr="00DE7477">
              <w:rPr>
                <w:rFonts w:ascii="Arial" w:eastAsia="Times New Roman" w:hAnsi="Arial" w:cs="Arial"/>
                <w:sz w:val="20"/>
                <w:lang w:val="en-US"/>
              </w:rPr>
              <w:t>1656.52</w:t>
            </w:r>
          </w:p>
        </w:tc>
        <w:tc>
          <w:tcPr>
            <w:tcW w:w="1080" w:type="dxa"/>
            <w:hideMark/>
          </w:tcPr>
          <w:p w14:paraId="6500E3BD"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9.6.20.7</w:t>
            </w:r>
          </w:p>
        </w:tc>
        <w:tc>
          <w:tcPr>
            <w:tcW w:w="3600" w:type="dxa"/>
            <w:hideMark/>
          </w:tcPr>
          <w:p w14:paraId="6E2DB554"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"The MMPDU Frame Body subfield carries the content of the Frame Body field of an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 -- well, the thing that is constructed is an MPDU, not an MMPDU, which (for an unencrypted case) goes straight into the Frame Body field</w:t>
            </w:r>
          </w:p>
        </w:tc>
        <w:tc>
          <w:tcPr>
            <w:tcW w:w="3600" w:type="dxa"/>
            <w:hideMark/>
          </w:tcPr>
          <w:p w14:paraId="6A925864"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Change to "The MMPDU Frame Body subfield carries the content of the Frame Body field of an MPDU carrying the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w:t>
            </w:r>
          </w:p>
        </w:tc>
      </w:tr>
    </w:tbl>
    <w:p w14:paraId="783FFD5B" w14:textId="77777777" w:rsidR="002C154C" w:rsidRDefault="002C154C" w:rsidP="002C154C">
      <w:pPr>
        <w:rPr>
          <w:bCs/>
          <w:szCs w:val="22"/>
        </w:rPr>
      </w:pPr>
    </w:p>
    <w:p w14:paraId="49E78405" w14:textId="77777777" w:rsidR="002C154C" w:rsidRDefault="002C154C" w:rsidP="002C154C">
      <w:pPr>
        <w:rPr>
          <w:bCs/>
          <w:szCs w:val="22"/>
        </w:rPr>
      </w:pPr>
      <w:r>
        <w:rPr>
          <w:bCs/>
          <w:szCs w:val="22"/>
          <w:u w:val="single"/>
        </w:rPr>
        <w:t>Discussion:</w:t>
      </w:r>
    </w:p>
    <w:p w14:paraId="51C08650" w14:textId="77777777" w:rsidR="002C154C" w:rsidRDefault="002C154C" w:rsidP="002C154C">
      <w:pPr>
        <w:rPr>
          <w:bCs/>
          <w:szCs w:val="22"/>
        </w:rPr>
      </w:pPr>
    </w:p>
    <w:p w14:paraId="61ED8460"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00BAD790" wp14:editId="1AEC57A0">
            <wp:extent cx="6035040" cy="182880"/>
            <wp:effectExtent l="0" t="0" r="381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5040" cy="182880"/>
                    </a:xfrm>
                    <a:prstGeom prst="rect">
                      <a:avLst/>
                    </a:prstGeom>
                    <a:noFill/>
                    <a:ln>
                      <a:noFill/>
                    </a:ln>
                  </pic:spPr>
                </pic:pic>
              </a:graphicData>
            </a:graphic>
          </wp:inline>
        </w:drawing>
      </w:r>
    </w:p>
    <w:p w14:paraId="6FFC447E"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77EA6453" wp14:editId="7617A944">
            <wp:extent cx="6056630" cy="635635"/>
            <wp:effectExtent l="0" t="0" r="127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6630" cy="635635"/>
                    </a:xfrm>
                    <a:prstGeom prst="rect">
                      <a:avLst/>
                    </a:prstGeom>
                    <a:noFill/>
                    <a:ln>
                      <a:noFill/>
                    </a:ln>
                  </pic:spPr>
                </pic:pic>
              </a:graphicData>
            </a:graphic>
          </wp:inline>
        </w:drawing>
      </w:r>
    </w:p>
    <w:p w14:paraId="3BDC8C03" w14:textId="77777777" w:rsidR="002C154C" w:rsidRDefault="002C154C" w:rsidP="002C154C">
      <w:pPr>
        <w:rPr>
          <w:bCs/>
          <w:szCs w:val="22"/>
        </w:rPr>
      </w:pPr>
    </w:p>
    <w:p w14:paraId="16F41AD8" w14:textId="77777777" w:rsidR="002C154C" w:rsidRDefault="002C154C" w:rsidP="002C154C">
      <w:pPr>
        <w:rPr>
          <w:bCs/>
          <w:szCs w:val="22"/>
        </w:rPr>
      </w:pPr>
      <w:r>
        <w:rPr>
          <w:bCs/>
          <w:szCs w:val="22"/>
        </w:rPr>
        <w:t xml:space="preserve">It is a management frame (which is by definition, a type of MPDU) that contains a Frame Body.  </w:t>
      </w:r>
    </w:p>
    <w:p w14:paraId="2DB69C73" w14:textId="77777777" w:rsidR="002C154C" w:rsidRDefault="002C154C" w:rsidP="002C154C">
      <w:pPr>
        <w:rPr>
          <w:bCs/>
          <w:szCs w:val="22"/>
        </w:rPr>
      </w:pPr>
    </w:p>
    <w:p w14:paraId="519CA24C"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04C58786" wp14:editId="28ECCFDC">
            <wp:extent cx="6103620" cy="1288415"/>
            <wp:effectExtent l="0" t="0" r="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3620" cy="1288415"/>
                    </a:xfrm>
                    <a:prstGeom prst="rect">
                      <a:avLst/>
                    </a:prstGeom>
                    <a:noFill/>
                    <a:ln>
                      <a:noFill/>
                    </a:ln>
                  </pic:spPr>
                </pic:pic>
              </a:graphicData>
            </a:graphic>
          </wp:inline>
        </w:drawing>
      </w:r>
    </w:p>
    <w:p w14:paraId="010B1222"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1FEEFCE5" wp14:editId="2E68AC18">
            <wp:extent cx="6003290" cy="1104265"/>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3290" cy="1104265"/>
                    </a:xfrm>
                    <a:prstGeom prst="rect">
                      <a:avLst/>
                    </a:prstGeom>
                    <a:noFill/>
                    <a:ln>
                      <a:noFill/>
                    </a:ln>
                  </pic:spPr>
                </pic:pic>
              </a:graphicData>
            </a:graphic>
          </wp:inline>
        </w:drawing>
      </w:r>
    </w:p>
    <w:p w14:paraId="20C351A2" w14:textId="77777777" w:rsidR="002C154C" w:rsidRDefault="002C154C" w:rsidP="002C154C">
      <w:pPr>
        <w:rPr>
          <w:bCs/>
          <w:szCs w:val="22"/>
        </w:rPr>
      </w:pPr>
    </w:p>
    <w:p w14:paraId="001F7EEF" w14:textId="77777777" w:rsidR="002C154C" w:rsidRDefault="002C154C" w:rsidP="002C154C">
      <w:pPr>
        <w:rPr>
          <w:bCs/>
          <w:szCs w:val="22"/>
        </w:rPr>
      </w:pPr>
      <w:r>
        <w:rPr>
          <w:bCs/>
          <w:szCs w:val="22"/>
        </w:rPr>
        <w:t>The management frame’s Frame Body is not described as carrying an MMPDU, but conceptually the “fields and elements … defined for each management frame subtype” comprise the “unit of data exchanged between two peer MAC entities … to implement the MAC management protocol”, which is the definition of MMPDU (see below).  So, this is roughly equivalent.</w:t>
      </w:r>
    </w:p>
    <w:p w14:paraId="535555F3" w14:textId="77777777" w:rsidR="002C154C" w:rsidRDefault="002C154C" w:rsidP="002C154C">
      <w:pPr>
        <w:rPr>
          <w:bCs/>
          <w:szCs w:val="22"/>
        </w:rPr>
      </w:pPr>
    </w:p>
    <w:p w14:paraId="0BCF398A"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lastRenderedPageBreak/>
        <w:drawing>
          <wp:inline distT="0" distB="0" distL="0" distR="0" wp14:anchorId="009ED277" wp14:editId="67FCC61E">
            <wp:extent cx="6003290" cy="492760"/>
            <wp:effectExtent l="0" t="0" r="0" b="25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3290" cy="492760"/>
                    </a:xfrm>
                    <a:prstGeom prst="rect">
                      <a:avLst/>
                    </a:prstGeom>
                    <a:noFill/>
                    <a:ln>
                      <a:noFill/>
                    </a:ln>
                  </pic:spPr>
                </pic:pic>
              </a:graphicData>
            </a:graphic>
          </wp:inline>
        </w:drawing>
      </w:r>
    </w:p>
    <w:p w14:paraId="27DF1CAE" w14:textId="77777777" w:rsidR="002C154C" w:rsidRDefault="002C154C" w:rsidP="002C154C">
      <w:pPr>
        <w:rPr>
          <w:bCs/>
          <w:szCs w:val="22"/>
        </w:rPr>
      </w:pPr>
    </w:p>
    <w:p w14:paraId="355C05DF" w14:textId="77777777" w:rsidR="002C154C" w:rsidRDefault="002C154C" w:rsidP="002C154C">
      <w:pPr>
        <w:rPr>
          <w:bCs/>
          <w:szCs w:val="22"/>
        </w:rPr>
      </w:pPr>
      <w:r>
        <w:rPr>
          <w:bCs/>
          <w:szCs w:val="22"/>
        </w:rPr>
        <w:t>So, agree with the commenter that the simplest way to describe this Frame Body is that it is the same Frame Body that would be in a management MPDU that conceptually is carrying the MMPDU.</w:t>
      </w:r>
    </w:p>
    <w:p w14:paraId="2659FA81" w14:textId="77777777" w:rsidR="002C154C" w:rsidRDefault="002C154C" w:rsidP="002C154C">
      <w:pPr>
        <w:rPr>
          <w:bCs/>
          <w:szCs w:val="22"/>
        </w:rPr>
      </w:pPr>
    </w:p>
    <w:p w14:paraId="64EBED12" w14:textId="77777777" w:rsidR="002C154C" w:rsidRDefault="002C154C" w:rsidP="002C154C">
      <w:pPr>
        <w:rPr>
          <w:bCs/>
          <w:szCs w:val="22"/>
        </w:rPr>
      </w:pPr>
      <w:r w:rsidRPr="0009494E">
        <w:rPr>
          <w:bCs/>
          <w:szCs w:val="22"/>
          <w:highlight w:val="green"/>
          <w:u w:val="single"/>
        </w:rPr>
        <w:t>Proposed Resolution:</w:t>
      </w:r>
    </w:p>
    <w:p w14:paraId="49F2ACF2" w14:textId="77777777" w:rsidR="002C154C" w:rsidRDefault="002C154C" w:rsidP="002C154C">
      <w:pPr>
        <w:rPr>
          <w:bCs/>
          <w:szCs w:val="22"/>
        </w:rPr>
      </w:pPr>
    </w:p>
    <w:p w14:paraId="7DE19ED8" w14:textId="77777777" w:rsidR="002C154C" w:rsidRDefault="002C154C" w:rsidP="002C154C">
      <w:pPr>
        <w:rPr>
          <w:bCs/>
          <w:szCs w:val="22"/>
        </w:rPr>
      </w:pPr>
      <w:r>
        <w:rPr>
          <w:bCs/>
          <w:szCs w:val="22"/>
        </w:rPr>
        <w:t>Accepted.</w:t>
      </w:r>
    </w:p>
    <w:p w14:paraId="5397C9FD" w14:textId="77777777" w:rsidR="002C154C" w:rsidRPr="007E44C0" w:rsidRDefault="002C154C" w:rsidP="002C154C">
      <w:pPr>
        <w:rPr>
          <w:bCs/>
          <w:szCs w:val="22"/>
        </w:rPr>
      </w:pPr>
    </w:p>
    <w:p w14:paraId="012CE321"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5FC2570" w14:textId="77777777" w:rsidTr="00F76CC0">
        <w:trPr>
          <w:trHeight w:val="524"/>
        </w:trPr>
        <w:tc>
          <w:tcPr>
            <w:tcW w:w="738" w:type="dxa"/>
            <w:tcBorders>
              <w:top w:val="single" w:sz="4" w:space="0" w:color="auto"/>
              <w:left w:val="single" w:sz="4" w:space="0" w:color="auto"/>
              <w:bottom w:val="single" w:sz="4" w:space="0" w:color="auto"/>
              <w:right w:val="single" w:sz="4" w:space="0" w:color="auto"/>
            </w:tcBorders>
            <w:hideMark/>
          </w:tcPr>
          <w:p w14:paraId="321211E6"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A458523"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117A39"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8AD185"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94BBFA"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2A29AD79" w14:textId="77777777" w:rsidTr="00F76CC0">
        <w:trPr>
          <w:trHeight w:val="1275"/>
        </w:trPr>
        <w:tc>
          <w:tcPr>
            <w:tcW w:w="738" w:type="dxa"/>
            <w:hideMark/>
          </w:tcPr>
          <w:p w14:paraId="5534F554" w14:textId="77777777" w:rsidR="002C154C" w:rsidRPr="00DE7477" w:rsidRDefault="002C154C" w:rsidP="00F76CC0">
            <w:pPr>
              <w:jc w:val="right"/>
              <w:rPr>
                <w:rFonts w:ascii="Arial" w:eastAsia="Times New Roman" w:hAnsi="Arial" w:cs="Arial"/>
                <w:sz w:val="20"/>
                <w:lang w:val="en-US"/>
              </w:rPr>
            </w:pPr>
            <w:r w:rsidRPr="00DE7477">
              <w:rPr>
                <w:rFonts w:ascii="Arial" w:eastAsia="Times New Roman" w:hAnsi="Arial" w:cs="Arial"/>
                <w:sz w:val="20"/>
                <w:lang w:val="en-US"/>
              </w:rPr>
              <w:t>4642</w:t>
            </w:r>
          </w:p>
        </w:tc>
        <w:tc>
          <w:tcPr>
            <w:tcW w:w="990" w:type="dxa"/>
            <w:hideMark/>
          </w:tcPr>
          <w:p w14:paraId="6BB487D5" w14:textId="77777777" w:rsidR="002C154C" w:rsidRPr="00DE7477" w:rsidRDefault="002C154C" w:rsidP="00F76CC0">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7CBDAF0"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29AD3AC"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The MAC can't determine whether the dot11BeamTrackingTimeLimit came from the SME, the MAC or the default</w:t>
            </w:r>
          </w:p>
        </w:tc>
        <w:tc>
          <w:tcPr>
            <w:tcW w:w="3600" w:type="dxa"/>
            <w:hideMark/>
          </w:tcPr>
          <w:p w14:paraId="78B746F2"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Delete "from the SME" at 2061.54, "from SME" at 2062.5</w:t>
            </w:r>
          </w:p>
        </w:tc>
      </w:tr>
    </w:tbl>
    <w:p w14:paraId="1BF0C2AA" w14:textId="77777777" w:rsidR="002C154C" w:rsidRDefault="002C154C" w:rsidP="002C154C">
      <w:pPr>
        <w:rPr>
          <w:bCs/>
          <w:szCs w:val="22"/>
        </w:rPr>
      </w:pPr>
    </w:p>
    <w:p w14:paraId="7E68C713" w14:textId="77777777" w:rsidR="002C154C" w:rsidRDefault="002C154C" w:rsidP="002C154C">
      <w:pPr>
        <w:rPr>
          <w:bCs/>
          <w:szCs w:val="22"/>
        </w:rPr>
      </w:pPr>
      <w:r>
        <w:rPr>
          <w:bCs/>
          <w:szCs w:val="22"/>
          <w:u w:val="single"/>
        </w:rPr>
        <w:t>Discussion:</w:t>
      </w:r>
    </w:p>
    <w:p w14:paraId="14AA2382" w14:textId="77777777" w:rsidR="002C154C" w:rsidRDefault="002C154C" w:rsidP="002C154C">
      <w:pPr>
        <w:rPr>
          <w:bCs/>
          <w:szCs w:val="22"/>
        </w:rPr>
      </w:pPr>
    </w:p>
    <w:p w14:paraId="5E20F297"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7495127" wp14:editId="02BB2BD3">
            <wp:extent cx="5962650" cy="6953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2650" cy="695325"/>
                    </a:xfrm>
                    <a:prstGeom prst="rect">
                      <a:avLst/>
                    </a:prstGeom>
                    <a:noFill/>
                    <a:ln>
                      <a:noFill/>
                    </a:ln>
                  </pic:spPr>
                </pic:pic>
              </a:graphicData>
            </a:graphic>
          </wp:inline>
        </w:drawing>
      </w:r>
    </w:p>
    <w:p w14:paraId="310765D2" w14:textId="77777777" w:rsidR="002C154C" w:rsidRDefault="002C154C" w:rsidP="002C154C">
      <w:pPr>
        <w:rPr>
          <w:bCs/>
          <w:szCs w:val="22"/>
        </w:rPr>
      </w:pPr>
    </w:p>
    <w:p w14:paraId="03D9F066" w14:textId="77777777" w:rsidR="002C154C" w:rsidRDefault="002C154C" w:rsidP="002C154C">
      <w:pPr>
        <w:rPr>
          <w:bCs/>
          <w:szCs w:val="22"/>
        </w:rPr>
      </w:pPr>
      <w:r>
        <w:rPr>
          <w:bCs/>
          <w:szCs w:val="22"/>
        </w:rPr>
        <w:t>Agree with the commenter.</w:t>
      </w:r>
    </w:p>
    <w:p w14:paraId="5AE83AFE" w14:textId="77777777" w:rsidR="002C154C" w:rsidRDefault="002C154C" w:rsidP="002C154C">
      <w:pPr>
        <w:rPr>
          <w:bCs/>
          <w:szCs w:val="22"/>
        </w:rPr>
      </w:pPr>
    </w:p>
    <w:p w14:paraId="1A2BF61F"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18CEB48" wp14:editId="762B1ABF">
            <wp:extent cx="6068060" cy="3058160"/>
            <wp:effectExtent l="0" t="0" r="889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68060" cy="3058160"/>
                    </a:xfrm>
                    <a:prstGeom prst="rect">
                      <a:avLst/>
                    </a:prstGeom>
                    <a:noFill/>
                    <a:ln>
                      <a:noFill/>
                    </a:ln>
                  </pic:spPr>
                </pic:pic>
              </a:graphicData>
            </a:graphic>
          </wp:inline>
        </w:drawing>
      </w:r>
    </w:p>
    <w:p w14:paraId="238DC08E" w14:textId="77777777" w:rsidR="002C154C" w:rsidRDefault="002C154C" w:rsidP="002C154C">
      <w:pPr>
        <w:rPr>
          <w:bCs/>
          <w:szCs w:val="22"/>
        </w:rPr>
      </w:pPr>
    </w:p>
    <w:p w14:paraId="1020D165" w14:textId="77777777" w:rsidR="002C154C" w:rsidRDefault="002C154C" w:rsidP="002C154C">
      <w:pPr>
        <w:rPr>
          <w:bCs/>
          <w:szCs w:val="22"/>
        </w:rPr>
      </w:pPr>
      <w:r>
        <w:rPr>
          <w:bCs/>
          <w:szCs w:val="22"/>
        </w:rPr>
        <w:t>Agree with the commenter.</w:t>
      </w:r>
    </w:p>
    <w:p w14:paraId="560DBFF2" w14:textId="77777777" w:rsidR="002C154C" w:rsidRDefault="002C154C" w:rsidP="002C154C">
      <w:pPr>
        <w:rPr>
          <w:bCs/>
          <w:szCs w:val="22"/>
        </w:rPr>
      </w:pPr>
    </w:p>
    <w:p w14:paraId="68897FDA" w14:textId="77777777" w:rsidR="002C154C" w:rsidRDefault="002C154C" w:rsidP="002C154C">
      <w:pPr>
        <w:rPr>
          <w:bCs/>
          <w:szCs w:val="22"/>
        </w:rPr>
      </w:pPr>
      <w:r w:rsidRPr="0009494E">
        <w:rPr>
          <w:bCs/>
          <w:szCs w:val="22"/>
          <w:highlight w:val="green"/>
          <w:u w:val="single"/>
        </w:rPr>
        <w:t>Proposed Resolution:</w:t>
      </w:r>
    </w:p>
    <w:p w14:paraId="7DFABF55" w14:textId="77777777" w:rsidR="002C154C" w:rsidRDefault="002C154C" w:rsidP="002C154C">
      <w:pPr>
        <w:rPr>
          <w:bCs/>
          <w:szCs w:val="22"/>
        </w:rPr>
      </w:pPr>
    </w:p>
    <w:p w14:paraId="178B2AB9" w14:textId="77777777" w:rsidR="002C154C" w:rsidRPr="00320576" w:rsidRDefault="002C154C" w:rsidP="002C154C">
      <w:pPr>
        <w:rPr>
          <w:bCs/>
          <w:szCs w:val="22"/>
        </w:rPr>
      </w:pPr>
      <w:r>
        <w:rPr>
          <w:bCs/>
          <w:szCs w:val="22"/>
        </w:rPr>
        <w:t>Accepted.</w:t>
      </w:r>
    </w:p>
    <w:p w14:paraId="50F2C503"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3C86F55D" w14:textId="77777777" w:rsidTr="00F76CC0">
        <w:trPr>
          <w:trHeight w:val="524"/>
        </w:trPr>
        <w:tc>
          <w:tcPr>
            <w:tcW w:w="738" w:type="dxa"/>
            <w:tcBorders>
              <w:top w:val="single" w:sz="4" w:space="0" w:color="auto"/>
              <w:left w:val="single" w:sz="4" w:space="0" w:color="auto"/>
              <w:bottom w:val="single" w:sz="4" w:space="0" w:color="auto"/>
              <w:right w:val="single" w:sz="4" w:space="0" w:color="auto"/>
            </w:tcBorders>
            <w:hideMark/>
          </w:tcPr>
          <w:p w14:paraId="0C7CDAB6"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DF2AB2"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75B972"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7580888"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4C1322"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CB8B04" w14:textId="77777777" w:rsidTr="00F76CC0">
        <w:trPr>
          <w:trHeight w:val="1530"/>
        </w:trPr>
        <w:tc>
          <w:tcPr>
            <w:tcW w:w="738" w:type="dxa"/>
            <w:hideMark/>
          </w:tcPr>
          <w:p w14:paraId="207FCDEC" w14:textId="77777777" w:rsidR="002C154C" w:rsidRPr="00DE7477" w:rsidRDefault="002C154C" w:rsidP="00F76CC0">
            <w:pPr>
              <w:jc w:val="right"/>
              <w:rPr>
                <w:rFonts w:ascii="Arial" w:eastAsia="Times New Roman" w:hAnsi="Arial" w:cs="Arial"/>
                <w:sz w:val="20"/>
                <w:lang w:val="en-US"/>
              </w:rPr>
            </w:pPr>
            <w:r w:rsidRPr="00DE7477">
              <w:rPr>
                <w:rFonts w:ascii="Arial" w:eastAsia="Times New Roman" w:hAnsi="Arial" w:cs="Arial"/>
                <w:sz w:val="20"/>
                <w:lang w:val="en-US"/>
              </w:rPr>
              <w:t>4555</w:t>
            </w:r>
          </w:p>
        </w:tc>
        <w:tc>
          <w:tcPr>
            <w:tcW w:w="990" w:type="dxa"/>
            <w:hideMark/>
          </w:tcPr>
          <w:p w14:paraId="620BA81B" w14:textId="77777777" w:rsidR="002C154C" w:rsidRPr="00DE7477" w:rsidRDefault="002C154C" w:rsidP="00F76CC0">
            <w:pPr>
              <w:jc w:val="right"/>
              <w:rPr>
                <w:rFonts w:ascii="Arial" w:eastAsia="Times New Roman" w:hAnsi="Arial" w:cs="Arial"/>
                <w:sz w:val="20"/>
                <w:lang w:val="en-US"/>
              </w:rPr>
            </w:pPr>
            <w:r w:rsidRPr="00DE7477">
              <w:rPr>
                <w:rFonts w:ascii="Arial" w:eastAsia="Times New Roman" w:hAnsi="Arial" w:cs="Arial"/>
                <w:sz w:val="20"/>
                <w:lang w:val="en-US"/>
              </w:rPr>
              <w:t>1721.54</w:t>
            </w:r>
          </w:p>
        </w:tc>
        <w:tc>
          <w:tcPr>
            <w:tcW w:w="1080" w:type="dxa"/>
            <w:hideMark/>
          </w:tcPr>
          <w:p w14:paraId="743CF7AF"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10.2.6</w:t>
            </w:r>
          </w:p>
        </w:tc>
        <w:tc>
          <w:tcPr>
            <w:tcW w:w="3600" w:type="dxa"/>
            <w:hideMark/>
          </w:tcPr>
          <w:p w14:paraId="61F6F9A5"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"increasing the probability of successful transmission (as defined in 10.2.2 (DCF))" -- 10.2.2 doesn't define successful transmission (this seems to be defined in 3.2</w:t>
            </w:r>
          </w:p>
        </w:tc>
        <w:tc>
          <w:tcPr>
            <w:tcW w:w="3600" w:type="dxa"/>
            <w:hideMark/>
          </w:tcPr>
          <w:p w14:paraId="5AD41F8F"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Delete the parenthetical</w:t>
            </w:r>
          </w:p>
        </w:tc>
      </w:tr>
    </w:tbl>
    <w:p w14:paraId="19A0D8AB" w14:textId="77777777" w:rsidR="002C154C" w:rsidRDefault="002C154C" w:rsidP="002C154C">
      <w:pPr>
        <w:rPr>
          <w:bCs/>
          <w:szCs w:val="22"/>
        </w:rPr>
      </w:pPr>
    </w:p>
    <w:p w14:paraId="4AA4E526" w14:textId="77777777" w:rsidR="002C154C" w:rsidRDefault="002C154C" w:rsidP="002C154C">
      <w:pPr>
        <w:rPr>
          <w:bCs/>
          <w:szCs w:val="22"/>
        </w:rPr>
      </w:pPr>
      <w:r>
        <w:rPr>
          <w:bCs/>
          <w:szCs w:val="22"/>
          <w:u w:val="single"/>
        </w:rPr>
        <w:t>Discussion:</w:t>
      </w:r>
    </w:p>
    <w:p w14:paraId="32F7B228" w14:textId="77777777" w:rsidR="002C154C" w:rsidRDefault="002C154C" w:rsidP="002C154C">
      <w:pPr>
        <w:rPr>
          <w:bCs/>
          <w:szCs w:val="22"/>
        </w:rPr>
      </w:pPr>
    </w:p>
    <w:p w14:paraId="637A69B8" w14:textId="77777777" w:rsidR="002C154C" w:rsidRPr="002976D8"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4624" behindDoc="0" locked="0" layoutInCell="1" allowOverlap="1" wp14:anchorId="6EAE1050" wp14:editId="26B4C1E1">
                <wp:simplePos x="0" y="0"/>
                <wp:positionH relativeFrom="column">
                  <wp:posOffset>3828607</wp:posOffset>
                </wp:positionH>
                <wp:positionV relativeFrom="paragraph">
                  <wp:posOffset>383011</wp:posOffset>
                </wp:positionV>
                <wp:extent cx="1365480" cy="38160"/>
                <wp:effectExtent l="95250" t="152400" r="101600" b="152400"/>
                <wp:wrapNone/>
                <wp:docPr id="309" name="Ink 309"/>
                <wp:cNvGraphicFramePr/>
                <a:graphic xmlns:a="http://schemas.openxmlformats.org/drawingml/2006/main">
                  <a:graphicData uri="http://schemas.microsoft.com/office/word/2010/wordprocessingInk">
                    <w14:contentPart bwMode="auto" r:id="rId45">
                      <w14:nvContentPartPr>
                        <w14:cNvContentPartPr/>
                      </w14:nvContentPartPr>
                      <w14:xfrm>
                        <a:off x="0" y="0"/>
                        <a:ext cx="1365480" cy="38160"/>
                      </w14:xfrm>
                    </w14:contentPart>
                  </a:graphicData>
                </a:graphic>
              </wp:anchor>
            </w:drawing>
          </mc:Choice>
          <mc:Fallback>
            <w:pict>
              <v:shape w14:anchorId="2FA313C9" id="Ink 309" o:spid="_x0000_s1026" type="#_x0000_t75" style="position:absolute;margin-left:297.2pt;margin-top:21.65pt;width:116pt;height:20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">
                <v:imagedata r:id="rId46" o:title=""/>
              </v:shape>
            </w:pict>
          </mc:Fallback>
        </mc:AlternateContent>
      </w:r>
      <w:r w:rsidRPr="002976D8">
        <w:rPr>
          <w:bCs/>
          <w:noProof/>
          <w:szCs w:val="22"/>
          <w:bdr w:val="single" w:sz="8" w:space="0" w:color="auto" w:shadow="1"/>
        </w:rPr>
        <w:drawing>
          <wp:inline distT="0" distB="0" distL="0" distR="0" wp14:anchorId="7F7E8F1B" wp14:editId="3544EBC1">
            <wp:extent cx="6026785" cy="1323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6785" cy="1323975"/>
                    </a:xfrm>
                    <a:prstGeom prst="rect">
                      <a:avLst/>
                    </a:prstGeom>
                    <a:noFill/>
                    <a:ln>
                      <a:noFill/>
                    </a:ln>
                  </pic:spPr>
                </pic:pic>
              </a:graphicData>
            </a:graphic>
          </wp:inline>
        </w:drawing>
      </w:r>
    </w:p>
    <w:p w14:paraId="6A3692BB" w14:textId="77777777" w:rsidR="002C154C" w:rsidRDefault="002C154C" w:rsidP="002C154C">
      <w:pPr>
        <w:rPr>
          <w:bCs/>
          <w:szCs w:val="22"/>
        </w:rPr>
      </w:pPr>
    </w:p>
    <w:p w14:paraId="4AA7F66F" w14:textId="77777777" w:rsidR="002C154C" w:rsidRDefault="002C154C" w:rsidP="002C154C">
      <w:pPr>
        <w:rPr>
          <w:bCs/>
          <w:szCs w:val="22"/>
        </w:rPr>
      </w:pPr>
      <w:r>
        <w:rPr>
          <w:bCs/>
          <w:szCs w:val="22"/>
        </w:rPr>
        <w:t>Agree with the commenter, this concept has been moved to the definitions (subclause 3.2):</w:t>
      </w:r>
    </w:p>
    <w:p w14:paraId="28A5ECBF" w14:textId="77777777" w:rsidR="002C154C" w:rsidRDefault="002C154C" w:rsidP="002C154C">
      <w:pPr>
        <w:rPr>
          <w:bCs/>
          <w:szCs w:val="22"/>
        </w:rPr>
      </w:pPr>
    </w:p>
    <w:p w14:paraId="00782EDC" w14:textId="77777777" w:rsidR="002C154C" w:rsidRPr="001A1B4F" w:rsidRDefault="002C154C" w:rsidP="002C154C">
      <w:pPr>
        <w:rPr>
          <w:bCs/>
          <w:noProof/>
          <w:szCs w:val="22"/>
          <w:bdr w:val="single" w:sz="8" w:space="0" w:color="auto" w:shadow="1"/>
        </w:rPr>
      </w:pPr>
      <w:r w:rsidRPr="001A1B4F">
        <w:rPr>
          <w:bCs/>
          <w:noProof/>
          <w:szCs w:val="22"/>
          <w:bdr w:val="single" w:sz="8" w:space="0" w:color="auto" w:shadow="1"/>
        </w:rPr>
        <w:drawing>
          <wp:inline distT="0" distB="0" distL="0" distR="0" wp14:anchorId="30152926" wp14:editId="36D86F12">
            <wp:extent cx="6021070" cy="42735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21070" cy="427355"/>
                    </a:xfrm>
                    <a:prstGeom prst="rect">
                      <a:avLst/>
                    </a:prstGeom>
                    <a:noFill/>
                    <a:ln>
                      <a:noFill/>
                    </a:ln>
                  </pic:spPr>
                </pic:pic>
              </a:graphicData>
            </a:graphic>
          </wp:inline>
        </w:drawing>
      </w:r>
    </w:p>
    <w:p w14:paraId="1DAA6EBD" w14:textId="77777777" w:rsidR="002C154C" w:rsidRDefault="002C154C" w:rsidP="002C154C">
      <w:pPr>
        <w:rPr>
          <w:bCs/>
          <w:szCs w:val="22"/>
        </w:rPr>
      </w:pPr>
    </w:p>
    <w:p w14:paraId="2E6700B6" w14:textId="77777777" w:rsidR="002C154C" w:rsidRDefault="002C154C" w:rsidP="002C154C">
      <w:pPr>
        <w:rPr>
          <w:bCs/>
          <w:szCs w:val="22"/>
        </w:rPr>
      </w:pPr>
      <w:r w:rsidRPr="0009494E">
        <w:rPr>
          <w:bCs/>
          <w:szCs w:val="22"/>
          <w:highlight w:val="green"/>
          <w:u w:val="single"/>
        </w:rPr>
        <w:t>Proposed Resolution:</w:t>
      </w:r>
    </w:p>
    <w:p w14:paraId="40930000" w14:textId="77777777" w:rsidR="002C154C" w:rsidRDefault="002C154C" w:rsidP="002C154C">
      <w:pPr>
        <w:rPr>
          <w:bCs/>
          <w:szCs w:val="22"/>
        </w:rPr>
      </w:pPr>
    </w:p>
    <w:p w14:paraId="6273D2D5" w14:textId="77777777" w:rsidR="002C154C" w:rsidRPr="001A1B4F" w:rsidRDefault="002C154C" w:rsidP="002C154C">
      <w:pPr>
        <w:rPr>
          <w:bCs/>
          <w:szCs w:val="22"/>
        </w:rPr>
      </w:pPr>
      <w:r>
        <w:rPr>
          <w:bCs/>
          <w:szCs w:val="22"/>
        </w:rPr>
        <w:t>Accepted.</w:t>
      </w:r>
    </w:p>
    <w:p w14:paraId="106C1AD6"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0665CA8" w14:textId="77777777" w:rsidTr="00F76CC0">
        <w:trPr>
          <w:trHeight w:val="524"/>
        </w:trPr>
        <w:tc>
          <w:tcPr>
            <w:tcW w:w="738" w:type="dxa"/>
            <w:tcBorders>
              <w:top w:val="single" w:sz="4" w:space="0" w:color="auto"/>
              <w:left w:val="single" w:sz="4" w:space="0" w:color="auto"/>
              <w:bottom w:val="single" w:sz="4" w:space="0" w:color="auto"/>
              <w:right w:val="single" w:sz="4" w:space="0" w:color="auto"/>
            </w:tcBorders>
            <w:hideMark/>
          </w:tcPr>
          <w:p w14:paraId="1E4E34F9"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952F4E5"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E89D720"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0EA99C"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28DAE59"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E676F01" w14:textId="77777777" w:rsidTr="00F76CC0">
        <w:trPr>
          <w:trHeight w:val="510"/>
        </w:trPr>
        <w:tc>
          <w:tcPr>
            <w:tcW w:w="738" w:type="dxa"/>
            <w:hideMark/>
          </w:tcPr>
          <w:p w14:paraId="11FD6815" w14:textId="77777777" w:rsidR="002C154C" w:rsidRPr="00DE7477" w:rsidRDefault="002C154C" w:rsidP="00F76CC0">
            <w:pPr>
              <w:jc w:val="right"/>
              <w:rPr>
                <w:rFonts w:ascii="Arial" w:eastAsia="Times New Roman" w:hAnsi="Arial" w:cs="Arial"/>
                <w:sz w:val="20"/>
                <w:lang w:val="en-US"/>
              </w:rPr>
            </w:pPr>
            <w:r w:rsidRPr="00DE7477">
              <w:rPr>
                <w:rFonts w:ascii="Arial" w:eastAsia="Times New Roman" w:hAnsi="Arial" w:cs="Arial"/>
                <w:sz w:val="20"/>
                <w:lang w:val="en-US"/>
              </w:rPr>
              <w:t>4652</w:t>
            </w:r>
          </w:p>
        </w:tc>
        <w:tc>
          <w:tcPr>
            <w:tcW w:w="990" w:type="dxa"/>
            <w:hideMark/>
          </w:tcPr>
          <w:p w14:paraId="418EB94F" w14:textId="77777777" w:rsidR="002C154C" w:rsidRPr="00DE7477" w:rsidRDefault="002C154C" w:rsidP="00F76CC0">
            <w:pPr>
              <w:jc w:val="right"/>
              <w:rPr>
                <w:rFonts w:ascii="Arial" w:eastAsia="Times New Roman" w:hAnsi="Arial" w:cs="Arial"/>
                <w:sz w:val="20"/>
                <w:lang w:val="en-US"/>
              </w:rPr>
            </w:pPr>
            <w:r w:rsidRPr="00DE7477">
              <w:rPr>
                <w:rFonts w:ascii="Arial" w:eastAsia="Times New Roman" w:hAnsi="Arial" w:cs="Arial"/>
                <w:sz w:val="20"/>
                <w:lang w:val="en-US"/>
              </w:rPr>
              <w:t>885.35</w:t>
            </w:r>
          </w:p>
        </w:tc>
        <w:tc>
          <w:tcPr>
            <w:tcW w:w="1080" w:type="dxa"/>
            <w:hideMark/>
          </w:tcPr>
          <w:p w14:paraId="1B67D0B6"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9.3.3.11</w:t>
            </w:r>
          </w:p>
        </w:tc>
        <w:tc>
          <w:tcPr>
            <w:tcW w:w="3600" w:type="dxa"/>
            <w:hideMark/>
          </w:tcPr>
          <w:p w14:paraId="78BE94C1"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"conditionally present" is not clear</w:t>
            </w:r>
          </w:p>
        </w:tc>
        <w:tc>
          <w:tcPr>
            <w:tcW w:w="3600" w:type="dxa"/>
            <w:hideMark/>
          </w:tcPr>
          <w:p w14:paraId="425DAA9F"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Change to "present"</w:t>
            </w:r>
          </w:p>
        </w:tc>
      </w:tr>
    </w:tbl>
    <w:p w14:paraId="011A39A8" w14:textId="77777777" w:rsidR="002C154C" w:rsidRDefault="002C154C" w:rsidP="002C154C">
      <w:pPr>
        <w:rPr>
          <w:bCs/>
          <w:szCs w:val="22"/>
        </w:rPr>
      </w:pPr>
    </w:p>
    <w:p w14:paraId="66228FA9" w14:textId="77777777" w:rsidR="002C154C" w:rsidRDefault="002C154C" w:rsidP="002C154C">
      <w:pPr>
        <w:rPr>
          <w:bCs/>
          <w:szCs w:val="22"/>
        </w:rPr>
      </w:pPr>
      <w:r>
        <w:rPr>
          <w:bCs/>
          <w:szCs w:val="22"/>
          <w:u w:val="single"/>
        </w:rPr>
        <w:t>Discussion:</w:t>
      </w:r>
    </w:p>
    <w:p w14:paraId="56EE37FC" w14:textId="77777777" w:rsidR="002C154C" w:rsidRDefault="002C154C" w:rsidP="002C154C">
      <w:pPr>
        <w:rPr>
          <w:bCs/>
          <w:szCs w:val="22"/>
        </w:rPr>
      </w:pPr>
    </w:p>
    <w:p w14:paraId="0BE6B1F1" w14:textId="77777777" w:rsidR="002C154C" w:rsidRPr="001A1B4F" w:rsidRDefault="002C154C" w:rsidP="002C154C">
      <w:pPr>
        <w:rPr>
          <w:bCs/>
          <w:noProof/>
          <w:szCs w:val="22"/>
          <w:bdr w:val="single" w:sz="8" w:space="0" w:color="auto" w:shadow="1"/>
        </w:rPr>
      </w:pPr>
      <w:r w:rsidRPr="001A1B4F">
        <w:rPr>
          <w:bCs/>
          <w:noProof/>
          <w:szCs w:val="22"/>
          <w:bdr w:val="single" w:sz="8" w:space="0" w:color="auto" w:shadow="1"/>
        </w:rPr>
        <w:drawing>
          <wp:inline distT="0" distB="0" distL="0" distR="0" wp14:anchorId="2829DE55" wp14:editId="69431FB8">
            <wp:extent cx="6026785" cy="207645"/>
            <wp:effectExtent l="0" t="0" r="0"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6785" cy="207645"/>
                    </a:xfrm>
                    <a:prstGeom prst="rect">
                      <a:avLst/>
                    </a:prstGeom>
                    <a:noFill/>
                    <a:ln>
                      <a:noFill/>
                    </a:ln>
                  </pic:spPr>
                </pic:pic>
              </a:graphicData>
            </a:graphic>
          </wp:inline>
        </w:drawing>
      </w:r>
    </w:p>
    <w:p w14:paraId="2C45138A" w14:textId="77777777" w:rsidR="002C154C" w:rsidRPr="001A1B4F"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5648" behindDoc="0" locked="0" layoutInCell="1" allowOverlap="1" wp14:anchorId="4F24C290" wp14:editId="5048FDA8">
                <wp:simplePos x="0" y="0"/>
                <wp:positionH relativeFrom="column">
                  <wp:posOffset>4891327</wp:posOffset>
                </wp:positionH>
                <wp:positionV relativeFrom="paragraph">
                  <wp:posOffset>2101239</wp:posOffset>
                </wp:positionV>
                <wp:extent cx="902880" cy="41760"/>
                <wp:effectExtent l="95250" t="152400" r="107315" b="168275"/>
                <wp:wrapNone/>
                <wp:docPr id="313" name="Ink 313"/>
                <wp:cNvGraphicFramePr/>
                <a:graphic xmlns:a="http://schemas.openxmlformats.org/drawingml/2006/main">
                  <a:graphicData uri="http://schemas.microsoft.com/office/word/2010/wordprocessingInk">
                    <w14:contentPart bwMode="auto" r:id="rId50">
                      <w14:nvContentPartPr>
                        <w14:cNvContentPartPr/>
                      </w14:nvContentPartPr>
                      <w14:xfrm>
                        <a:off x="0" y="0"/>
                        <a:ext cx="902880" cy="41760"/>
                      </w14:xfrm>
                    </w14:contentPart>
                  </a:graphicData>
                </a:graphic>
              </wp:anchor>
            </w:drawing>
          </mc:Choice>
          <mc:Fallback>
            <w:pict>
              <v:shape w14:anchorId="71C3C8DE" id="Ink 313" o:spid="_x0000_s1026" type="#_x0000_t75" style="position:absolute;margin-left:380.9pt;margin-top:156.95pt;width:79.6pt;height:20.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">
                <v:imagedata r:id="rId51" o:title=""/>
              </v:shape>
            </w:pict>
          </mc:Fallback>
        </mc:AlternateContent>
      </w:r>
      <w:r w:rsidRPr="001A1B4F">
        <w:rPr>
          <w:bCs/>
          <w:noProof/>
          <w:szCs w:val="22"/>
          <w:bdr w:val="single" w:sz="8" w:space="0" w:color="auto" w:shadow="1"/>
        </w:rPr>
        <w:drawing>
          <wp:inline distT="0" distB="0" distL="0" distR="0" wp14:anchorId="1B37ECBA" wp14:editId="4B81551D">
            <wp:extent cx="6038850" cy="24168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38850" cy="2416810"/>
                    </a:xfrm>
                    <a:prstGeom prst="rect">
                      <a:avLst/>
                    </a:prstGeom>
                    <a:noFill/>
                    <a:ln>
                      <a:noFill/>
                    </a:ln>
                  </pic:spPr>
                </pic:pic>
              </a:graphicData>
            </a:graphic>
          </wp:inline>
        </w:drawing>
      </w:r>
    </w:p>
    <w:p w14:paraId="710B5651" w14:textId="77777777" w:rsidR="002C154C" w:rsidRDefault="002C154C" w:rsidP="002C154C">
      <w:pPr>
        <w:rPr>
          <w:bCs/>
          <w:szCs w:val="22"/>
        </w:rPr>
      </w:pPr>
    </w:p>
    <w:p w14:paraId="5AFB62AD" w14:textId="77777777" w:rsidR="002C154C" w:rsidRDefault="002C154C" w:rsidP="002C154C">
      <w:pPr>
        <w:rPr>
          <w:bCs/>
          <w:szCs w:val="22"/>
        </w:rPr>
      </w:pPr>
      <w:r>
        <w:rPr>
          <w:bCs/>
          <w:szCs w:val="22"/>
        </w:rPr>
        <w:t>The concept/phrase “conditionally present” does not appear anywhere else in a clause 9 table – there are a couple uses within the text.</w:t>
      </w:r>
    </w:p>
    <w:p w14:paraId="79056D6C" w14:textId="77777777" w:rsidR="002C154C" w:rsidRDefault="002C154C" w:rsidP="002C154C">
      <w:pPr>
        <w:rPr>
          <w:bCs/>
          <w:szCs w:val="22"/>
        </w:rPr>
      </w:pPr>
    </w:p>
    <w:p w14:paraId="6043BB9F" w14:textId="77777777" w:rsidR="002C154C" w:rsidRDefault="002C154C" w:rsidP="002C154C">
      <w:pPr>
        <w:rPr>
          <w:bCs/>
          <w:szCs w:val="22"/>
        </w:rPr>
      </w:pPr>
      <w:r>
        <w:rPr>
          <w:bCs/>
          <w:szCs w:val="22"/>
        </w:rPr>
        <w:t>Agree with the commenter.</w:t>
      </w:r>
    </w:p>
    <w:p w14:paraId="2181B87A" w14:textId="77777777" w:rsidR="002C154C" w:rsidRDefault="002C154C" w:rsidP="002C154C">
      <w:pPr>
        <w:rPr>
          <w:bCs/>
          <w:szCs w:val="22"/>
        </w:rPr>
      </w:pPr>
    </w:p>
    <w:p w14:paraId="088EE183" w14:textId="77777777" w:rsidR="002C154C" w:rsidRDefault="002C154C" w:rsidP="002C154C">
      <w:pPr>
        <w:rPr>
          <w:bCs/>
          <w:szCs w:val="22"/>
        </w:rPr>
      </w:pPr>
      <w:r w:rsidRPr="00D65A96">
        <w:rPr>
          <w:bCs/>
          <w:szCs w:val="22"/>
          <w:highlight w:val="green"/>
          <w:u w:val="single"/>
        </w:rPr>
        <w:t>Proposed Resolution:</w:t>
      </w:r>
    </w:p>
    <w:p w14:paraId="6C6E131D" w14:textId="77777777" w:rsidR="002C154C" w:rsidRDefault="002C154C" w:rsidP="002C154C">
      <w:pPr>
        <w:rPr>
          <w:bCs/>
          <w:szCs w:val="22"/>
        </w:rPr>
      </w:pPr>
    </w:p>
    <w:p w14:paraId="55E02609" w14:textId="77777777" w:rsidR="002C154C" w:rsidRPr="001A1B4F" w:rsidRDefault="002C154C" w:rsidP="002C154C">
      <w:pPr>
        <w:rPr>
          <w:bCs/>
          <w:szCs w:val="22"/>
        </w:rPr>
      </w:pPr>
      <w:r>
        <w:rPr>
          <w:bCs/>
          <w:szCs w:val="22"/>
        </w:rPr>
        <w:t>Accepted.</w:t>
      </w:r>
    </w:p>
    <w:p w14:paraId="132013B2" w14:textId="77777777" w:rsidR="002C154C" w:rsidRPr="001A1B4F" w:rsidRDefault="002C154C" w:rsidP="002C154C">
      <w:pPr>
        <w:rPr>
          <w:bCs/>
          <w:szCs w:val="22"/>
        </w:rPr>
      </w:pPr>
    </w:p>
    <w:p w14:paraId="1A1A02B4"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84BB2B8" w14:textId="77777777" w:rsidTr="00F76CC0">
        <w:trPr>
          <w:trHeight w:val="524"/>
        </w:trPr>
        <w:tc>
          <w:tcPr>
            <w:tcW w:w="738" w:type="dxa"/>
            <w:tcBorders>
              <w:top w:val="single" w:sz="4" w:space="0" w:color="auto"/>
              <w:left w:val="single" w:sz="4" w:space="0" w:color="auto"/>
              <w:bottom w:val="single" w:sz="4" w:space="0" w:color="auto"/>
              <w:right w:val="single" w:sz="4" w:space="0" w:color="auto"/>
            </w:tcBorders>
            <w:hideMark/>
          </w:tcPr>
          <w:p w14:paraId="72E666B7"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FF6495"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FC26365"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6C0D88"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4FED34"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535C936" w14:textId="77777777" w:rsidTr="00F76CC0">
        <w:trPr>
          <w:trHeight w:val="2550"/>
        </w:trPr>
        <w:tc>
          <w:tcPr>
            <w:tcW w:w="738" w:type="dxa"/>
            <w:hideMark/>
          </w:tcPr>
          <w:p w14:paraId="7B13F39D" w14:textId="77777777" w:rsidR="002C154C" w:rsidRPr="00DE7477" w:rsidRDefault="002C154C" w:rsidP="00F76CC0">
            <w:pPr>
              <w:jc w:val="right"/>
              <w:rPr>
                <w:rFonts w:ascii="Arial" w:eastAsia="Times New Roman" w:hAnsi="Arial" w:cs="Arial"/>
                <w:sz w:val="20"/>
                <w:lang w:val="en-US"/>
              </w:rPr>
            </w:pPr>
            <w:r w:rsidRPr="00DE7477">
              <w:rPr>
                <w:rFonts w:ascii="Arial" w:eastAsia="Times New Roman" w:hAnsi="Arial" w:cs="Arial"/>
                <w:sz w:val="20"/>
                <w:lang w:val="en-US"/>
              </w:rPr>
              <w:t>4528</w:t>
            </w:r>
          </w:p>
        </w:tc>
        <w:tc>
          <w:tcPr>
            <w:tcW w:w="990" w:type="dxa"/>
            <w:hideMark/>
          </w:tcPr>
          <w:p w14:paraId="4775C5C5" w14:textId="77777777" w:rsidR="002C154C" w:rsidRPr="00DE7477" w:rsidRDefault="002C154C" w:rsidP="00F76CC0">
            <w:pPr>
              <w:jc w:val="right"/>
              <w:rPr>
                <w:rFonts w:ascii="Arial" w:eastAsia="Times New Roman" w:hAnsi="Arial" w:cs="Arial"/>
                <w:sz w:val="20"/>
                <w:lang w:val="en-US"/>
              </w:rPr>
            </w:pPr>
            <w:r w:rsidRPr="00DE7477">
              <w:rPr>
                <w:rFonts w:ascii="Arial" w:eastAsia="Times New Roman" w:hAnsi="Arial" w:cs="Arial"/>
                <w:sz w:val="20"/>
                <w:lang w:val="en-US"/>
              </w:rPr>
              <w:t>1354.43</w:t>
            </w:r>
          </w:p>
        </w:tc>
        <w:tc>
          <w:tcPr>
            <w:tcW w:w="1080" w:type="dxa"/>
            <w:hideMark/>
          </w:tcPr>
          <w:p w14:paraId="0C30FA99"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4E0A85DD"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"The Partial TSF Timer subfield value is derived as follows, so as to have units</w:t>
            </w:r>
            <w:r w:rsidRPr="00DE7477">
              <w:rPr>
                <w:rFonts w:ascii="Arial" w:eastAsia="Times New Roman" w:hAnsi="Arial" w:cs="Arial"/>
                <w:sz w:val="20"/>
                <w:lang w:val="en-US"/>
              </w:rPr>
              <w:br/>
              <w:t>of TUs: from the 64 TSF timer bits at the start of the first burst instance of an FTM session and remove the</w:t>
            </w:r>
            <w:r w:rsidRPr="00DE7477">
              <w:rPr>
                <w:rFonts w:ascii="Arial" w:eastAsia="Times New Roman" w:hAnsi="Arial" w:cs="Arial"/>
                <w:sz w:val="20"/>
                <w:lang w:val="en-US"/>
              </w:rPr>
              <w:br/>
              <w:t>most significant 38 bits and the least significant 10 bits." is garbled</w:t>
            </w:r>
          </w:p>
        </w:tc>
        <w:tc>
          <w:tcPr>
            <w:tcW w:w="3600" w:type="dxa"/>
            <w:hideMark/>
          </w:tcPr>
          <w:p w14:paraId="04BE57AA"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Delete the first "and " in the cited text</w:t>
            </w:r>
          </w:p>
        </w:tc>
      </w:tr>
    </w:tbl>
    <w:p w14:paraId="4B74D5C9" w14:textId="77777777" w:rsidR="002C154C" w:rsidRDefault="002C154C" w:rsidP="002C154C">
      <w:pPr>
        <w:rPr>
          <w:bCs/>
          <w:szCs w:val="22"/>
        </w:rPr>
      </w:pPr>
    </w:p>
    <w:p w14:paraId="5C3A708F" w14:textId="77777777" w:rsidR="002C154C" w:rsidRDefault="002C154C" w:rsidP="002C154C">
      <w:pPr>
        <w:rPr>
          <w:bCs/>
          <w:szCs w:val="22"/>
        </w:rPr>
      </w:pPr>
      <w:r>
        <w:rPr>
          <w:bCs/>
          <w:szCs w:val="22"/>
          <w:u w:val="single"/>
        </w:rPr>
        <w:t>Discussion:</w:t>
      </w:r>
    </w:p>
    <w:p w14:paraId="48FD1768" w14:textId="77777777" w:rsidR="002C154C" w:rsidRDefault="002C154C" w:rsidP="002C154C">
      <w:pPr>
        <w:rPr>
          <w:bCs/>
          <w:szCs w:val="22"/>
        </w:rPr>
      </w:pPr>
    </w:p>
    <w:p w14:paraId="3077DB7B" w14:textId="77777777" w:rsidR="002C154C" w:rsidRPr="00340120" w:rsidRDefault="002C154C" w:rsidP="002C154C">
      <w:pPr>
        <w:rPr>
          <w:bCs/>
          <w:noProof/>
          <w:szCs w:val="22"/>
          <w:bdr w:val="single" w:sz="8" w:space="0" w:color="auto" w:shadow="1"/>
        </w:rPr>
      </w:pPr>
      <w:r w:rsidRPr="00340120">
        <w:rPr>
          <w:bCs/>
          <w:noProof/>
          <w:szCs w:val="22"/>
          <w:bdr w:val="single" w:sz="8" w:space="0" w:color="auto" w:shadow="1"/>
        </w:rPr>
        <w:drawing>
          <wp:inline distT="0" distB="0" distL="0" distR="0" wp14:anchorId="7C65FFF5" wp14:editId="70195D93">
            <wp:extent cx="5991225" cy="7810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91225" cy="781050"/>
                    </a:xfrm>
                    <a:prstGeom prst="rect">
                      <a:avLst/>
                    </a:prstGeom>
                    <a:noFill/>
                    <a:ln>
                      <a:noFill/>
                    </a:ln>
                  </pic:spPr>
                </pic:pic>
              </a:graphicData>
            </a:graphic>
          </wp:inline>
        </w:drawing>
      </w:r>
    </w:p>
    <w:p w14:paraId="012BCA57" w14:textId="77777777" w:rsidR="002C154C" w:rsidRDefault="002C154C" w:rsidP="002C154C">
      <w:pPr>
        <w:rPr>
          <w:bCs/>
          <w:szCs w:val="22"/>
        </w:rPr>
      </w:pPr>
    </w:p>
    <w:p w14:paraId="07FE181E" w14:textId="77777777" w:rsidR="002C154C" w:rsidRDefault="002C154C" w:rsidP="002C154C">
      <w:pPr>
        <w:rPr>
          <w:bCs/>
          <w:szCs w:val="22"/>
        </w:rPr>
      </w:pPr>
      <w:r>
        <w:rPr>
          <w:bCs/>
          <w:szCs w:val="22"/>
        </w:rPr>
        <w:t>Agree with the commenter.  However, inserting a comma might be helpful, as the introductory clause is somewhat long and complex.</w:t>
      </w:r>
    </w:p>
    <w:p w14:paraId="39EFE654" w14:textId="77777777" w:rsidR="002C154C" w:rsidRDefault="002C154C" w:rsidP="002C154C">
      <w:pPr>
        <w:rPr>
          <w:bCs/>
          <w:szCs w:val="22"/>
        </w:rPr>
      </w:pPr>
    </w:p>
    <w:p w14:paraId="43640908" w14:textId="77777777" w:rsidR="002C154C" w:rsidRDefault="002C154C" w:rsidP="002C154C">
      <w:pPr>
        <w:rPr>
          <w:bCs/>
          <w:szCs w:val="22"/>
        </w:rPr>
      </w:pPr>
      <w:r w:rsidRPr="005C579E">
        <w:rPr>
          <w:bCs/>
          <w:szCs w:val="22"/>
          <w:highlight w:val="green"/>
          <w:u w:val="single"/>
        </w:rPr>
        <w:t>Proposed Resolution:</w:t>
      </w:r>
    </w:p>
    <w:p w14:paraId="6FBB5843" w14:textId="77777777" w:rsidR="002C154C" w:rsidRDefault="002C154C" w:rsidP="002C154C">
      <w:pPr>
        <w:rPr>
          <w:bCs/>
          <w:szCs w:val="22"/>
        </w:rPr>
      </w:pPr>
    </w:p>
    <w:p w14:paraId="0135F2D0" w14:textId="77777777" w:rsidR="002C154C" w:rsidRDefault="002C154C" w:rsidP="002C154C">
      <w:pPr>
        <w:rPr>
          <w:bCs/>
          <w:szCs w:val="22"/>
        </w:rPr>
      </w:pPr>
      <w:r>
        <w:rPr>
          <w:bCs/>
          <w:szCs w:val="22"/>
        </w:rPr>
        <w:t>Revised.</w:t>
      </w:r>
    </w:p>
    <w:p w14:paraId="0DB0BB68" w14:textId="77777777" w:rsidR="002C154C" w:rsidRDefault="002C154C" w:rsidP="002C154C">
      <w:pPr>
        <w:rPr>
          <w:bCs/>
          <w:szCs w:val="22"/>
        </w:rPr>
      </w:pPr>
    </w:p>
    <w:p w14:paraId="50122DD8" w14:textId="77777777" w:rsidR="002C154C" w:rsidRPr="00340120" w:rsidRDefault="002C154C" w:rsidP="002C154C">
      <w:pPr>
        <w:rPr>
          <w:bCs/>
          <w:szCs w:val="22"/>
        </w:rPr>
      </w:pPr>
      <w:r>
        <w:rPr>
          <w:bCs/>
          <w:szCs w:val="22"/>
        </w:rPr>
        <w:t>At P1354.45, replace the “and” with a comma.</w:t>
      </w:r>
    </w:p>
    <w:p w14:paraId="64758B20"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D6C9DAB" w14:textId="77777777" w:rsidTr="00F76CC0">
        <w:trPr>
          <w:trHeight w:val="524"/>
        </w:trPr>
        <w:tc>
          <w:tcPr>
            <w:tcW w:w="738" w:type="dxa"/>
            <w:tcBorders>
              <w:top w:val="single" w:sz="4" w:space="0" w:color="auto"/>
              <w:left w:val="single" w:sz="4" w:space="0" w:color="auto"/>
              <w:bottom w:val="single" w:sz="4" w:space="0" w:color="auto"/>
              <w:right w:val="single" w:sz="4" w:space="0" w:color="auto"/>
            </w:tcBorders>
            <w:hideMark/>
          </w:tcPr>
          <w:p w14:paraId="0C673015"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DAC46DB"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527265D"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F7795A"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F75B0C"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704833D1" w14:textId="77777777" w:rsidTr="00F76CC0">
        <w:trPr>
          <w:trHeight w:val="2550"/>
        </w:trPr>
        <w:tc>
          <w:tcPr>
            <w:tcW w:w="738" w:type="dxa"/>
            <w:hideMark/>
          </w:tcPr>
          <w:p w14:paraId="7AE99FCE" w14:textId="77777777" w:rsidR="002C154C" w:rsidRPr="00DE7477" w:rsidRDefault="002C154C" w:rsidP="00F76CC0">
            <w:pPr>
              <w:jc w:val="right"/>
              <w:rPr>
                <w:rFonts w:ascii="Arial" w:eastAsia="Times New Roman" w:hAnsi="Arial" w:cs="Arial"/>
                <w:sz w:val="20"/>
                <w:lang w:val="en-US"/>
              </w:rPr>
            </w:pPr>
            <w:r w:rsidRPr="00DE7477">
              <w:rPr>
                <w:rFonts w:ascii="Arial" w:eastAsia="Times New Roman" w:hAnsi="Arial" w:cs="Arial"/>
                <w:sz w:val="20"/>
                <w:lang w:val="en-US"/>
              </w:rPr>
              <w:t>4524</w:t>
            </w:r>
          </w:p>
        </w:tc>
        <w:tc>
          <w:tcPr>
            <w:tcW w:w="990" w:type="dxa"/>
            <w:hideMark/>
          </w:tcPr>
          <w:p w14:paraId="6FA4973F" w14:textId="77777777" w:rsidR="002C154C" w:rsidRPr="00DE7477" w:rsidRDefault="002C154C" w:rsidP="00F76CC0">
            <w:pPr>
              <w:jc w:val="right"/>
              <w:rPr>
                <w:rFonts w:ascii="Arial" w:eastAsia="Times New Roman" w:hAnsi="Arial" w:cs="Arial"/>
                <w:sz w:val="20"/>
                <w:lang w:val="en-US"/>
              </w:rPr>
            </w:pPr>
            <w:r w:rsidRPr="00DE7477">
              <w:rPr>
                <w:rFonts w:ascii="Arial" w:eastAsia="Times New Roman" w:hAnsi="Arial" w:cs="Arial"/>
                <w:sz w:val="20"/>
                <w:lang w:val="en-US"/>
              </w:rPr>
              <w:t>2487.43</w:t>
            </w:r>
          </w:p>
        </w:tc>
        <w:tc>
          <w:tcPr>
            <w:tcW w:w="1080" w:type="dxa"/>
            <w:hideMark/>
          </w:tcPr>
          <w:p w14:paraId="184B3E01"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11.32.5</w:t>
            </w:r>
          </w:p>
        </w:tc>
        <w:tc>
          <w:tcPr>
            <w:tcW w:w="3600" w:type="dxa"/>
            <w:hideMark/>
          </w:tcPr>
          <w:p w14:paraId="1996786B"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The notion of a "request" or "response" tunnelled MMPDU is referred to but not defined</w:t>
            </w:r>
          </w:p>
        </w:tc>
        <w:tc>
          <w:tcPr>
            <w:tcW w:w="3600" w:type="dxa"/>
            <w:hideMark/>
          </w:tcPr>
          <w:p w14:paraId="3C96625C"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At the start of 11.32.5 add a para "A request tunnelled MMPDU is an MMPDU generated in the context of an MLME .request primitive.  A response tunnelled MMPDU is an MMPDU generated in the context of an MLME .response primitive."</w:t>
            </w:r>
          </w:p>
        </w:tc>
      </w:tr>
    </w:tbl>
    <w:p w14:paraId="1CF8D54F" w14:textId="77777777" w:rsidR="002C154C" w:rsidRDefault="002C154C" w:rsidP="002C154C">
      <w:pPr>
        <w:rPr>
          <w:bCs/>
          <w:szCs w:val="22"/>
        </w:rPr>
      </w:pPr>
    </w:p>
    <w:p w14:paraId="111BFF42" w14:textId="77777777" w:rsidR="002C154C" w:rsidRDefault="002C154C" w:rsidP="002C154C">
      <w:pPr>
        <w:rPr>
          <w:bCs/>
          <w:szCs w:val="22"/>
        </w:rPr>
      </w:pPr>
      <w:r>
        <w:rPr>
          <w:bCs/>
          <w:szCs w:val="22"/>
          <w:u w:val="single"/>
        </w:rPr>
        <w:t>Discussion:</w:t>
      </w:r>
    </w:p>
    <w:p w14:paraId="7A1C4C5B" w14:textId="77777777" w:rsidR="002C154C" w:rsidRDefault="002C154C" w:rsidP="002C154C">
      <w:pPr>
        <w:rPr>
          <w:bCs/>
          <w:szCs w:val="22"/>
        </w:rPr>
      </w:pPr>
    </w:p>
    <w:p w14:paraId="2AAA46E8" w14:textId="77777777" w:rsidR="002C154C" w:rsidRPr="007343D4"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8720" behindDoc="0" locked="0" layoutInCell="1" allowOverlap="1" wp14:anchorId="1827CF1C" wp14:editId="4A411EA4">
                <wp:simplePos x="0" y="0"/>
                <wp:positionH relativeFrom="column">
                  <wp:posOffset>4647967</wp:posOffset>
                </wp:positionH>
                <wp:positionV relativeFrom="paragraph">
                  <wp:posOffset>2205355</wp:posOffset>
                </wp:positionV>
                <wp:extent cx="1311840" cy="49320"/>
                <wp:effectExtent l="76200" t="133350" r="117475" b="160655"/>
                <wp:wrapNone/>
                <wp:docPr id="320" name="Ink 320"/>
                <wp:cNvGraphicFramePr/>
                <a:graphic xmlns:a="http://schemas.openxmlformats.org/drawingml/2006/main">
                  <a:graphicData uri="http://schemas.microsoft.com/office/word/2010/wordprocessingInk">
                    <w14:contentPart bwMode="auto" r:id="rId54">
                      <w14:nvContentPartPr>
                        <w14:cNvContentPartPr/>
                      </w14:nvContentPartPr>
                      <w14:xfrm>
                        <a:off x="0" y="0"/>
                        <a:ext cx="1311840" cy="49320"/>
                      </w14:xfrm>
                    </w14:contentPart>
                  </a:graphicData>
                </a:graphic>
              </wp:anchor>
            </w:drawing>
          </mc:Choice>
          <mc:Fallback>
            <w:pict>
              <v:shape w14:anchorId="50527817" id="Ink 320" o:spid="_x0000_s1026" type="#_x0000_t75" style="position:absolute;margin-left:361.75pt;margin-top:165.15pt;width:111.8pt;height:20.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">
                <v:imagedata r:id="rId55" o:title=""/>
              </v:shape>
            </w:pict>
          </mc:Fallback>
        </mc:AlternateContent>
      </w:r>
      <w:r>
        <w:rPr>
          <w:bCs/>
          <w:noProof/>
          <w:szCs w:val="22"/>
        </w:rPr>
        <mc:AlternateContent>
          <mc:Choice Requires="wpi">
            <w:drawing>
              <wp:anchor distT="0" distB="0" distL="114300" distR="114300" simplePos="0" relativeHeight="251677696" behindDoc="0" locked="0" layoutInCell="1" allowOverlap="1" wp14:anchorId="3F415FA1" wp14:editId="49FE8C76">
                <wp:simplePos x="0" y="0"/>
                <wp:positionH relativeFrom="column">
                  <wp:posOffset>4636087</wp:posOffset>
                </wp:positionH>
                <wp:positionV relativeFrom="paragraph">
                  <wp:posOffset>86395</wp:posOffset>
                </wp:positionV>
                <wp:extent cx="1299960" cy="36360"/>
                <wp:effectExtent l="95250" t="152400" r="109855" b="154305"/>
                <wp:wrapNone/>
                <wp:docPr id="319" name="Ink 319"/>
                <wp:cNvGraphicFramePr/>
                <a:graphic xmlns:a="http://schemas.openxmlformats.org/drawingml/2006/main">
                  <a:graphicData uri="http://schemas.microsoft.com/office/word/2010/wordprocessingInk">
                    <w14:contentPart bwMode="auto" r:id="rId56">
                      <w14:nvContentPartPr>
                        <w14:cNvContentPartPr/>
                      </w14:nvContentPartPr>
                      <w14:xfrm>
                        <a:off x="0" y="0"/>
                        <a:ext cx="1299960" cy="36360"/>
                      </w14:xfrm>
                    </w14:contentPart>
                  </a:graphicData>
                </a:graphic>
              </wp:anchor>
            </w:drawing>
          </mc:Choice>
          <mc:Fallback>
            <w:pict>
              <v:shape w14:anchorId="5426E8C6" id="Ink 319" o:spid="_x0000_s1026" type="#_x0000_t75" style="position:absolute;margin-left:360.8pt;margin-top:-1.7pt;width:110.85pt;height:19.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">
                <v:imagedata r:id="rId57" o:title=""/>
              </v:shape>
            </w:pict>
          </mc:Fallback>
        </mc:AlternateContent>
      </w:r>
      <w:r w:rsidRPr="007343D4">
        <w:rPr>
          <w:bCs/>
          <w:noProof/>
          <w:szCs w:val="22"/>
          <w:bdr w:val="single" w:sz="8" w:space="0" w:color="auto" w:shadow="1"/>
        </w:rPr>
        <w:drawing>
          <wp:inline distT="0" distB="0" distL="0" distR="0" wp14:anchorId="455F7710" wp14:editId="7A6785BD">
            <wp:extent cx="6050280" cy="2950845"/>
            <wp:effectExtent l="0" t="0" r="7620" b="190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50280" cy="2950845"/>
                    </a:xfrm>
                    <a:prstGeom prst="rect">
                      <a:avLst/>
                    </a:prstGeom>
                    <a:noFill/>
                    <a:ln>
                      <a:noFill/>
                    </a:ln>
                  </pic:spPr>
                </pic:pic>
              </a:graphicData>
            </a:graphic>
          </wp:inline>
        </w:drawing>
      </w:r>
    </w:p>
    <w:p w14:paraId="616EF1E5" w14:textId="77777777" w:rsidR="002C154C" w:rsidRDefault="002C154C" w:rsidP="002C154C">
      <w:pPr>
        <w:rPr>
          <w:bCs/>
          <w:szCs w:val="22"/>
        </w:rPr>
      </w:pPr>
    </w:p>
    <w:p w14:paraId="7842C032" w14:textId="77777777" w:rsidR="002C154C" w:rsidRDefault="002C154C" w:rsidP="002C154C">
      <w:pPr>
        <w:rPr>
          <w:bCs/>
          <w:szCs w:val="22"/>
        </w:rPr>
      </w:pPr>
      <w:r>
        <w:rPr>
          <w:bCs/>
          <w:szCs w:val="22"/>
        </w:rPr>
        <w:t>Similar text occurs at P2488.48 and P2488.57 for a “response tunnelled MMPDU”.</w:t>
      </w:r>
    </w:p>
    <w:p w14:paraId="33D42E7C" w14:textId="77777777" w:rsidR="002C154C" w:rsidRDefault="002C154C" w:rsidP="002C154C">
      <w:pPr>
        <w:rPr>
          <w:bCs/>
          <w:szCs w:val="22"/>
        </w:rPr>
      </w:pPr>
    </w:p>
    <w:p w14:paraId="6E08094F" w14:textId="77777777" w:rsidR="002C154C" w:rsidRDefault="002C154C" w:rsidP="002C154C">
      <w:pPr>
        <w:rPr>
          <w:bCs/>
          <w:szCs w:val="22"/>
        </w:rPr>
      </w:pPr>
      <w:r>
        <w:rPr>
          <w:bCs/>
          <w:szCs w:val="22"/>
        </w:rPr>
        <w:t>Figure 11-53 can help put these situations in context:</w:t>
      </w:r>
    </w:p>
    <w:p w14:paraId="455A19BB" w14:textId="77777777" w:rsidR="002C154C" w:rsidRDefault="002C154C" w:rsidP="002C154C">
      <w:pPr>
        <w:rPr>
          <w:bCs/>
          <w:szCs w:val="22"/>
        </w:rPr>
      </w:pPr>
    </w:p>
    <w:p w14:paraId="2C99E27E" w14:textId="77777777" w:rsidR="002C154C" w:rsidRPr="007343D4" w:rsidRDefault="002C154C" w:rsidP="002C154C">
      <w:pPr>
        <w:rPr>
          <w:bCs/>
          <w:noProof/>
          <w:szCs w:val="22"/>
          <w:bdr w:val="single" w:sz="8" w:space="0" w:color="auto" w:shadow="1"/>
        </w:rPr>
      </w:pPr>
      <w:r w:rsidRPr="007343D4">
        <w:rPr>
          <w:bCs/>
          <w:noProof/>
          <w:szCs w:val="22"/>
          <w:bdr w:val="single" w:sz="8" w:space="0" w:color="auto" w:shadow="1"/>
        </w:rPr>
        <w:lastRenderedPageBreak/>
        <w:drawing>
          <wp:inline distT="0" distB="0" distL="0" distR="0" wp14:anchorId="70829732" wp14:editId="5CEF5CF6">
            <wp:extent cx="6003290" cy="343789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03290" cy="3437890"/>
                    </a:xfrm>
                    <a:prstGeom prst="rect">
                      <a:avLst/>
                    </a:prstGeom>
                    <a:noFill/>
                    <a:ln>
                      <a:noFill/>
                    </a:ln>
                  </pic:spPr>
                </pic:pic>
              </a:graphicData>
            </a:graphic>
          </wp:inline>
        </w:drawing>
      </w:r>
    </w:p>
    <w:p w14:paraId="2692C129" w14:textId="77777777" w:rsidR="002C154C" w:rsidRDefault="002C154C" w:rsidP="002C154C">
      <w:pPr>
        <w:rPr>
          <w:bCs/>
          <w:szCs w:val="22"/>
        </w:rPr>
      </w:pPr>
    </w:p>
    <w:p w14:paraId="6708FD03" w14:textId="77777777" w:rsidR="002C154C" w:rsidRDefault="002C154C" w:rsidP="002C154C">
      <w:pPr>
        <w:rPr>
          <w:bCs/>
          <w:szCs w:val="22"/>
        </w:rPr>
      </w:pPr>
      <w:r>
        <w:rPr>
          <w:bCs/>
          <w:szCs w:val="22"/>
        </w:rPr>
        <w:t>As can be seen in Figure 11-53, the text is attempting to identify the TR-MLME on the left (identified as getting a MLME-OCTunnel.request) and the TR-MLME on the right (identified as getting an On-channel Tunnel Request frame), as these are getting the “forward path” events in the Figure.  The text goes on to also identify these two TR-MLMEs in the context of the “return path”, which has the same events.  The difference between the forward path and the return path is only in the nature of the tunnelled MMPDU, being either a request MMPDU or a response MMPDU.</w:t>
      </w:r>
    </w:p>
    <w:p w14:paraId="5EDF41FE" w14:textId="77777777" w:rsidR="002C154C" w:rsidRDefault="002C154C" w:rsidP="002C154C">
      <w:pPr>
        <w:rPr>
          <w:bCs/>
          <w:szCs w:val="22"/>
        </w:rPr>
      </w:pPr>
    </w:p>
    <w:p w14:paraId="35F38850" w14:textId="77777777" w:rsidR="002C154C" w:rsidRDefault="002C154C" w:rsidP="002C154C">
      <w:pPr>
        <w:rPr>
          <w:bCs/>
          <w:szCs w:val="22"/>
        </w:rPr>
      </w:pPr>
      <w:r>
        <w:rPr>
          <w:bCs/>
          <w:szCs w:val="22"/>
        </w:rPr>
        <w:t xml:space="preserve">However, in agreement with the commenter, the terms </w:t>
      </w:r>
      <w:r w:rsidRPr="00193C02">
        <w:rPr>
          <w:bCs/>
          <w:szCs w:val="22"/>
        </w:rPr>
        <w:t>"request</w:t>
      </w:r>
      <w:r>
        <w:rPr>
          <w:bCs/>
          <w:szCs w:val="22"/>
        </w:rPr>
        <w:t xml:space="preserve"> </w:t>
      </w:r>
      <w:r w:rsidRPr="00193C02">
        <w:rPr>
          <w:bCs/>
          <w:szCs w:val="22"/>
        </w:rPr>
        <w:t>tunnelled MMPDU " or "response</w:t>
      </w:r>
      <w:r>
        <w:rPr>
          <w:bCs/>
          <w:szCs w:val="22"/>
        </w:rPr>
        <w:t xml:space="preserve"> </w:t>
      </w:r>
      <w:r w:rsidRPr="00193C02">
        <w:rPr>
          <w:bCs/>
          <w:szCs w:val="22"/>
        </w:rPr>
        <w:t>tunnell</w:t>
      </w:r>
      <w:r>
        <w:rPr>
          <w:bCs/>
          <w:szCs w:val="22"/>
        </w:rPr>
        <w:t>ed MMPDU”</w:t>
      </w:r>
      <w:r w:rsidRPr="00193C02">
        <w:rPr>
          <w:bCs/>
          <w:szCs w:val="22"/>
        </w:rPr>
        <w:t xml:space="preserve"> </w:t>
      </w:r>
      <w:r>
        <w:rPr>
          <w:bCs/>
          <w:szCs w:val="22"/>
        </w:rPr>
        <w:t>are never defined, as the method to convey this distinction.</w:t>
      </w:r>
    </w:p>
    <w:p w14:paraId="5AC13323" w14:textId="77777777" w:rsidR="002C154C" w:rsidRDefault="002C154C" w:rsidP="002C154C">
      <w:pPr>
        <w:rPr>
          <w:bCs/>
          <w:szCs w:val="22"/>
        </w:rPr>
      </w:pPr>
    </w:p>
    <w:p w14:paraId="40D3A9E5" w14:textId="77777777" w:rsidR="002C154C" w:rsidRDefault="002C154C" w:rsidP="002C154C">
      <w:pPr>
        <w:rPr>
          <w:bCs/>
          <w:szCs w:val="22"/>
        </w:rPr>
      </w:pPr>
      <w:r>
        <w:rPr>
          <w:bCs/>
          <w:szCs w:val="22"/>
        </w:rPr>
        <w:t>The start of 11.32.5, where the commenter proposes to add text to define these terms, is the general introduction to the operation of OCT.  It would not make sense to start with the introduction of these detailed terms before the introductory text is understood.  So, “at the start” of 11.32.5 is probably not the right place.  The procedure details start at P2487.16, and this is probably a better place for it.</w:t>
      </w:r>
    </w:p>
    <w:p w14:paraId="13298A6A" w14:textId="77777777" w:rsidR="002C154C" w:rsidRDefault="002C154C" w:rsidP="002C154C">
      <w:pPr>
        <w:rPr>
          <w:bCs/>
          <w:szCs w:val="22"/>
        </w:rPr>
      </w:pPr>
    </w:p>
    <w:p w14:paraId="3BAFBE47" w14:textId="77777777" w:rsidR="002C154C" w:rsidRDefault="002C154C" w:rsidP="002C154C">
      <w:pPr>
        <w:rPr>
          <w:bCs/>
          <w:szCs w:val="22"/>
        </w:rPr>
      </w:pPr>
      <w:r>
        <w:rPr>
          <w:bCs/>
          <w:szCs w:val="22"/>
        </w:rPr>
        <w:t>A bit of introductory text for these terms would also help.</w:t>
      </w:r>
    </w:p>
    <w:p w14:paraId="6023855B" w14:textId="77777777" w:rsidR="002C154C" w:rsidRDefault="002C154C" w:rsidP="002C154C">
      <w:pPr>
        <w:rPr>
          <w:bCs/>
          <w:szCs w:val="22"/>
        </w:rPr>
      </w:pPr>
    </w:p>
    <w:p w14:paraId="4DBFCC8C" w14:textId="77777777" w:rsidR="002C154C" w:rsidRDefault="002C154C" w:rsidP="002C154C">
      <w:pPr>
        <w:rPr>
          <w:bCs/>
          <w:szCs w:val="22"/>
        </w:rPr>
      </w:pPr>
      <w:r w:rsidRPr="005C579E">
        <w:rPr>
          <w:bCs/>
          <w:szCs w:val="22"/>
          <w:highlight w:val="green"/>
          <w:u w:val="single"/>
        </w:rPr>
        <w:t>Proposed Resolution:</w:t>
      </w:r>
    </w:p>
    <w:p w14:paraId="5217048E" w14:textId="77777777" w:rsidR="002C154C" w:rsidRDefault="002C154C" w:rsidP="002C154C">
      <w:pPr>
        <w:rPr>
          <w:bCs/>
          <w:szCs w:val="22"/>
        </w:rPr>
      </w:pPr>
    </w:p>
    <w:p w14:paraId="5816926D" w14:textId="77777777" w:rsidR="002C154C" w:rsidRDefault="002C154C" w:rsidP="002C154C">
      <w:pPr>
        <w:rPr>
          <w:bCs/>
          <w:szCs w:val="22"/>
        </w:rPr>
      </w:pPr>
      <w:r>
        <w:rPr>
          <w:bCs/>
          <w:szCs w:val="22"/>
        </w:rPr>
        <w:t>Revised.</w:t>
      </w:r>
    </w:p>
    <w:p w14:paraId="74FC4D71" w14:textId="77777777" w:rsidR="002C154C" w:rsidRDefault="002C154C" w:rsidP="002C154C">
      <w:pPr>
        <w:rPr>
          <w:bCs/>
          <w:szCs w:val="22"/>
        </w:rPr>
      </w:pPr>
    </w:p>
    <w:p w14:paraId="0E33CCD5" w14:textId="77777777" w:rsidR="002C154C" w:rsidRDefault="002C154C" w:rsidP="002C154C">
      <w:pPr>
        <w:rPr>
          <w:bCs/>
          <w:szCs w:val="22"/>
        </w:rPr>
      </w:pPr>
      <w:r>
        <w:rPr>
          <w:bCs/>
          <w:szCs w:val="22"/>
        </w:rPr>
        <w:t>At P2487.15, insert a new paragraph:</w:t>
      </w:r>
    </w:p>
    <w:p w14:paraId="7445C6B1" w14:textId="77777777" w:rsidR="002C154C" w:rsidRPr="00CD5BDF" w:rsidRDefault="002C154C" w:rsidP="002C154C">
      <w:pPr>
        <w:rPr>
          <w:bCs/>
          <w:szCs w:val="22"/>
        </w:rPr>
      </w:pPr>
      <w:r>
        <w:rPr>
          <w:bCs/>
          <w:szCs w:val="22"/>
        </w:rPr>
        <w:t>‘In the following procedure, a</w:t>
      </w:r>
      <w:r w:rsidRPr="00CD5BDF">
        <w:rPr>
          <w:bCs/>
          <w:szCs w:val="22"/>
        </w:rPr>
        <w:t xml:space="preserve"> </w:t>
      </w:r>
      <w:r>
        <w:rPr>
          <w:bCs/>
          <w:szCs w:val="22"/>
        </w:rPr>
        <w:t>“</w:t>
      </w:r>
      <w:r w:rsidRPr="00CD5BDF">
        <w:rPr>
          <w:bCs/>
          <w:szCs w:val="22"/>
        </w:rPr>
        <w:t>request tunnelled MMPDU</w:t>
      </w:r>
      <w:r>
        <w:rPr>
          <w:bCs/>
          <w:szCs w:val="22"/>
        </w:rPr>
        <w:t>”</w:t>
      </w:r>
      <w:r w:rsidRPr="00CD5BDF">
        <w:rPr>
          <w:bCs/>
          <w:szCs w:val="22"/>
        </w:rPr>
        <w:t xml:space="preserve"> is an MMPDU generated in the context of an MLME .request primitive.  A </w:t>
      </w:r>
      <w:r>
        <w:rPr>
          <w:bCs/>
          <w:szCs w:val="22"/>
        </w:rPr>
        <w:t>“</w:t>
      </w:r>
      <w:r w:rsidRPr="00CD5BDF">
        <w:rPr>
          <w:bCs/>
          <w:szCs w:val="22"/>
        </w:rPr>
        <w:t>response tunnelled MMPDU</w:t>
      </w:r>
      <w:r>
        <w:rPr>
          <w:bCs/>
          <w:szCs w:val="22"/>
        </w:rPr>
        <w:t>”</w:t>
      </w:r>
      <w:r w:rsidRPr="00CD5BDF">
        <w:rPr>
          <w:bCs/>
          <w:szCs w:val="22"/>
        </w:rPr>
        <w:t xml:space="preserve"> is an MMPDU generated in the context of an MLME .response primitive.</w:t>
      </w:r>
      <w:r>
        <w:rPr>
          <w:bCs/>
          <w:szCs w:val="22"/>
        </w:rPr>
        <w:t>’</w:t>
      </w:r>
    </w:p>
    <w:p w14:paraId="33E460CC" w14:textId="77777777" w:rsidR="002C154C" w:rsidRPr="007343D4" w:rsidRDefault="002C154C" w:rsidP="002C154C">
      <w:pPr>
        <w:rPr>
          <w:bCs/>
          <w:szCs w:val="22"/>
        </w:rPr>
      </w:pPr>
    </w:p>
    <w:p w14:paraId="5B624C8C"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806FB36" w14:textId="77777777" w:rsidTr="00F76CC0">
        <w:trPr>
          <w:trHeight w:val="524"/>
        </w:trPr>
        <w:tc>
          <w:tcPr>
            <w:tcW w:w="738" w:type="dxa"/>
            <w:tcBorders>
              <w:top w:val="single" w:sz="4" w:space="0" w:color="auto"/>
              <w:left w:val="single" w:sz="4" w:space="0" w:color="auto"/>
              <w:bottom w:val="single" w:sz="4" w:space="0" w:color="auto"/>
              <w:right w:val="single" w:sz="4" w:space="0" w:color="auto"/>
            </w:tcBorders>
            <w:hideMark/>
          </w:tcPr>
          <w:p w14:paraId="651F79EA"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394E4CC"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21A10F9"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09D009"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C7ED039" w14:textId="77777777" w:rsidR="002C154C" w:rsidRDefault="002C154C"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68BE1811" w14:textId="77777777" w:rsidTr="00F76CC0">
        <w:trPr>
          <w:trHeight w:val="1154"/>
        </w:trPr>
        <w:tc>
          <w:tcPr>
            <w:tcW w:w="738" w:type="dxa"/>
            <w:hideMark/>
          </w:tcPr>
          <w:p w14:paraId="6EE04505" w14:textId="77777777" w:rsidR="002C154C" w:rsidRPr="00DE7477" w:rsidRDefault="002C154C" w:rsidP="00F76CC0">
            <w:pPr>
              <w:jc w:val="right"/>
              <w:rPr>
                <w:rFonts w:ascii="Arial" w:eastAsia="Times New Roman" w:hAnsi="Arial" w:cs="Arial"/>
                <w:sz w:val="20"/>
                <w:lang w:val="en-US"/>
              </w:rPr>
            </w:pPr>
            <w:r w:rsidRPr="00DE7477">
              <w:rPr>
                <w:rFonts w:ascii="Arial" w:eastAsia="Times New Roman" w:hAnsi="Arial" w:cs="Arial"/>
                <w:sz w:val="20"/>
                <w:lang w:val="en-US"/>
              </w:rPr>
              <w:t>4585</w:t>
            </w:r>
          </w:p>
        </w:tc>
        <w:tc>
          <w:tcPr>
            <w:tcW w:w="990" w:type="dxa"/>
            <w:hideMark/>
          </w:tcPr>
          <w:p w14:paraId="2CC4BB11" w14:textId="77777777" w:rsidR="002C154C" w:rsidRPr="00DE7477" w:rsidRDefault="002C154C" w:rsidP="00F76CC0">
            <w:pPr>
              <w:jc w:val="right"/>
              <w:rPr>
                <w:rFonts w:ascii="Arial" w:eastAsia="Times New Roman" w:hAnsi="Arial" w:cs="Arial"/>
                <w:sz w:val="20"/>
                <w:lang w:val="en-US"/>
              </w:rPr>
            </w:pPr>
            <w:r w:rsidRPr="00DE7477">
              <w:rPr>
                <w:rFonts w:ascii="Arial" w:eastAsia="Times New Roman" w:hAnsi="Arial" w:cs="Arial"/>
                <w:sz w:val="20"/>
                <w:lang w:val="en-US"/>
              </w:rPr>
              <w:t>1526.06</w:t>
            </w:r>
          </w:p>
        </w:tc>
        <w:tc>
          <w:tcPr>
            <w:tcW w:w="1080" w:type="dxa"/>
            <w:hideMark/>
          </w:tcPr>
          <w:p w14:paraId="12494489"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9.6.6.6</w:t>
            </w:r>
          </w:p>
        </w:tc>
        <w:tc>
          <w:tcPr>
            <w:tcW w:w="3600" w:type="dxa"/>
            <w:hideMark/>
          </w:tcPr>
          <w:p w14:paraId="1FD6E894"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Why is there a "Table 9-173--Optional subelement IDs for Neighbor report" but no table showing optional subelements for Neighbor request?</w:t>
            </w:r>
          </w:p>
        </w:tc>
        <w:tc>
          <w:tcPr>
            <w:tcW w:w="3600" w:type="dxa"/>
            <w:hideMark/>
          </w:tcPr>
          <w:p w14:paraId="12A54112" w14:textId="77777777" w:rsidR="002C154C" w:rsidRPr="00DE7477" w:rsidRDefault="002C154C" w:rsidP="00F76CC0">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FAE3DC8" w14:textId="77777777" w:rsidR="002C154C" w:rsidRDefault="002C154C" w:rsidP="002C154C">
      <w:pPr>
        <w:rPr>
          <w:bCs/>
          <w:szCs w:val="22"/>
        </w:rPr>
      </w:pPr>
    </w:p>
    <w:p w14:paraId="3A851A4B" w14:textId="77777777" w:rsidR="002C154C" w:rsidRDefault="002C154C" w:rsidP="002C154C">
      <w:pPr>
        <w:rPr>
          <w:bCs/>
          <w:szCs w:val="22"/>
        </w:rPr>
      </w:pPr>
      <w:r>
        <w:rPr>
          <w:bCs/>
          <w:szCs w:val="22"/>
          <w:u w:val="single"/>
        </w:rPr>
        <w:t>Discussion:</w:t>
      </w:r>
    </w:p>
    <w:p w14:paraId="1F4E73A8" w14:textId="77777777" w:rsidR="002C154C" w:rsidRDefault="002C154C" w:rsidP="002C154C">
      <w:pPr>
        <w:rPr>
          <w:bCs/>
          <w:szCs w:val="22"/>
        </w:rPr>
      </w:pPr>
    </w:p>
    <w:p w14:paraId="1FB7C7A7" w14:textId="77777777" w:rsidR="002C154C" w:rsidRDefault="002C154C" w:rsidP="002C154C">
      <w:pPr>
        <w:rPr>
          <w:bCs/>
          <w:szCs w:val="22"/>
        </w:rPr>
      </w:pPr>
      <w:r>
        <w:rPr>
          <w:bCs/>
          <w:szCs w:val="22"/>
        </w:rPr>
        <w:t>The Neighbor Report Request frame (note, not “Neighbor Request”) is described in 9.6.6.6:</w:t>
      </w:r>
    </w:p>
    <w:p w14:paraId="6873206A" w14:textId="77777777" w:rsidR="002C154C" w:rsidRDefault="002C154C" w:rsidP="002C154C">
      <w:pPr>
        <w:rPr>
          <w:bCs/>
          <w:szCs w:val="22"/>
        </w:rPr>
      </w:pPr>
    </w:p>
    <w:p w14:paraId="23AF7F0A"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5CE36B0" wp14:editId="3314D84D">
            <wp:extent cx="6400800" cy="2036445"/>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2036445"/>
                    </a:xfrm>
                    <a:prstGeom prst="rect">
                      <a:avLst/>
                    </a:prstGeom>
                    <a:noFill/>
                    <a:ln>
                      <a:noFill/>
                    </a:ln>
                  </pic:spPr>
                </pic:pic>
              </a:graphicData>
            </a:graphic>
          </wp:inline>
        </w:drawing>
      </w:r>
    </w:p>
    <w:p w14:paraId="1EA97821" w14:textId="77777777" w:rsidR="002C154C" w:rsidRDefault="002C154C" w:rsidP="002C154C">
      <w:pPr>
        <w:rPr>
          <w:bCs/>
          <w:szCs w:val="22"/>
        </w:rPr>
      </w:pPr>
    </w:p>
    <w:p w14:paraId="66724721" w14:textId="77777777" w:rsidR="002C154C" w:rsidRDefault="002C154C" w:rsidP="002C154C">
      <w:pPr>
        <w:rPr>
          <w:bCs/>
          <w:szCs w:val="22"/>
        </w:rPr>
      </w:pPr>
      <w:r>
        <w:rPr>
          <w:bCs/>
          <w:szCs w:val="22"/>
        </w:rPr>
        <w:t>Contrast this with the Neighbor Report Response frame, described in 9.6.6.7:</w:t>
      </w:r>
    </w:p>
    <w:p w14:paraId="491F9F38" w14:textId="77777777" w:rsidR="002C154C" w:rsidRDefault="002C154C" w:rsidP="002C154C">
      <w:pPr>
        <w:rPr>
          <w:bCs/>
          <w:szCs w:val="22"/>
        </w:rPr>
      </w:pPr>
    </w:p>
    <w:p w14:paraId="5D2C063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41BADE0F" wp14:editId="38E5C85B">
            <wp:extent cx="6003290" cy="1864360"/>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03290" cy="1864360"/>
                    </a:xfrm>
                    <a:prstGeom prst="rect">
                      <a:avLst/>
                    </a:prstGeom>
                    <a:noFill/>
                    <a:ln>
                      <a:noFill/>
                    </a:ln>
                  </pic:spPr>
                </pic:pic>
              </a:graphicData>
            </a:graphic>
          </wp:inline>
        </w:drawing>
      </w:r>
    </w:p>
    <w:p w14:paraId="7CF6D11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2441BE8" wp14:editId="69EF6CBE">
            <wp:extent cx="6068060" cy="332740"/>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68060" cy="332740"/>
                    </a:xfrm>
                    <a:prstGeom prst="rect">
                      <a:avLst/>
                    </a:prstGeom>
                    <a:noFill/>
                    <a:ln>
                      <a:noFill/>
                    </a:ln>
                  </pic:spPr>
                </pic:pic>
              </a:graphicData>
            </a:graphic>
          </wp:inline>
        </w:drawing>
      </w:r>
    </w:p>
    <w:p w14:paraId="23BFE474" w14:textId="77777777" w:rsidR="002C154C" w:rsidRDefault="002C154C" w:rsidP="002C154C">
      <w:pPr>
        <w:rPr>
          <w:bCs/>
          <w:szCs w:val="22"/>
        </w:rPr>
      </w:pPr>
    </w:p>
    <w:p w14:paraId="13ABF71B" w14:textId="77777777" w:rsidR="002C154C" w:rsidRDefault="002C154C" w:rsidP="002C154C">
      <w:pPr>
        <w:rPr>
          <w:bCs/>
          <w:szCs w:val="22"/>
        </w:rPr>
      </w:pPr>
      <w:r>
        <w:rPr>
          <w:bCs/>
          <w:szCs w:val="22"/>
        </w:rPr>
        <w:t>Unlike the Neighbor Report Response, the Neighbor Report Request does not carry “Neighbor Report Elements”.</w:t>
      </w:r>
    </w:p>
    <w:p w14:paraId="47338CCB" w14:textId="77777777" w:rsidR="002C154C" w:rsidRDefault="002C154C" w:rsidP="002C154C">
      <w:pPr>
        <w:rPr>
          <w:bCs/>
          <w:szCs w:val="22"/>
        </w:rPr>
      </w:pPr>
    </w:p>
    <w:p w14:paraId="1FAD1440" w14:textId="77777777" w:rsidR="002C154C" w:rsidRDefault="002C154C" w:rsidP="002C154C">
      <w:pPr>
        <w:rPr>
          <w:bCs/>
          <w:szCs w:val="22"/>
        </w:rPr>
      </w:pPr>
      <w:r>
        <w:rPr>
          <w:bCs/>
          <w:szCs w:val="22"/>
        </w:rPr>
        <w:t>Table 9-173 only applies to the concept “Neighbor Report Elements”.  These elements are carried in various frames from the AP to the non-AP STA, including the Neighbor Report Response, but are not carried in a Neighbor Report Request or other frames from the non-AP STA to the AP.</w:t>
      </w:r>
    </w:p>
    <w:p w14:paraId="4DEEA02F" w14:textId="77777777" w:rsidR="002C154C" w:rsidRDefault="002C154C" w:rsidP="002C154C">
      <w:pPr>
        <w:rPr>
          <w:bCs/>
          <w:szCs w:val="22"/>
        </w:rPr>
      </w:pPr>
    </w:p>
    <w:p w14:paraId="5684091C" w14:textId="77777777" w:rsidR="002C154C" w:rsidRDefault="002C154C" w:rsidP="002C154C">
      <w:pPr>
        <w:rPr>
          <w:bCs/>
          <w:szCs w:val="22"/>
        </w:rPr>
      </w:pPr>
      <w:r>
        <w:rPr>
          <w:bCs/>
          <w:szCs w:val="22"/>
        </w:rPr>
        <w:t>So, in response to the commenter, two points:</w:t>
      </w:r>
    </w:p>
    <w:p w14:paraId="225E4F71" w14:textId="77777777" w:rsidR="002C154C" w:rsidRDefault="002C154C" w:rsidP="002C154C">
      <w:pPr>
        <w:pStyle w:val="ListParagraph"/>
        <w:numPr>
          <w:ilvl w:val="0"/>
          <w:numId w:val="42"/>
        </w:numPr>
        <w:rPr>
          <w:bCs/>
          <w:szCs w:val="22"/>
        </w:rPr>
      </w:pPr>
      <w:r>
        <w:rPr>
          <w:bCs/>
          <w:szCs w:val="22"/>
        </w:rPr>
        <w:t>First, these element IDs apply to “Neighbor Reports” (per the title of Table 9-173), and in theory “Neighbor Reports” could include both the Request and Response frames.  So, there is only one table of these values</w:t>
      </w:r>
    </w:p>
    <w:p w14:paraId="171A547B" w14:textId="77777777" w:rsidR="002C154C" w:rsidRDefault="002C154C" w:rsidP="002C154C">
      <w:pPr>
        <w:pStyle w:val="ListParagraph"/>
        <w:numPr>
          <w:ilvl w:val="0"/>
          <w:numId w:val="42"/>
        </w:numPr>
        <w:rPr>
          <w:bCs/>
          <w:szCs w:val="22"/>
        </w:rPr>
      </w:pPr>
      <w:r>
        <w:rPr>
          <w:bCs/>
          <w:szCs w:val="22"/>
        </w:rPr>
        <w:lastRenderedPageBreak/>
        <w:t>Second, in usage, however, the Neighbor Report elements in fact only appear in the information provided by the AP to the non-AP STA, and are not present in the request from the non-AP STA.</w:t>
      </w:r>
    </w:p>
    <w:p w14:paraId="6827AF86" w14:textId="77777777" w:rsidR="002C154C" w:rsidRDefault="002C154C" w:rsidP="002C154C">
      <w:pPr>
        <w:rPr>
          <w:bCs/>
          <w:szCs w:val="22"/>
        </w:rPr>
      </w:pPr>
    </w:p>
    <w:p w14:paraId="55859466" w14:textId="77777777" w:rsidR="002C154C" w:rsidRDefault="002C154C" w:rsidP="002C154C">
      <w:pPr>
        <w:rPr>
          <w:bCs/>
          <w:szCs w:val="22"/>
        </w:rPr>
      </w:pPr>
      <w:r w:rsidRPr="002C7DB8">
        <w:rPr>
          <w:bCs/>
          <w:szCs w:val="22"/>
          <w:highlight w:val="green"/>
          <w:u w:val="single"/>
        </w:rPr>
        <w:t>Proposed Resolution:</w:t>
      </w:r>
    </w:p>
    <w:p w14:paraId="009AFC67" w14:textId="77777777" w:rsidR="002C154C" w:rsidRDefault="002C154C" w:rsidP="002C154C">
      <w:pPr>
        <w:rPr>
          <w:bCs/>
          <w:szCs w:val="22"/>
        </w:rPr>
      </w:pPr>
    </w:p>
    <w:p w14:paraId="54D1ABBF" w14:textId="77777777" w:rsidR="002C154C" w:rsidRDefault="002C154C" w:rsidP="002C154C">
      <w:pPr>
        <w:rPr>
          <w:bCs/>
          <w:szCs w:val="22"/>
        </w:rPr>
      </w:pPr>
      <w:r>
        <w:rPr>
          <w:bCs/>
          <w:szCs w:val="22"/>
        </w:rPr>
        <w:t>Revised.  Change the title of Table 9-173 to have an upper-case “R”, (“</w:t>
      </w:r>
      <w:r w:rsidRPr="002C7DB8">
        <w:rPr>
          <w:bCs/>
          <w:szCs w:val="22"/>
        </w:rPr>
        <w:t>Neighbor Report”)</w:t>
      </w:r>
      <w:r>
        <w:rPr>
          <w:bCs/>
          <w:szCs w:val="22"/>
        </w:rPr>
        <w:t xml:space="preserve">.  </w:t>
      </w:r>
    </w:p>
    <w:p w14:paraId="0AB69E4D" w14:textId="77777777" w:rsidR="002C154C" w:rsidRDefault="002C154C" w:rsidP="002C154C">
      <w:pPr>
        <w:rPr>
          <w:bCs/>
          <w:szCs w:val="22"/>
        </w:rPr>
      </w:pPr>
    </w:p>
    <w:p w14:paraId="1AE39BBC" w14:textId="77777777" w:rsidR="002C154C" w:rsidRDefault="002C154C" w:rsidP="002C154C">
      <w:pPr>
        <w:rPr>
          <w:bCs/>
          <w:szCs w:val="22"/>
        </w:rPr>
      </w:pPr>
      <w:r>
        <w:rPr>
          <w:bCs/>
          <w:szCs w:val="22"/>
        </w:rPr>
        <w:t>Note to commenter: The elements listed in Table 9-173 appear wherever “Neighbor Report elements” are called out.  Conceptually, this could be in both the Neighbor Report Response from the AP to the non-AP STA (and other informational frames from the AP) as well as in the Neighbor Report Request from the non-AP STA to the AP – which is what the commenter questioned.  However, currently the Neighbor Report elements in fact only occur in frames from the AP to the non-AP STA, anyway.</w:t>
      </w:r>
    </w:p>
    <w:p w14:paraId="28DA31C6" w14:textId="77777777" w:rsidR="002C154C" w:rsidRDefault="002C154C" w:rsidP="002C154C">
      <w:pPr>
        <w:rPr>
          <w:bCs/>
          <w:szCs w:val="22"/>
        </w:rPr>
      </w:pPr>
    </w:p>
    <w:p w14:paraId="0ACC8A60" w14:textId="77777777" w:rsidR="00B700E1" w:rsidRDefault="002C154C"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77EFF3" w14:textId="77777777" w:rsidTr="00F76CC0">
        <w:trPr>
          <w:trHeight w:val="524"/>
        </w:trPr>
        <w:tc>
          <w:tcPr>
            <w:tcW w:w="738" w:type="dxa"/>
            <w:tcBorders>
              <w:top w:val="single" w:sz="4" w:space="0" w:color="auto"/>
              <w:left w:val="single" w:sz="4" w:space="0" w:color="auto"/>
              <w:bottom w:val="single" w:sz="4" w:space="0" w:color="auto"/>
              <w:right w:val="single" w:sz="4" w:space="0" w:color="auto"/>
            </w:tcBorders>
            <w:hideMark/>
          </w:tcPr>
          <w:p w14:paraId="63E54BAE" w14:textId="77777777" w:rsidR="00B700E1" w:rsidRDefault="00B700E1"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E954500" w14:textId="77777777" w:rsidR="00B700E1" w:rsidRDefault="00B700E1"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F84F554" w14:textId="77777777" w:rsidR="00B700E1" w:rsidRDefault="00B700E1"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AC479BF" w14:textId="77777777" w:rsidR="00B700E1" w:rsidRDefault="00B700E1"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7F7352" w14:textId="77777777" w:rsidR="00B700E1" w:rsidRDefault="00B700E1"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49223F1" w14:textId="77777777" w:rsidTr="00F76CC0">
        <w:trPr>
          <w:trHeight w:val="765"/>
        </w:trPr>
        <w:tc>
          <w:tcPr>
            <w:tcW w:w="738" w:type="dxa"/>
            <w:hideMark/>
          </w:tcPr>
          <w:p w14:paraId="263D0AFB" w14:textId="77777777" w:rsidR="00B700E1" w:rsidRPr="00DE7477" w:rsidRDefault="00B700E1" w:rsidP="00F76CC0">
            <w:pPr>
              <w:jc w:val="right"/>
              <w:rPr>
                <w:rFonts w:ascii="Arial" w:eastAsia="Times New Roman" w:hAnsi="Arial" w:cs="Arial"/>
                <w:sz w:val="20"/>
                <w:lang w:val="en-US"/>
              </w:rPr>
            </w:pPr>
            <w:r w:rsidRPr="00DE7477">
              <w:rPr>
                <w:rFonts w:ascii="Arial" w:eastAsia="Times New Roman" w:hAnsi="Arial" w:cs="Arial"/>
                <w:sz w:val="20"/>
                <w:lang w:val="en-US"/>
              </w:rPr>
              <w:t>4511</w:t>
            </w:r>
          </w:p>
        </w:tc>
        <w:tc>
          <w:tcPr>
            <w:tcW w:w="990" w:type="dxa"/>
            <w:hideMark/>
          </w:tcPr>
          <w:p w14:paraId="0EDB0086" w14:textId="77777777" w:rsidR="00B700E1" w:rsidRPr="00DE7477" w:rsidRDefault="00B700E1" w:rsidP="00F76CC0">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2AFD725" w14:textId="77777777" w:rsidR="00B700E1" w:rsidRPr="00DE7477" w:rsidRDefault="00B700E1" w:rsidP="00F76CC0">
            <w:pPr>
              <w:rPr>
                <w:rFonts w:ascii="Arial" w:eastAsia="Times New Roman" w:hAnsi="Arial" w:cs="Arial"/>
                <w:sz w:val="20"/>
                <w:lang w:val="en-US"/>
              </w:rPr>
            </w:pPr>
            <w:r w:rsidRPr="00DE7477">
              <w:rPr>
                <w:rFonts w:ascii="Arial" w:eastAsia="Times New Roman" w:hAnsi="Arial" w:cs="Arial"/>
                <w:sz w:val="20"/>
                <w:lang w:val="en-US"/>
              </w:rPr>
              <w:t>10.3.8</w:t>
            </w:r>
          </w:p>
        </w:tc>
        <w:tc>
          <w:tcPr>
            <w:tcW w:w="3600" w:type="dxa"/>
            <w:hideMark/>
          </w:tcPr>
          <w:p w14:paraId="2EDD5E57" w14:textId="77777777" w:rsidR="00B700E1" w:rsidRPr="00DE7477" w:rsidRDefault="00B700E1" w:rsidP="00F76CC0">
            <w:pPr>
              <w:rPr>
                <w:rFonts w:ascii="Arial" w:eastAsia="Times New Roman" w:hAnsi="Arial" w:cs="Arial"/>
                <w:sz w:val="20"/>
                <w:lang w:val="en-US"/>
              </w:rPr>
            </w:pPr>
            <w:r w:rsidRPr="00DE7477">
              <w:rPr>
                <w:rFonts w:ascii="Arial" w:eastAsia="Times New Roman" w:hAnsi="Arial" w:cs="Arial"/>
                <w:sz w:val="20"/>
                <w:lang w:val="en-US"/>
              </w:rPr>
              <w:t>"frames with the TXVECTOR" should be "PPDUs with the TXVECTOR"</w:t>
            </w:r>
          </w:p>
        </w:tc>
        <w:tc>
          <w:tcPr>
            <w:tcW w:w="3600" w:type="dxa"/>
            <w:hideMark/>
          </w:tcPr>
          <w:p w14:paraId="7D78F669" w14:textId="77777777" w:rsidR="00B700E1" w:rsidRPr="00DE7477" w:rsidRDefault="00B700E1" w:rsidP="00F76CC0">
            <w:pPr>
              <w:rPr>
                <w:rFonts w:ascii="Arial" w:eastAsia="Times New Roman" w:hAnsi="Arial" w:cs="Arial"/>
                <w:sz w:val="20"/>
                <w:lang w:val="en-US"/>
              </w:rPr>
            </w:pPr>
            <w:r w:rsidRPr="00DE7477">
              <w:rPr>
                <w:rFonts w:ascii="Arial" w:eastAsia="Times New Roman" w:hAnsi="Arial" w:cs="Arial"/>
                <w:sz w:val="20"/>
                <w:lang w:val="en-US"/>
              </w:rPr>
              <w:t>Change as indicated in 10.3.8 (2x), 19.3.2</w:t>
            </w:r>
          </w:p>
        </w:tc>
      </w:tr>
    </w:tbl>
    <w:p w14:paraId="15798987" w14:textId="77777777" w:rsidR="00B700E1" w:rsidRDefault="00B700E1" w:rsidP="00B700E1">
      <w:pPr>
        <w:rPr>
          <w:bCs/>
          <w:szCs w:val="22"/>
        </w:rPr>
      </w:pPr>
    </w:p>
    <w:p w14:paraId="729DC3A0" w14:textId="77777777" w:rsidR="00B700E1" w:rsidRDefault="00B700E1" w:rsidP="00B700E1">
      <w:pPr>
        <w:rPr>
          <w:bCs/>
          <w:szCs w:val="22"/>
        </w:rPr>
      </w:pPr>
      <w:r>
        <w:rPr>
          <w:bCs/>
          <w:szCs w:val="22"/>
          <w:u w:val="single"/>
        </w:rPr>
        <w:t>Discussion:</w:t>
      </w:r>
    </w:p>
    <w:p w14:paraId="2966CB2F" w14:textId="77777777" w:rsidR="00B700E1" w:rsidRDefault="00B700E1" w:rsidP="00B700E1">
      <w:pPr>
        <w:rPr>
          <w:bCs/>
          <w:szCs w:val="22"/>
        </w:rPr>
      </w:pPr>
    </w:p>
    <w:p w14:paraId="678D9FDD"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0768" behindDoc="0" locked="0" layoutInCell="1" allowOverlap="1" wp14:anchorId="2692E1FA" wp14:editId="6BF3F322">
                <wp:simplePos x="0" y="0"/>
                <wp:positionH relativeFrom="column">
                  <wp:posOffset>1483207</wp:posOffset>
                </wp:positionH>
                <wp:positionV relativeFrom="paragraph">
                  <wp:posOffset>430544</wp:posOffset>
                </wp:positionV>
                <wp:extent cx="1769400" cy="55440"/>
                <wp:effectExtent l="76200" t="133350" r="97790" b="173355"/>
                <wp:wrapNone/>
                <wp:docPr id="325" name="Ink 325"/>
                <wp:cNvGraphicFramePr/>
                <a:graphic xmlns:a="http://schemas.openxmlformats.org/drawingml/2006/main">
                  <a:graphicData uri="http://schemas.microsoft.com/office/word/2010/wordprocessingInk">
                    <w14:contentPart bwMode="auto" r:id="rId63">
                      <w14:nvContentPartPr>
                        <w14:cNvContentPartPr/>
                      </w14:nvContentPartPr>
                      <w14:xfrm>
                        <a:off x="0" y="0"/>
                        <a:ext cx="1769400" cy="55440"/>
                      </w14:xfrm>
                    </w14:contentPart>
                  </a:graphicData>
                </a:graphic>
              </wp:anchor>
            </w:drawing>
          </mc:Choice>
          <mc:Fallback>
            <w:pict>
              <v:shape w14:anchorId="4EBF8E75" id="Ink 325" o:spid="_x0000_s1026" type="#_x0000_t75" style="position:absolute;margin-left:112.55pt;margin-top:25.4pt;width:147.8pt;height:21.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">
                <v:imagedata r:id="rId64" o:title=""/>
              </v:shape>
            </w:pict>
          </mc:Fallback>
        </mc:AlternateContent>
      </w:r>
      <w:r w:rsidRPr="005F5CD1">
        <w:rPr>
          <w:bCs/>
          <w:noProof/>
          <w:szCs w:val="22"/>
          <w:bdr w:val="single" w:sz="8" w:space="0" w:color="auto" w:shadow="1"/>
        </w:rPr>
        <w:drawing>
          <wp:inline distT="0" distB="0" distL="0" distR="0" wp14:anchorId="08C34BDA" wp14:editId="47419E45">
            <wp:extent cx="6056630" cy="1341755"/>
            <wp:effectExtent l="0" t="0" r="127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56630" cy="1341755"/>
                    </a:xfrm>
                    <a:prstGeom prst="rect">
                      <a:avLst/>
                    </a:prstGeom>
                    <a:noFill/>
                    <a:ln>
                      <a:noFill/>
                    </a:ln>
                  </pic:spPr>
                </pic:pic>
              </a:graphicData>
            </a:graphic>
          </wp:inline>
        </w:drawing>
      </w:r>
    </w:p>
    <w:p w14:paraId="3F3AE0AA" w14:textId="77777777" w:rsidR="00B700E1" w:rsidRDefault="00B700E1" w:rsidP="00B700E1">
      <w:pPr>
        <w:rPr>
          <w:bCs/>
          <w:szCs w:val="22"/>
        </w:rPr>
      </w:pPr>
    </w:p>
    <w:p w14:paraId="50C9AB81" w14:textId="77777777" w:rsidR="00B700E1" w:rsidRDefault="00B700E1" w:rsidP="00B700E1">
      <w:pPr>
        <w:rPr>
          <w:bCs/>
          <w:szCs w:val="22"/>
        </w:rPr>
      </w:pPr>
      <w:r>
        <w:rPr>
          <w:bCs/>
          <w:szCs w:val="22"/>
        </w:rPr>
        <w:t>And in 19.3.2:</w:t>
      </w:r>
    </w:p>
    <w:p w14:paraId="63C55438" w14:textId="77777777" w:rsidR="00B700E1" w:rsidRDefault="00B700E1" w:rsidP="00B700E1">
      <w:pPr>
        <w:rPr>
          <w:bCs/>
          <w:szCs w:val="22"/>
        </w:rPr>
      </w:pPr>
    </w:p>
    <w:p w14:paraId="243CD8D0"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1792" behindDoc="0" locked="0" layoutInCell="1" allowOverlap="1" wp14:anchorId="3B61A01F" wp14:editId="2B48A40C">
                <wp:simplePos x="0" y="0"/>
                <wp:positionH relativeFrom="column">
                  <wp:posOffset>1477087</wp:posOffset>
                </wp:positionH>
                <wp:positionV relativeFrom="paragraph">
                  <wp:posOffset>158024</wp:posOffset>
                </wp:positionV>
                <wp:extent cx="1550160" cy="132120"/>
                <wp:effectExtent l="95250" t="133350" r="126365" b="172720"/>
                <wp:wrapNone/>
                <wp:docPr id="326" name="Ink 326"/>
                <wp:cNvGraphicFramePr/>
                <a:graphic xmlns:a="http://schemas.openxmlformats.org/drawingml/2006/main">
                  <a:graphicData uri="http://schemas.microsoft.com/office/word/2010/wordprocessingInk">
                    <w14:contentPart bwMode="auto" r:id="rId66">
                      <w14:nvContentPartPr>
                        <w14:cNvContentPartPr/>
                      </w14:nvContentPartPr>
                      <w14:xfrm>
                        <a:off x="0" y="0"/>
                        <a:ext cx="1550160" cy="132120"/>
                      </w14:xfrm>
                    </w14:contentPart>
                  </a:graphicData>
                </a:graphic>
              </wp:anchor>
            </w:drawing>
          </mc:Choice>
          <mc:Fallback>
            <w:pict>
              <v:shape w14:anchorId="4AFDF062" id="Ink 326" o:spid="_x0000_s1026" type="#_x0000_t75" style="position:absolute;margin-left:112.05pt;margin-top:3.95pt;width:130.55pt;height:27.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10;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">
                <v:imagedata r:id="rId67" o:title=""/>
              </v:shape>
            </w:pict>
          </mc:Fallback>
        </mc:AlternateContent>
      </w:r>
      <w:r w:rsidRPr="005F5CD1">
        <w:rPr>
          <w:bCs/>
          <w:noProof/>
          <w:szCs w:val="22"/>
          <w:bdr w:val="single" w:sz="8" w:space="0" w:color="auto" w:shadow="1"/>
        </w:rPr>
        <w:drawing>
          <wp:inline distT="0" distB="0" distL="0" distR="0" wp14:anchorId="1CCA3196" wp14:editId="13DCF713">
            <wp:extent cx="6035040" cy="548640"/>
            <wp:effectExtent l="0" t="0" r="381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35040" cy="548640"/>
                    </a:xfrm>
                    <a:prstGeom prst="rect">
                      <a:avLst/>
                    </a:prstGeom>
                    <a:noFill/>
                    <a:ln>
                      <a:noFill/>
                    </a:ln>
                  </pic:spPr>
                </pic:pic>
              </a:graphicData>
            </a:graphic>
          </wp:inline>
        </w:drawing>
      </w:r>
    </w:p>
    <w:p w14:paraId="4D566FB0" w14:textId="77777777" w:rsidR="00B700E1" w:rsidRDefault="00B700E1" w:rsidP="00B700E1">
      <w:pPr>
        <w:rPr>
          <w:bCs/>
          <w:szCs w:val="22"/>
        </w:rPr>
      </w:pPr>
    </w:p>
    <w:p w14:paraId="0807A1C3" w14:textId="77777777" w:rsidR="00B700E1" w:rsidRDefault="00B700E1" w:rsidP="00B700E1">
      <w:pPr>
        <w:rPr>
          <w:bCs/>
          <w:szCs w:val="22"/>
        </w:rPr>
      </w:pPr>
      <w:r>
        <w:rPr>
          <w:bCs/>
          <w:szCs w:val="22"/>
        </w:rPr>
        <w:t>There are also 5 occurrences of “frame with the TXVECTOR”.</w:t>
      </w:r>
    </w:p>
    <w:p w14:paraId="27D55BC1" w14:textId="77777777" w:rsidR="00B700E1" w:rsidRDefault="00B700E1" w:rsidP="00B700E1">
      <w:pPr>
        <w:rPr>
          <w:bCs/>
          <w:szCs w:val="22"/>
        </w:rPr>
      </w:pPr>
    </w:p>
    <w:p w14:paraId="3F2DD182" w14:textId="77777777" w:rsidR="00B700E1" w:rsidRDefault="00B700E1" w:rsidP="00B700E1">
      <w:pPr>
        <w:rPr>
          <w:bCs/>
          <w:szCs w:val="22"/>
        </w:rPr>
      </w:pPr>
      <w:r>
        <w:rPr>
          <w:bCs/>
          <w:szCs w:val="22"/>
        </w:rPr>
        <w:t>The vast majority of other uses of “with the TXVECTOR” are applied to PSDU(s) or PPDU(s).</w:t>
      </w:r>
    </w:p>
    <w:p w14:paraId="5BCB2C43" w14:textId="77777777" w:rsidR="00B700E1" w:rsidRDefault="00B700E1" w:rsidP="00B700E1">
      <w:pPr>
        <w:rPr>
          <w:bCs/>
          <w:szCs w:val="22"/>
        </w:rPr>
      </w:pPr>
    </w:p>
    <w:p w14:paraId="1C6DDD7C" w14:textId="77777777" w:rsidR="00B700E1" w:rsidRDefault="00B700E1" w:rsidP="00B700E1">
      <w:pPr>
        <w:rPr>
          <w:bCs/>
          <w:szCs w:val="22"/>
        </w:rPr>
      </w:pPr>
      <w:r>
        <w:rPr>
          <w:bCs/>
          <w:szCs w:val="22"/>
        </w:rPr>
        <w:t>Since the TXVECTOR is provided at the PHY SAP, along with a MPDU (== PSDU) to be transmitted, it seems that either MPDU or PSDU are most likely the best usage.  There are zero occurrences of “MPDU(s) with the TXVECTOR”, however.</w:t>
      </w:r>
    </w:p>
    <w:p w14:paraId="3DD69B0A" w14:textId="77777777" w:rsidR="00B700E1" w:rsidRDefault="00B700E1" w:rsidP="00B700E1">
      <w:pPr>
        <w:rPr>
          <w:bCs/>
          <w:szCs w:val="22"/>
        </w:rPr>
      </w:pPr>
    </w:p>
    <w:p w14:paraId="6D06A2ED" w14:textId="77777777" w:rsidR="00B700E1" w:rsidRDefault="00B700E1" w:rsidP="00B700E1">
      <w:pPr>
        <w:rPr>
          <w:bCs/>
          <w:szCs w:val="22"/>
        </w:rPr>
      </w:pPr>
      <w:r>
        <w:rPr>
          <w:bCs/>
          <w:szCs w:val="22"/>
        </w:rPr>
        <w:t>In the cases in 10.3.8, in the discussion of the Signal extension’s implication on clause 16 operation, it seems that PSDU is a logical object to reference.  Same thing in 19.3.2.</w:t>
      </w:r>
    </w:p>
    <w:p w14:paraId="32A54533" w14:textId="77777777" w:rsidR="00B700E1" w:rsidRDefault="00B700E1" w:rsidP="00B700E1">
      <w:pPr>
        <w:rPr>
          <w:bCs/>
          <w:szCs w:val="22"/>
        </w:rPr>
      </w:pPr>
    </w:p>
    <w:p w14:paraId="095C8CF9" w14:textId="77777777" w:rsidR="00B700E1" w:rsidRDefault="00B700E1" w:rsidP="00B700E1">
      <w:pPr>
        <w:rPr>
          <w:bCs/>
          <w:szCs w:val="22"/>
        </w:rPr>
      </w:pPr>
      <w:r>
        <w:rPr>
          <w:bCs/>
          <w:szCs w:val="22"/>
        </w:rPr>
        <w:t>Arguably, since these subclauses contain these details of PHY operation, they should be moved to the PHY service clause (clause 8).  But, that is way beyond the scope of this comment.  Also, the existing occurrences of “PPDU with the TXVECTOR” should be checked for whether these should be PSDU; but again, this is beyond the scope of this comment.</w:t>
      </w:r>
    </w:p>
    <w:p w14:paraId="3E98DEF6" w14:textId="77777777" w:rsidR="00B700E1" w:rsidRDefault="00B700E1" w:rsidP="00B700E1">
      <w:pPr>
        <w:rPr>
          <w:bCs/>
          <w:szCs w:val="22"/>
        </w:rPr>
      </w:pPr>
    </w:p>
    <w:p w14:paraId="09AE472E" w14:textId="77777777" w:rsidR="00B700E1" w:rsidRPr="00B700E1" w:rsidRDefault="00B700E1" w:rsidP="00B700E1">
      <w:pPr>
        <w:rPr>
          <w:bCs/>
          <w:szCs w:val="22"/>
        </w:rPr>
      </w:pPr>
      <w:r w:rsidRPr="00B700E1">
        <w:rPr>
          <w:bCs/>
          <w:szCs w:val="22"/>
        </w:rPr>
        <w:t>In the cases of “frame with the TXVECTOR” (singular “frame”), these occur in two places: rules for control response frame guard intervals, coding and format, and for S1G frame traveling pilots and preamble type.  Since the control response frame examples are in the context of a particular frame (MPDU) type, it does not make sense to reference a PSDU – we don’t talk about a PSDU “type” of (for example) “control response”.  Therefore, propose that these occurrences remain “frame with the TXVECTOR …”</w:t>
      </w:r>
    </w:p>
    <w:p w14:paraId="7DED71F2" w14:textId="77777777" w:rsidR="00B700E1" w:rsidRPr="00B700E1" w:rsidRDefault="00B700E1" w:rsidP="00B700E1">
      <w:pPr>
        <w:rPr>
          <w:bCs/>
          <w:szCs w:val="22"/>
        </w:rPr>
      </w:pPr>
    </w:p>
    <w:p w14:paraId="193940A3" w14:textId="77777777" w:rsidR="00B700E1" w:rsidRDefault="00B700E1" w:rsidP="00B700E1">
      <w:pPr>
        <w:rPr>
          <w:bCs/>
          <w:szCs w:val="22"/>
        </w:rPr>
      </w:pPr>
      <w:r w:rsidRPr="00B700E1">
        <w:rPr>
          <w:bCs/>
          <w:szCs w:val="22"/>
        </w:rPr>
        <w:t>The S1G frame traveling pilots and preamble type examples, however, are similar to the uses above that should be modified.</w:t>
      </w:r>
    </w:p>
    <w:p w14:paraId="44715A19" w14:textId="77777777" w:rsidR="00B700E1" w:rsidRDefault="00B700E1" w:rsidP="00B700E1">
      <w:pPr>
        <w:rPr>
          <w:bCs/>
          <w:szCs w:val="22"/>
        </w:rPr>
      </w:pPr>
    </w:p>
    <w:p w14:paraId="4B9A435A" w14:textId="77777777" w:rsidR="00B700E1" w:rsidRDefault="00B700E1" w:rsidP="00B700E1">
      <w:pPr>
        <w:rPr>
          <w:bCs/>
          <w:szCs w:val="22"/>
        </w:rPr>
      </w:pPr>
      <w:r w:rsidRPr="00A154DF">
        <w:rPr>
          <w:bCs/>
          <w:szCs w:val="22"/>
          <w:highlight w:val="green"/>
          <w:u w:val="single"/>
        </w:rPr>
        <w:t>Proposed Resolution:</w:t>
      </w:r>
    </w:p>
    <w:p w14:paraId="7816BE77" w14:textId="77777777" w:rsidR="00B700E1" w:rsidRDefault="00B700E1" w:rsidP="00B700E1">
      <w:pPr>
        <w:rPr>
          <w:bCs/>
          <w:szCs w:val="22"/>
        </w:rPr>
      </w:pPr>
    </w:p>
    <w:p w14:paraId="1B95D537" w14:textId="77777777" w:rsidR="00B700E1" w:rsidRDefault="00B700E1" w:rsidP="00B700E1">
      <w:pPr>
        <w:rPr>
          <w:bCs/>
          <w:szCs w:val="22"/>
        </w:rPr>
      </w:pPr>
      <w:r>
        <w:rPr>
          <w:bCs/>
          <w:szCs w:val="22"/>
        </w:rPr>
        <w:t>Revised.</w:t>
      </w:r>
    </w:p>
    <w:p w14:paraId="5E216DBB" w14:textId="77777777" w:rsidR="00B700E1" w:rsidRDefault="00B700E1" w:rsidP="00B700E1">
      <w:pPr>
        <w:rPr>
          <w:bCs/>
          <w:szCs w:val="22"/>
        </w:rPr>
      </w:pPr>
    </w:p>
    <w:p w14:paraId="437B751A" w14:textId="77777777" w:rsidR="00B700E1" w:rsidRDefault="00B700E1" w:rsidP="00B700E1">
      <w:pPr>
        <w:rPr>
          <w:bCs/>
          <w:szCs w:val="22"/>
        </w:rPr>
      </w:pPr>
      <w:r>
        <w:rPr>
          <w:bCs/>
          <w:szCs w:val="22"/>
        </w:rPr>
        <w:lastRenderedPageBreak/>
        <w:t xml:space="preserve">At P1769.56 and P1769.57, replace </w:t>
      </w:r>
      <w:r w:rsidRPr="00C034F6">
        <w:rPr>
          <w:bCs/>
          <w:szCs w:val="22"/>
        </w:rPr>
        <w:t xml:space="preserve">"frames with the TXVECTOR" </w:t>
      </w:r>
      <w:r>
        <w:rPr>
          <w:bCs/>
          <w:szCs w:val="22"/>
        </w:rPr>
        <w:t xml:space="preserve">with </w:t>
      </w:r>
      <w:r w:rsidRPr="00C034F6">
        <w:rPr>
          <w:bCs/>
          <w:szCs w:val="22"/>
        </w:rPr>
        <w:t>"P</w:t>
      </w:r>
      <w:r>
        <w:rPr>
          <w:bCs/>
          <w:szCs w:val="22"/>
        </w:rPr>
        <w:t>S</w:t>
      </w:r>
      <w:r w:rsidRPr="00C034F6">
        <w:rPr>
          <w:bCs/>
          <w:szCs w:val="22"/>
        </w:rPr>
        <w:t>DUs with the TXVECTOR"</w:t>
      </w:r>
      <w:r>
        <w:rPr>
          <w:bCs/>
          <w:szCs w:val="22"/>
        </w:rPr>
        <w:t>.</w:t>
      </w:r>
    </w:p>
    <w:p w14:paraId="72483BF0" w14:textId="77777777" w:rsidR="00B700E1" w:rsidRDefault="00B700E1" w:rsidP="00B700E1">
      <w:pPr>
        <w:rPr>
          <w:bCs/>
          <w:szCs w:val="22"/>
        </w:rPr>
      </w:pPr>
    </w:p>
    <w:p w14:paraId="583049B1" w14:textId="77777777" w:rsidR="00B700E1" w:rsidRPr="00B700E1" w:rsidRDefault="00B700E1" w:rsidP="00B700E1">
      <w:pPr>
        <w:rPr>
          <w:bCs/>
          <w:szCs w:val="22"/>
        </w:rPr>
      </w:pPr>
      <w:r w:rsidRPr="00B700E1">
        <w:rPr>
          <w:bCs/>
          <w:szCs w:val="22"/>
        </w:rPr>
        <w:t>At P2988.14, replace "frames with the TXVECTOR" with "PSDUs with the TXVECTOR".</w:t>
      </w:r>
    </w:p>
    <w:p w14:paraId="4F87ED88" w14:textId="77777777" w:rsidR="00B700E1" w:rsidRPr="00B700E1" w:rsidRDefault="00B700E1" w:rsidP="00B700E1">
      <w:pPr>
        <w:rPr>
          <w:bCs/>
          <w:szCs w:val="22"/>
        </w:rPr>
      </w:pPr>
    </w:p>
    <w:p w14:paraId="2CB05944" w14:textId="77777777" w:rsidR="00B700E1" w:rsidRPr="00B700E1" w:rsidRDefault="00B700E1" w:rsidP="00B700E1">
      <w:pPr>
        <w:rPr>
          <w:bCs/>
          <w:szCs w:val="22"/>
        </w:rPr>
      </w:pPr>
      <w:r w:rsidRPr="00B700E1">
        <w:rPr>
          <w:bCs/>
          <w:szCs w:val="22"/>
        </w:rPr>
        <w:t>At P2126.39, replace “frame with the TXVECTOR” with “PSDU with the TXVECTOR”.  Same thing at P2129.25.</w:t>
      </w:r>
    </w:p>
    <w:p w14:paraId="045D5DE6" w14:textId="77777777" w:rsidR="00B700E1" w:rsidRPr="00B700E1" w:rsidRDefault="00B700E1" w:rsidP="00B700E1">
      <w:pPr>
        <w:rPr>
          <w:bCs/>
          <w:szCs w:val="22"/>
        </w:rPr>
      </w:pPr>
    </w:p>
    <w:p w14:paraId="0CE7EC04" w14:textId="77777777" w:rsidR="00B700E1" w:rsidRPr="00C034F6" w:rsidRDefault="00B700E1" w:rsidP="00B700E1">
      <w:pPr>
        <w:rPr>
          <w:bCs/>
          <w:szCs w:val="22"/>
        </w:rPr>
      </w:pPr>
      <w:r w:rsidRPr="00B700E1">
        <w:rPr>
          <w:bCs/>
          <w:szCs w:val="22"/>
        </w:rPr>
        <w:t>Note to the commenter, there are also occurrences of “control response frame [singular] with the TXVECTOR”.  Coincidentally, these occurrences all involve noting the MPDU frame type of the referenced frame, and so these</w:t>
      </w:r>
      <w:r>
        <w:rPr>
          <w:bCs/>
          <w:szCs w:val="22"/>
        </w:rPr>
        <w:t xml:space="preserve"> are left using the term “frame”.  Thus, there is inherent inconsistency in the Draft around this wording, depending on the context.</w:t>
      </w:r>
    </w:p>
    <w:p w14:paraId="3856166B" w14:textId="77777777" w:rsidR="00B700E1" w:rsidRPr="00835269" w:rsidRDefault="00B700E1" w:rsidP="00B700E1">
      <w:pPr>
        <w:rPr>
          <w:bCs/>
          <w:szCs w:val="22"/>
        </w:rPr>
      </w:pPr>
    </w:p>
    <w:p w14:paraId="59A6CCD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00C5AFA" w14:textId="77777777" w:rsidTr="00F76CC0">
        <w:trPr>
          <w:trHeight w:val="524"/>
        </w:trPr>
        <w:tc>
          <w:tcPr>
            <w:tcW w:w="738" w:type="dxa"/>
            <w:tcBorders>
              <w:top w:val="single" w:sz="4" w:space="0" w:color="auto"/>
              <w:left w:val="single" w:sz="4" w:space="0" w:color="auto"/>
              <w:bottom w:val="single" w:sz="4" w:space="0" w:color="auto"/>
              <w:right w:val="single" w:sz="4" w:space="0" w:color="auto"/>
            </w:tcBorders>
            <w:hideMark/>
          </w:tcPr>
          <w:p w14:paraId="6F0DBA0F" w14:textId="77777777" w:rsidR="00B700E1" w:rsidRDefault="00B700E1"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CA7BCBE" w14:textId="77777777" w:rsidR="00B700E1" w:rsidRDefault="00B700E1"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A00C96C" w14:textId="77777777" w:rsidR="00B700E1" w:rsidRDefault="00B700E1"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B3C0C94" w14:textId="77777777" w:rsidR="00B700E1" w:rsidRDefault="00B700E1"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BB4329" w14:textId="77777777" w:rsidR="00B700E1" w:rsidRDefault="00B700E1"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508B26C" w14:textId="77777777" w:rsidTr="00F76CC0">
        <w:trPr>
          <w:trHeight w:val="4781"/>
        </w:trPr>
        <w:tc>
          <w:tcPr>
            <w:tcW w:w="738" w:type="dxa"/>
            <w:hideMark/>
          </w:tcPr>
          <w:p w14:paraId="050B15EB" w14:textId="77777777" w:rsidR="00B700E1" w:rsidRPr="00DE7477" w:rsidRDefault="00B700E1" w:rsidP="00F76CC0">
            <w:pPr>
              <w:jc w:val="right"/>
              <w:rPr>
                <w:rFonts w:ascii="Arial" w:eastAsia="Times New Roman" w:hAnsi="Arial" w:cs="Arial"/>
                <w:sz w:val="20"/>
                <w:lang w:val="en-US"/>
              </w:rPr>
            </w:pPr>
            <w:r w:rsidRPr="00DE7477">
              <w:rPr>
                <w:rFonts w:ascii="Arial" w:eastAsia="Times New Roman" w:hAnsi="Arial" w:cs="Arial"/>
                <w:sz w:val="20"/>
                <w:lang w:val="en-US"/>
              </w:rPr>
              <w:t>4507</w:t>
            </w:r>
          </w:p>
        </w:tc>
        <w:tc>
          <w:tcPr>
            <w:tcW w:w="990" w:type="dxa"/>
            <w:hideMark/>
          </w:tcPr>
          <w:p w14:paraId="15549DD5" w14:textId="77777777" w:rsidR="00B700E1" w:rsidRPr="00DE7477" w:rsidRDefault="00B700E1" w:rsidP="00F76CC0">
            <w:pPr>
              <w:jc w:val="right"/>
              <w:rPr>
                <w:rFonts w:ascii="Arial" w:eastAsia="Times New Roman" w:hAnsi="Arial" w:cs="Arial"/>
                <w:sz w:val="20"/>
                <w:lang w:val="en-US"/>
              </w:rPr>
            </w:pPr>
            <w:r w:rsidRPr="00DE7477">
              <w:rPr>
                <w:rFonts w:ascii="Arial" w:eastAsia="Times New Roman" w:hAnsi="Arial" w:cs="Arial"/>
                <w:sz w:val="20"/>
                <w:lang w:val="en-US"/>
              </w:rPr>
              <w:t>996.05</w:t>
            </w:r>
          </w:p>
        </w:tc>
        <w:tc>
          <w:tcPr>
            <w:tcW w:w="1080" w:type="dxa"/>
            <w:hideMark/>
          </w:tcPr>
          <w:p w14:paraId="6A37B677" w14:textId="77777777" w:rsidR="00B700E1" w:rsidRPr="00DE7477" w:rsidRDefault="00B700E1" w:rsidP="00F76CC0">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765FD502" w14:textId="77777777" w:rsidR="00B700E1" w:rsidRPr="00DE7477" w:rsidRDefault="00B700E1" w:rsidP="00F76CC0">
            <w:pPr>
              <w:rPr>
                <w:rFonts w:ascii="Arial" w:eastAsia="Times New Roman" w:hAnsi="Arial" w:cs="Arial"/>
                <w:sz w:val="20"/>
                <w:lang w:val="en-US"/>
              </w:rPr>
            </w:pPr>
            <w:r w:rsidRPr="00DE7477">
              <w:rPr>
                <w:rFonts w:ascii="Arial" w:eastAsia="Times New Roman" w:hAnsi="Arial" w:cs="Arial"/>
                <w:sz w:val="20"/>
                <w:lang w:val="en-US"/>
              </w:rPr>
              <w:t>"When the TIM is carried in an S1G PPDU, the traffic-indication virtual bitmap has the hierarchical structure shown in Figure 9-152 (Hierarchical structure of traffic-indication virtual bitmap carried in an S1G PPDU (11ah)), consists of 64NPNB bits and is organized into NP pages where each page consists of NB blocks, each block consists of eight subblocks, and each subblock consists of 8 bits (NP=4 and NB=32). Bit number N in the bitmap corresponds to bit number N[0:2] of the N[3:5]-th subblock of the N[6:5+n1]-th block of the N[6+n1:12]-th page, where n1 is log2NB and NB is power of 2. N[a:b] represents bits a to b inclusive of the bit number N." text duplicates figure</w:t>
            </w:r>
          </w:p>
        </w:tc>
        <w:tc>
          <w:tcPr>
            <w:tcW w:w="3600" w:type="dxa"/>
            <w:hideMark/>
          </w:tcPr>
          <w:p w14:paraId="557BAF80" w14:textId="77777777" w:rsidR="00B700E1" w:rsidRPr="00DE7477" w:rsidRDefault="00B700E1" w:rsidP="00F76CC0">
            <w:pPr>
              <w:rPr>
                <w:rFonts w:ascii="Arial" w:eastAsia="Times New Roman" w:hAnsi="Arial" w:cs="Arial"/>
                <w:sz w:val="20"/>
                <w:lang w:val="en-US"/>
              </w:rPr>
            </w:pPr>
            <w:r w:rsidRPr="00DE7477">
              <w:rPr>
                <w:rFonts w:ascii="Arial" w:eastAsia="Times New Roman" w:hAnsi="Arial" w:cs="Arial"/>
                <w:sz w:val="20"/>
                <w:lang w:val="en-US"/>
              </w:rPr>
              <w:t>Change to "When the TIM is carried in an S1G PPDU, the traffic-indication virtual bitmap has the hierarchical structure shown in Figure 9-152 (Hierarchical structure of traffic-indication virtual bitmap carried in an S1G PPDU (11ah))."</w:t>
            </w:r>
          </w:p>
        </w:tc>
      </w:tr>
    </w:tbl>
    <w:p w14:paraId="39B18272" w14:textId="77777777" w:rsidR="00B700E1" w:rsidRDefault="00B700E1" w:rsidP="00B700E1">
      <w:pPr>
        <w:rPr>
          <w:bCs/>
          <w:szCs w:val="22"/>
        </w:rPr>
      </w:pPr>
    </w:p>
    <w:p w14:paraId="69E62581" w14:textId="77777777" w:rsidR="00B700E1" w:rsidRDefault="00B700E1" w:rsidP="00B700E1">
      <w:pPr>
        <w:rPr>
          <w:bCs/>
          <w:szCs w:val="22"/>
        </w:rPr>
      </w:pPr>
      <w:r>
        <w:rPr>
          <w:bCs/>
          <w:szCs w:val="22"/>
          <w:u w:val="single"/>
        </w:rPr>
        <w:t>Discussion:</w:t>
      </w:r>
    </w:p>
    <w:p w14:paraId="3D39BAC0" w14:textId="77777777" w:rsidR="00B700E1" w:rsidRDefault="00B700E1" w:rsidP="00B700E1">
      <w:pPr>
        <w:rPr>
          <w:bCs/>
          <w:szCs w:val="22"/>
        </w:rPr>
      </w:pPr>
    </w:p>
    <w:p w14:paraId="6ABE3F60"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1EFF547E" wp14:editId="44592F47">
            <wp:extent cx="6038850" cy="1769110"/>
            <wp:effectExtent l="0" t="0" r="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38850" cy="1769110"/>
                    </a:xfrm>
                    <a:prstGeom prst="rect">
                      <a:avLst/>
                    </a:prstGeom>
                    <a:noFill/>
                    <a:ln>
                      <a:noFill/>
                    </a:ln>
                  </pic:spPr>
                </pic:pic>
              </a:graphicData>
            </a:graphic>
          </wp:inline>
        </w:drawing>
      </w:r>
    </w:p>
    <w:p w14:paraId="1F9227BC" w14:textId="77777777" w:rsidR="00B700E1" w:rsidRDefault="00B700E1" w:rsidP="00B700E1">
      <w:pPr>
        <w:rPr>
          <w:bCs/>
          <w:szCs w:val="22"/>
        </w:rPr>
      </w:pPr>
    </w:p>
    <w:p w14:paraId="450B1351"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2C7797E7" wp14:editId="030B3BFC">
            <wp:extent cx="6097905" cy="2143760"/>
            <wp:effectExtent l="0" t="0" r="0" b="889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7905" cy="2143760"/>
                    </a:xfrm>
                    <a:prstGeom prst="rect">
                      <a:avLst/>
                    </a:prstGeom>
                    <a:noFill/>
                    <a:ln>
                      <a:noFill/>
                    </a:ln>
                  </pic:spPr>
                </pic:pic>
              </a:graphicData>
            </a:graphic>
          </wp:inline>
        </w:drawing>
      </w:r>
    </w:p>
    <w:p w14:paraId="54F0D0DC" w14:textId="77777777" w:rsidR="00B700E1" w:rsidRDefault="00B700E1" w:rsidP="00B700E1">
      <w:pPr>
        <w:rPr>
          <w:bCs/>
          <w:szCs w:val="22"/>
        </w:rPr>
      </w:pPr>
    </w:p>
    <w:p w14:paraId="358957DF" w14:textId="77777777" w:rsidR="00B700E1" w:rsidRDefault="00B700E1" w:rsidP="00B700E1">
      <w:pPr>
        <w:rPr>
          <w:bCs/>
          <w:szCs w:val="22"/>
        </w:rPr>
      </w:pPr>
      <w:r>
        <w:rPr>
          <w:bCs/>
          <w:szCs w:val="22"/>
        </w:rPr>
        <w:t>Agree with the commenter, the follow-on text seems to be representing Figure 9-152 in words.</w:t>
      </w:r>
    </w:p>
    <w:p w14:paraId="70FCD894" w14:textId="77777777" w:rsidR="00B700E1" w:rsidRDefault="00B700E1" w:rsidP="00B700E1">
      <w:pPr>
        <w:rPr>
          <w:bCs/>
          <w:szCs w:val="22"/>
        </w:rPr>
      </w:pPr>
    </w:p>
    <w:p w14:paraId="2F0DAC6A" w14:textId="77777777" w:rsidR="00B700E1" w:rsidRDefault="00B700E1" w:rsidP="00B700E1">
      <w:pPr>
        <w:rPr>
          <w:bCs/>
          <w:szCs w:val="22"/>
        </w:rPr>
      </w:pPr>
      <w:r w:rsidRPr="00A154DF">
        <w:rPr>
          <w:bCs/>
          <w:szCs w:val="22"/>
          <w:highlight w:val="green"/>
          <w:u w:val="single"/>
        </w:rPr>
        <w:lastRenderedPageBreak/>
        <w:t>Proposed Resolution:</w:t>
      </w:r>
    </w:p>
    <w:p w14:paraId="3A9C21B8" w14:textId="77777777" w:rsidR="00B700E1" w:rsidRDefault="00B700E1" w:rsidP="00B700E1">
      <w:pPr>
        <w:rPr>
          <w:bCs/>
          <w:szCs w:val="22"/>
        </w:rPr>
      </w:pPr>
    </w:p>
    <w:p w14:paraId="12C66710" w14:textId="77777777" w:rsidR="00B700E1" w:rsidRPr="009E1118" w:rsidRDefault="00B700E1" w:rsidP="00B700E1">
      <w:pPr>
        <w:rPr>
          <w:bCs/>
          <w:szCs w:val="22"/>
        </w:rPr>
      </w:pPr>
      <w:r>
        <w:rPr>
          <w:bCs/>
          <w:szCs w:val="22"/>
        </w:rPr>
        <w:t>Accepted.</w:t>
      </w:r>
    </w:p>
    <w:p w14:paraId="606C94C5"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2F3574" w14:textId="77777777" w:rsidTr="00F76CC0">
        <w:trPr>
          <w:trHeight w:val="524"/>
        </w:trPr>
        <w:tc>
          <w:tcPr>
            <w:tcW w:w="738" w:type="dxa"/>
            <w:tcBorders>
              <w:top w:val="single" w:sz="4" w:space="0" w:color="auto"/>
              <w:left w:val="single" w:sz="4" w:space="0" w:color="auto"/>
              <w:bottom w:val="single" w:sz="4" w:space="0" w:color="auto"/>
              <w:right w:val="single" w:sz="4" w:space="0" w:color="auto"/>
            </w:tcBorders>
            <w:hideMark/>
          </w:tcPr>
          <w:p w14:paraId="4094401A" w14:textId="77777777" w:rsidR="00B700E1" w:rsidRDefault="00B700E1"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6C0CED" w14:textId="77777777" w:rsidR="00B700E1" w:rsidRDefault="00B700E1"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6388DA7" w14:textId="77777777" w:rsidR="00B700E1" w:rsidRDefault="00B700E1"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29F2A4A" w14:textId="77777777" w:rsidR="00B700E1" w:rsidRDefault="00B700E1"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F2644EE" w14:textId="77777777" w:rsidR="00B700E1" w:rsidRDefault="00B700E1"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F1A91E6" w14:textId="77777777" w:rsidTr="00F76CC0">
        <w:trPr>
          <w:trHeight w:val="3315"/>
        </w:trPr>
        <w:tc>
          <w:tcPr>
            <w:tcW w:w="738" w:type="dxa"/>
            <w:hideMark/>
          </w:tcPr>
          <w:p w14:paraId="4022788F" w14:textId="77777777" w:rsidR="00B700E1" w:rsidRPr="00DE7477" w:rsidRDefault="00B700E1" w:rsidP="00F76CC0">
            <w:pPr>
              <w:jc w:val="right"/>
              <w:rPr>
                <w:rFonts w:ascii="Arial" w:eastAsia="Times New Roman" w:hAnsi="Arial" w:cs="Arial"/>
                <w:sz w:val="20"/>
                <w:lang w:val="en-US"/>
              </w:rPr>
            </w:pPr>
            <w:r w:rsidRPr="00DE7477">
              <w:rPr>
                <w:rFonts w:ascii="Arial" w:eastAsia="Times New Roman" w:hAnsi="Arial" w:cs="Arial"/>
                <w:sz w:val="20"/>
                <w:lang w:val="en-US"/>
              </w:rPr>
              <w:t>4492</w:t>
            </w:r>
          </w:p>
        </w:tc>
        <w:tc>
          <w:tcPr>
            <w:tcW w:w="990" w:type="dxa"/>
            <w:hideMark/>
          </w:tcPr>
          <w:p w14:paraId="0577E27D" w14:textId="77777777" w:rsidR="00B700E1" w:rsidRPr="00DE7477" w:rsidRDefault="00B700E1" w:rsidP="00F76CC0">
            <w:pPr>
              <w:jc w:val="right"/>
              <w:rPr>
                <w:rFonts w:ascii="Arial" w:eastAsia="Times New Roman" w:hAnsi="Arial" w:cs="Arial"/>
                <w:sz w:val="20"/>
                <w:lang w:val="en-US"/>
              </w:rPr>
            </w:pPr>
            <w:r w:rsidRPr="00DE7477">
              <w:rPr>
                <w:rFonts w:ascii="Arial" w:eastAsia="Times New Roman" w:hAnsi="Arial" w:cs="Arial"/>
                <w:sz w:val="20"/>
                <w:lang w:val="en-US"/>
              </w:rPr>
              <w:t>994.53</w:t>
            </w:r>
          </w:p>
        </w:tc>
        <w:tc>
          <w:tcPr>
            <w:tcW w:w="1080" w:type="dxa"/>
            <w:hideMark/>
          </w:tcPr>
          <w:p w14:paraId="63389566" w14:textId="77777777" w:rsidR="00B700E1" w:rsidRPr="00DE7477" w:rsidRDefault="00B700E1" w:rsidP="00F76CC0">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CC8488B" w14:textId="77777777" w:rsidR="00B700E1" w:rsidRPr="00DE7477" w:rsidRDefault="00B700E1" w:rsidP="00F76CC0">
            <w:pPr>
              <w:rPr>
                <w:rFonts w:ascii="Arial" w:eastAsia="Times New Roman" w:hAnsi="Arial" w:cs="Arial"/>
                <w:sz w:val="20"/>
                <w:lang w:val="en-US"/>
              </w:rPr>
            </w:pPr>
            <w:r w:rsidRPr="00DE7477">
              <w:rPr>
                <w:rFonts w:ascii="Arial" w:eastAsia="Times New Roman" w:hAnsi="Arial" w:cs="Arial"/>
                <w:sz w:val="20"/>
                <w:lang w:val="en-US"/>
              </w:rPr>
              <w:t>Figure 9-149--TIM element format suggests the Bitmap Control field might be absent but the Partial Virtual Bitmap field present, and there is nothing to say this is not allowed</w:t>
            </w:r>
          </w:p>
        </w:tc>
        <w:tc>
          <w:tcPr>
            <w:tcW w:w="3600" w:type="dxa"/>
            <w:hideMark/>
          </w:tcPr>
          <w:p w14:paraId="7A93B1D7" w14:textId="77777777" w:rsidR="00B700E1" w:rsidRPr="00DE7477" w:rsidRDefault="00B700E1" w:rsidP="00F76CC0">
            <w:pPr>
              <w:rPr>
                <w:rFonts w:ascii="Arial" w:eastAsia="Times New Roman" w:hAnsi="Arial" w:cs="Arial"/>
                <w:sz w:val="20"/>
                <w:lang w:val="en-US"/>
              </w:rPr>
            </w:pPr>
            <w:r w:rsidRPr="00DE7477">
              <w:rPr>
                <w:rFonts w:ascii="Arial" w:eastAsia="Times New Roman" w:hAnsi="Arial" w:cs="Arial"/>
                <w:sz w:val="20"/>
                <w:lang w:val="en-US"/>
              </w:rPr>
              <w:t>After "If all bits in the virtual bitmap are 0 and all the bits of the Bitmap Control field</w:t>
            </w:r>
            <w:r w:rsidRPr="00DE7477">
              <w:rPr>
                <w:rFonts w:ascii="Arial" w:eastAsia="Times New Roman" w:hAnsi="Arial" w:cs="Arial"/>
                <w:sz w:val="20"/>
                <w:lang w:val="en-US"/>
              </w:rPr>
              <w:br/>
              <w:t>are 0, both the Partial Virtual Bitmap field and the Bitmap Control field are not present in the TIM element</w:t>
            </w:r>
            <w:r w:rsidRPr="00DE7477">
              <w:rPr>
                <w:rFonts w:ascii="Arial" w:eastAsia="Times New Roman" w:hAnsi="Arial" w:cs="Arial"/>
                <w:sz w:val="20"/>
                <w:lang w:val="en-US"/>
              </w:rPr>
              <w:br/>
              <w:t>and the Length field of the TIM element is set to 2." at 997.6 add "The Bitmap Control field is present if the Partial Virtual Bitmap field is present."</w:t>
            </w:r>
          </w:p>
        </w:tc>
      </w:tr>
    </w:tbl>
    <w:p w14:paraId="095BE3B9" w14:textId="77777777" w:rsidR="00B700E1" w:rsidRDefault="00B700E1" w:rsidP="00B700E1">
      <w:pPr>
        <w:rPr>
          <w:bCs/>
          <w:szCs w:val="22"/>
        </w:rPr>
      </w:pPr>
    </w:p>
    <w:p w14:paraId="253BE868" w14:textId="77777777" w:rsidR="00B700E1" w:rsidRDefault="00B700E1" w:rsidP="00B700E1">
      <w:pPr>
        <w:rPr>
          <w:bCs/>
          <w:szCs w:val="22"/>
        </w:rPr>
      </w:pPr>
      <w:r>
        <w:rPr>
          <w:bCs/>
          <w:szCs w:val="22"/>
          <w:u w:val="single"/>
        </w:rPr>
        <w:t>Discussion:</w:t>
      </w:r>
    </w:p>
    <w:p w14:paraId="064F9A1A" w14:textId="77777777" w:rsidR="00B700E1" w:rsidRDefault="00B700E1" w:rsidP="00B700E1">
      <w:pPr>
        <w:rPr>
          <w:bCs/>
          <w:szCs w:val="22"/>
        </w:rPr>
      </w:pPr>
    </w:p>
    <w:p w14:paraId="36D79364" w14:textId="77777777" w:rsidR="00B700E1" w:rsidRPr="00965B5F" w:rsidRDefault="00B700E1" w:rsidP="00B700E1">
      <w:pPr>
        <w:rPr>
          <w:bCs/>
          <w:noProof/>
          <w:szCs w:val="22"/>
          <w:bdr w:val="single" w:sz="8" w:space="0" w:color="auto" w:shadow="1"/>
        </w:rPr>
      </w:pPr>
      <w:r w:rsidRPr="00965B5F">
        <w:rPr>
          <w:bCs/>
          <w:noProof/>
          <w:szCs w:val="22"/>
          <w:bdr w:val="single" w:sz="8" w:space="0" w:color="auto" w:shadow="1"/>
        </w:rPr>
        <w:drawing>
          <wp:inline distT="0" distB="0" distL="0" distR="0" wp14:anchorId="6108D576" wp14:editId="2AF20270">
            <wp:extent cx="6085840" cy="1288415"/>
            <wp:effectExtent l="0" t="0" r="0" b="698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85840" cy="1288415"/>
                    </a:xfrm>
                    <a:prstGeom prst="rect">
                      <a:avLst/>
                    </a:prstGeom>
                    <a:noFill/>
                    <a:ln>
                      <a:noFill/>
                    </a:ln>
                  </pic:spPr>
                </pic:pic>
              </a:graphicData>
            </a:graphic>
          </wp:inline>
        </w:drawing>
      </w:r>
    </w:p>
    <w:p w14:paraId="073E22CC" w14:textId="77777777" w:rsidR="00B700E1" w:rsidRDefault="00B700E1" w:rsidP="00B700E1">
      <w:pPr>
        <w:rPr>
          <w:bCs/>
          <w:szCs w:val="22"/>
        </w:rPr>
      </w:pPr>
    </w:p>
    <w:p w14:paraId="75C999D0" w14:textId="77777777" w:rsidR="00B700E1" w:rsidRDefault="00B700E1" w:rsidP="00B700E1">
      <w:pPr>
        <w:rPr>
          <w:bCs/>
          <w:szCs w:val="22"/>
        </w:rPr>
      </w:pPr>
      <w:r>
        <w:rPr>
          <w:bCs/>
          <w:szCs w:val="22"/>
        </w:rPr>
        <w:t>The paragraph on P997 does cover the cases where either/both of the fields are not present due to there being no non-zero bits.  This does seem like the right place to note that if the Partial Virtual Bitmap is present, the Bitmap Control must be present.</w:t>
      </w:r>
    </w:p>
    <w:p w14:paraId="521EB91F" w14:textId="77777777" w:rsidR="00B700E1" w:rsidRDefault="00B700E1" w:rsidP="00B700E1">
      <w:pPr>
        <w:rPr>
          <w:bCs/>
          <w:szCs w:val="22"/>
        </w:rPr>
      </w:pPr>
    </w:p>
    <w:p w14:paraId="7FB0BE23" w14:textId="77777777" w:rsidR="00B700E1" w:rsidRDefault="00B700E1" w:rsidP="00B700E1">
      <w:pPr>
        <w:rPr>
          <w:bCs/>
          <w:szCs w:val="22"/>
        </w:rPr>
      </w:pPr>
      <w:r>
        <w:rPr>
          <w:bCs/>
          <w:szCs w:val="22"/>
        </w:rPr>
        <w:t>However, the line reference in the Proposed Change is incorrect (P997.6 is not after the text quoted, P997.8 is).</w:t>
      </w:r>
    </w:p>
    <w:p w14:paraId="3A7B49CA" w14:textId="77777777" w:rsidR="00B700E1" w:rsidRDefault="00B700E1" w:rsidP="00B700E1">
      <w:pPr>
        <w:rPr>
          <w:bCs/>
          <w:szCs w:val="22"/>
        </w:rPr>
      </w:pPr>
    </w:p>
    <w:p w14:paraId="26CA94A3" w14:textId="77777777" w:rsidR="00B700E1" w:rsidRDefault="00B700E1" w:rsidP="00B700E1">
      <w:pPr>
        <w:rPr>
          <w:bCs/>
          <w:szCs w:val="22"/>
        </w:rPr>
      </w:pPr>
      <w:r w:rsidRPr="00A154DF">
        <w:rPr>
          <w:bCs/>
          <w:szCs w:val="22"/>
          <w:highlight w:val="green"/>
          <w:u w:val="single"/>
        </w:rPr>
        <w:t>Proposed Resolution:</w:t>
      </w:r>
    </w:p>
    <w:p w14:paraId="44B50B47" w14:textId="77777777" w:rsidR="00B700E1" w:rsidRDefault="00B700E1" w:rsidP="00B700E1">
      <w:pPr>
        <w:rPr>
          <w:bCs/>
          <w:szCs w:val="22"/>
        </w:rPr>
      </w:pPr>
    </w:p>
    <w:p w14:paraId="707E895E" w14:textId="77777777" w:rsidR="00B700E1" w:rsidRDefault="00B700E1" w:rsidP="00B700E1">
      <w:pPr>
        <w:rPr>
          <w:bCs/>
          <w:szCs w:val="22"/>
        </w:rPr>
      </w:pPr>
      <w:r>
        <w:rPr>
          <w:bCs/>
          <w:szCs w:val="22"/>
        </w:rPr>
        <w:t>Revised.</w:t>
      </w:r>
    </w:p>
    <w:p w14:paraId="4168CE8A" w14:textId="77777777" w:rsidR="00B700E1" w:rsidRDefault="00B700E1" w:rsidP="00B700E1">
      <w:pPr>
        <w:rPr>
          <w:bCs/>
          <w:szCs w:val="22"/>
        </w:rPr>
      </w:pPr>
    </w:p>
    <w:p w14:paraId="6CC8537B" w14:textId="77777777" w:rsidR="00B700E1" w:rsidRDefault="00B700E1" w:rsidP="00B700E1">
      <w:pPr>
        <w:rPr>
          <w:bCs/>
          <w:szCs w:val="22"/>
        </w:rPr>
      </w:pPr>
      <w:r>
        <w:rPr>
          <w:bCs/>
          <w:szCs w:val="22"/>
        </w:rPr>
        <w:t>At P997.8, after “</w:t>
      </w:r>
      <w:r w:rsidRPr="0090069F">
        <w:rPr>
          <w:bCs/>
          <w:szCs w:val="22"/>
        </w:rPr>
        <w:t>the Length field of the TIM element is set to 2." add "The Bitmap Control field is present if the Partial Virtual Bitmap field is present."</w:t>
      </w:r>
    </w:p>
    <w:p w14:paraId="5C377D3C" w14:textId="77777777" w:rsidR="00B700E1" w:rsidRDefault="00B700E1" w:rsidP="00B700E1">
      <w:pPr>
        <w:rPr>
          <w:bCs/>
          <w:szCs w:val="22"/>
        </w:rPr>
      </w:pPr>
    </w:p>
    <w:p w14:paraId="57CC41D5" w14:textId="77777777" w:rsidR="00B700E1" w:rsidRPr="0090069F" w:rsidRDefault="00B700E1" w:rsidP="00B700E1">
      <w:pPr>
        <w:rPr>
          <w:bCs/>
          <w:szCs w:val="22"/>
        </w:rPr>
      </w:pPr>
      <w:r>
        <w:rPr>
          <w:bCs/>
          <w:szCs w:val="22"/>
        </w:rPr>
        <w:t>Note to the commenter, this is the requested change, with the location for the inserted text clarified.</w:t>
      </w:r>
    </w:p>
    <w:p w14:paraId="52067CD1" w14:textId="77777777" w:rsidR="00B700E1" w:rsidRPr="00762B54" w:rsidRDefault="00B700E1" w:rsidP="00B700E1">
      <w:pPr>
        <w:rPr>
          <w:bCs/>
          <w:szCs w:val="22"/>
        </w:rPr>
      </w:pPr>
    </w:p>
    <w:p w14:paraId="5DEF421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7852F93" w14:textId="77777777" w:rsidTr="00F76CC0">
        <w:trPr>
          <w:trHeight w:val="524"/>
        </w:trPr>
        <w:tc>
          <w:tcPr>
            <w:tcW w:w="738" w:type="dxa"/>
            <w:tcBorders>
              <w:top w:val="single" w:sz="4" w:space="0" w:color="auto"/>
              <w:left w:val="single" w:sz="4" w:space="0" w:color="auto"/>
              <w:bottom w:val="single" w:sz="4" w:space="0" w:color="auto"/>
              <w:right w:val="single" w:sz="4" w:space="0" w:color="auto"/>
            </w:tcBorders>
            <w:hideMark/>
          </w:tcPr>
          <w:p w14:paraId="3EC7DA07" w14:textId="77777777" w:rsidR="00B700E1" w:rsidRDefault="00B700E1"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041EAE" w14:textId="77777777" w:rsidR="00B700E1" w:rsidRDefault="00B700E1"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D19AE68" w14:textId="77777777" w:rsidR="00B700E1" w:rsidRDefault="00B700E1"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44CAA2" w14:textId="77777777" w:rsidR="00B700E1" w:rsidRDefault="00B700E1"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E969F" w14:textId="77777777" w:rsidR="00B700E1" w:rsidRDefault="00B700E1"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58F3279" w14:textId="77777777" w:rsidTr="00F76CC0">
        <w:trPr>
          <w:trHeight w:val="2040"/>
        </w:trPr>
        <w:tc>
          <w:tcPr>
            <w:tcW w:w="738" w:type="dxa"/>
            <w:hideMark/>
          </w:tcPr>
          <w:p w14:paraId="0B7EDDC4" w14:textId="77777777" w:rsidR="00B700E1" w:rsidRPr="00DE7477" w:rsidRDefault="00B700E1" w:rsidP="00F76CC0">
            <w:pPr>
              <w:jc w:val="right"/>
              <w:rPr>
                <w:rFonts w:ascii="Arial" w:eastAsia="Times New Roman" w:hAnsi="Arial" w:cs="Arial"/>
                <w:sz w:val="20"/>
                <w:lang w:val="en-US"/>
              </w:rPr>
            </w:pPr>
            <w:r w:rsidRPr="00DE7477">
              <w:rPr>
                <w:rFonts w:ascii="Arial" w:eastAsia="Times New Roman" w:hAnsi="Arial" w:cs="Arial"/>
                <w:sz w:val="20"/>
                <w:lang w:val="en-US"/>
              </w:rPr>
              <w:t>4491</w:t>
            </w:r>
          </w:p>
        </w:tc>
        <w:tc>
          <w:tcPr>
            <w:tcW w:w="990" w:type="dxa"/>
            <w:hideMark/>
          </w:tcPr>
          <w:p w14:paraId="1D0E66FF" w14:textId="77777777" w:rsidR="00B700E1" w:rsidRPr="00DE7477" w:rsidRDefault="00B700E1" w:rsidP="00F76CC0">
            <w:pPr>
              <w:jc w:val="right"/>
              <w:rPr>
                <w:rFonts w:ascii="Arial" w:eastAsia="Times New Roman" w:hAnsi="Arial" w:cs="Arial"/>
                <w:sz w:val="20"/>
                <w:lang w:val="en-US"/>
              </w:rPr>
            </w:pPr>
            <w:r w:rsidRPr="00DE7477">
              <w:rPr>
                <w:rFonts w:ascii="Arial" w:eastAsia="Times New Roman" w:hAnsi="Arial" w:cs="Arial"/>
                <w:sz w:val="20"/>
                <w:lang w:val="en-US"/>
              </w:rPr>
              <w:t>1618.27</w:t>
            </w:r>
          </w:p>
        </w:tc>
        <w:tc>
          <w:tcPr>
            <w:tcW w:w="1080" w:type="dxa"/>
            <w:hideMark/>
          </w:tcPr>
          <w:p w14:paraId="4C92005B" w14:textId="77777777" w:rsidR="00B700E1" w:rsidRPr="00DE7477" w:rsidRDefault="00B700E1" w:rsidP="00F76CC0">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82473FC" w14:textId="77777777" w:rsidR="00B700E1" w:rsidRPr="00DE7477" w:rsidRDefault="00B700E1" w:rsidP="00F76CC0">
            <w:pPr>
              <w:rPr>
                <w:rFonts w:ascii="Arial" w:eastAsia="Times New Roman" w:hAnsi="Arial" w:cs="Arial"/>
                <w:sz w:val="20"/>
                <w:lang w:val="en-US"/>
              </w:rPr>
            </w:pPr>
            <w:r w:rsidRPr="00DE7477">
              <w:rPr>
                <w:rFonts w:ascii="Arial" w:eastAsia="Times New Roman" w:hAnsi="Arial" w:cs="Arial"/>
                <w:sz w:val="20"/>
                <w:lang w:val="en-US"/>
              </w:rPr>
              <w:t>Figure 9-951--TIM frame Action field(#2568) format shows the TIM Element field (which contains a TIM element) as being 6-256 octets, but Figure 9-149--TIM element format shows it might only contain 4 octets</w:t>
            </w:r>
          </w:p>
        </w:tc>
        <w:tc>
          <w:tcPr>
            <w:tcW w:w="3600" w:type="dxa"/>
            <w:hideMark/>
          </w:tcPr>
          <w:p w14:paraId="4982449E" w14:textId="77777777" w:rsidR="00B700E1" w:rsidRPr="00DE7477" w:rsidRDefault="00B700E1" w:rsidP="00F76CC0">
            <w:pPr>
              <w:rPr>
                <w:rFonts w:ascii="Arial" w:eastAsia="Times New Roman" w:hAnsi="Arial" w:cs="Arial"/>
                <w:sz w:val="20"/>
                <w:lang w:val="en-US"/>
              </w:rPr>
            </w:pPr>
            <w:r w:rsidRPr="00DE7477">
              <w:rPr>
                <w:rFonts w:ascii="Arial" w:eastAsia="Times New Roman" w:hAnsi="Arial" w:cs="Arial"/>
                <w:sz w:val="20"/>
                <w:lang w:val="en-US"/>
              </w:rPr>
              <w:t>Change "6-256" to "4-256"</w:t>
            </w:r>
          </w:p>
        </w:tc>
      </w:tr>
    </w:tbl>
    <w:p w14:paraId="019013F8" w14:textId="77777777" w:rsidR="00B700E1" w:rsidRDefault="00B700E1" w:rsidP="00B700E1">
      <w:pPr>
        <w:rPr>
          <w:bCs/>
          <w:szCs w:val="22"/>
        </w:rPr>
      </w:pPr>
    </w:p>
    <w:p w14:paraId="0F5AB390" w14:textId="77777777" w:rsidR="00B700E1" w:rsidRDefault="00B700E1" w:rsidP="00B700E1">
      <w:pPr>
        <w:rPr>
          <w:bCs/>
          <w:szCs w:val="22"/>
        </w:rPr>
      </w:pPr>
      <w:r>
        <w:rPr>
          <w:bCs/>
          <w:szCs w:val="22"/>
          <w:u w:val="single"/>
        </w:rPr>
        <w:t>Discussion:</w:t>
      </w:r>
    </w:p>
    <w:p w14:paraId="25A76412" w14:textId="77777777" w:rsidR="00B700E1" w:rsidRDefault="00B700E1" w:rsidP="00B700E1">
      <w:pPr>
        <w:rPr>
          <w:bCs/>
          <w:szCs w:val="22"/>
        </w:rPr>
      </w:pPr>
    </w:p>
    <w:p w14:paraId="21B6D3D4"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215442C1" wp14:editId="3891A534">
            <wp:extent cx="6035040" cy="1828800"/>
            <wp:effectExtent l="0" t="0" r="381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35040" cy="1828800"/>
                    </a:xfrm>
                    <a:prstGeom prst="rect">
                      <a:avLst/>
                    </a:prstGeom>
                    <a:noFill/>
                    <a:ln>
                      <a:noFill/>
                    </a:ln>
                  </pic:spPr>
                </pic:pic>
              </a:graphicData>
            </a:graphic>
          </wp:inline>
        </w:drawing>
      </w:r>
    </w:p>
    <w:p w14:paraId="7DE94092"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467B937B" wp14:editId="0DD5BC7D">
            <wp:extent cx="5984875" cy="374015"/>
            <wp:effectExtent l="0" t="0" r="0" b="698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84875" cy="374015"/>
                    </a:xfrm>
                    <a:prstGeom prst="rect">
                      <a:avLst/>
                    </a:prstGeom>
                    <a:noFill/>
                    <a:ln>
                      <a:noFill/>
                    </a:ln>
                  </pic:spPr>
                </pic:pic>
              </a:graphicData>
            </a:graphic>
          </wp:inline>
        </w:drawing>
      </w:r>
    </w:p>
    <w:p w14:paraId="785F0D58" w14:textId="77777777" w:rsidR="00B700E1" w:rsidRDefault="00B700E1" w:rsidP="00B700E1">
      <w:pPr>
        <w:rPr>
          <w:bCs/>
          <w:szCs w:val="22"/>
        </w:rPr>
      </w:pPr>
    </w:p>
    <w:p w14:paraId="718FEB91" w14:textId="77777777" w:rsidR="00B700E1" w:rsidRDefault="00B700E1" w:rsidP="00B700E1">
      <w:pPr>
        <w:rPr>
          <w:bCs/>
          <w:szCs w:val="22"/>
        </w:rPr>
      </w:pPr>
      <w:r>
        <w:rPr>
          <w:bCs/>
          <w:szCs w:val="22"/>
        </w:rPr>
        <w:t>As specified in 9.4.2.5, a TIM element length could be 4-256 octets:</w:t>
      </w:r>
    </w:p>
    <w:p w14:paraId="394D0A98" w14:textId="77777777" w:rsidR="00B700E1" w:rsidRDefault="00B700E1" w:rsidP="00B700E1">
      <w:pPr>
        <w:rPr>
          <w:bCs/>
          <w:szCs w:val="22"/>
        </w:rPr>
      </w:pPr>
    </w:p>
    <w:p w14:paraId="5B9C38DE" w14:textId="77777777" w:rsidR="00B700E1" w:rsidRDefault="00B700E1" w:rsidP="00B700E1">
      <w:pPr>
        <w:rPr>
          <w:bCs/>
          <w:szCs w:val="22"/>
        </w:rPr>
      </w:pPr>
      <w:r>
        <w:rPr>
          <w:bCs/>
          <w:noProof/>
          <w:szCs w:val="22"/>
        </w:rPr>
        <w:drawing>
          <wp:inline distT="0" distB="0" distL="0" distR="0" wp14:anchorId="5BACC2FA" wp14:editId="0DC0DA2C">
            <wp:extent cx="6050280" cy="1781175"/>
            <wp:effectExtent l="0" t="0" r="762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50280" cy="1781175"/>
                    </a:xfrm>
                    <a:prstGeom prst="rect">
                      <a:avLst/>
                    </a:prstGeom>
                    <a:noFill/>
                    <a:ln>
                      <a:noFill/>
                    </a:ln>
                  </pic:spPr>
                </pic:pic>
              </a:graphicData>
            </a:graphic>
          </wp:inline>
        </w:drawing>
      </w:r>
    </w:p>
    <w:p w14:paraId="133E79B6" w14:textId="77777777" w:rsidR="00B700E1" w:rsidRDefault="00B700E1" w:rsidP="00B700E1">
      <w:pPr>
        <w:rPr>
          <w:bCs/>
          <w:szCs w:val="22"/>
        </w:rPr>
      </w:pPr>
    </w:p>
    <w:p w14:paraId="5ED00585" w14:textId="77777777" w:rsidR="00B700E1" w:rsidRDefault="00B700E1" w:rsidP="00B700E1">
      <w:pPr>
        <w:rPr>
          <w:bCs/>
          <w:szCs w:val="22"/>
        </w:rPr>
      </w:pPr>
      <w:r w:rsidRPr="0006558C">
        <w:rPr>
          <w:bCs/>
          <w:szCs w:val="22"/>
          <w:highlight w:val="green"/>
          <w:u w:val="single"/>
        </w:rPr>
        <w:t>Proposed Resolution:</w:t>
      </w:r>
    </w:p>
    <w:p w14:paraId="6D70A750" w14:textId="77777777" w:rsidR="00B700E1" w:rsidRDefault="00B700E1" w:rsidP="00B700E1">
      <w:pPr>
        <w:rPr>
          <w:bCs/>
          <w:szCs w:val="22"/>
        </w:rPr>
      </w:pPr>
    </w:p>
    <w:p w14:paraId="15CFACC3" w14:textId="77777777" w:rsidR="00B700E1" w:rsidRPr="00FD4A20" w:rsidRDefault="00B700E1" w:rsidP="00B700E1">
      <w:pPr>
        <w:rPr>
          <w:bCs/>
          <w:szCs w:val="22"/>
        </w:rPr>
      </w:pPr>
      <w:r>
        <w:rPr>
          <w:bCs/>
          <w:szCs w:val="22"/>
        </w:rPr>
        <w:t>Accepted.</w:t>
      </w:r>
    </w:p>
    <w:p w14:paraId="5B2382B0"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4F38EBA" w14:textId="77777777" w:rsidTr="00F76CC0">
        <w:trPr>
          <w:trHeight w:val="524"/>
        </w:trPr>
        <w:tc>
          <w:tcPr>
            <w:tcW w:w="738" w:type="dxa"/>
            <w:tcBorders>
              <w:top w:val="single" w:sz="4" w:space="0" w:color="auto"/>
              <w:left w:val="single" w:sz="4" w:space="0" w:color="auto"/>
              <w:bottom w:val="single" w:sz="4" w:space="0" w:color="auto"/>
              <w:right w:val="single" w:sz="4" w:space="0" w:color="auto"/>
            </w:tcBorders>
            <w:hideMark/>
          </w:tcPr>
          <w:p w14:paraId="7C598F92" w14:textId="77777777" w:rsidR="00B700E1" w:rsidRDefault="00B700E1"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E5DAFD" w14:textId="77777777" w:rsidR="00B700E1" w:rsidRDefault="00B700E1"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70ED4A2" w14:textId="77777777" w:rsidR="00B700E1" w:rsidRDefault="00B700E1"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F001196" w14:textId="77777777" w:rsidR="00B700E1" w:rsidRDefault="00B700E1"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AF6CF4" w14:textId="77777777" w:rsidR="00B700E1" w:rsidRDefault="00B700E1" w:rsidP="00F76CC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765DB32F" w14:textId="77777777" w:rsidTr="00F76CC0">
        <w:trPr>
          <w:trHeight w:val="2805"/>
        </w:trPr>
        <w:tc>
          <w:tcPr>
            <w:tcW w:w="738" w:type="dxa"/>
            <w:hideMark/>
          </w:tcPr>
          <w:p w14:paraId="1EB7575B" w14:textId="77777777" w:rsidR="00B700E1" w:rsidRPr="00DE7477" w:rsidRDefault="00B700E1" w:rsidP="00F76CC0">
            <w:pPr>
              <w:jc w:val="right"/>
              <w:rPr>
                <w:rFonts w:ascii="Arial" w:eastAsia="Times New Roman" w:hAnsi="Arial" w:cs="Arial"/>
                <w:sz w:val="20"/>
                <w:lang w:val="en-US"/>
              </w:rPr>
            </w:pPr>
            <w:r w:rsidRPr="00DE7477">
              <w:rPr>
                <w:rFonts w:ascii="Arial" w:eastAsia="Times New Roman" w:hAnsi="Arial" w:cs="Arial"/>
                <w:sz w:val="20"/>
                <w:lang w:val="en-US"/>
              </w:rPr>
              <w:t>4561</w:t>
            </w:r>
          </w:p>
        </w:tc>
        <w:tc>
          <w:tcPr>
            <w:tcW w:w="990" w:type="dxa"/>
            <w:hideMark/>
          </w:tcPr>
          <w:p w14:paraId="7A9EF31B" w14:textId="77777777" w:rsidR="00B700E1" w:rsidRPr="00DE7477" w:rsidRDefault="00B700E1" w:rsidP="00F76CC0">
            <w:pPr>
              <w:jc w:val="right"/>
              <w:rPr>
                <w:rFonts w:ascii="Arial" w:eastAsia="Times New Roman" w:hAnsi="Arial" w:cs="Arial"/>
                <w:sz w:val="20"/>
                <w:lang w:val="en-US"/>
              </w:rPr>
            </w:pPr>
            <w:r w:rsidRPr="00DE7477">
              <w:rPr>
                <w:rFonts w:ascii="Arial" w:eastAsia="Times New Roman" w:hAnsi="Arial" w:cs="Arial"/>
                <w:sz w:val="20"/>
                <w:lang w:val="en-US"/>
              </w:rPr>
              <w:t>838.04</w:t>
            </w:r>
          </w:p>
        </w:tc>
        <w:tc>
          <w:tcPr>
            <w:tcW w:w="1080" w:type="dxa"/>
            <w:hideMark/>
          </w:tcPr>
          <w:p w14:paraId="3EE143BA" w14:textId="77777777" w:rsidR="00B700E1" w:rsidRPr="00DE7477" w:rsidRDefault="00B700E1" w:rsidP="00F76CC0">
            <w:pPr>
              <w:rPr>
                <w:rFonts w:ascii="Arial" w:eastAsia="Times New Roman" w:hAnsi="Arial" w:cs="Arial"/>
                <w:sz w:val="20"/>
                <w:lang w:val="en-US"/>
              </w:rPr>
            </w:pPr>
            <w:r w:rsidRPr="00DE7477">
              <w:rPr>
                <w:rFonts w:ascii="Arial" w:eastAsia="Times New Roman" w:hAnsi="Arial" w:cs="Arial"/>
                <w:sz w:val="20"/>
                <w:lang w:val="en-US"/>
              </w:rPr>
              <w:t>9.3.1.9</w:t>
            </w:r>
          </w:p>
        </w:tc>
        <w:tc>
          <w:tcPr>
            <w:tcW w:w="3600" w:type="dxa"/>
            <w:hideMark/>
          </w:tcPr>
          <w:p w14:paraId="62F00638" w14:textId="77777777" w:rsidR="00B700E1" w:rsidRPr="00DE7477" w:rsidRDefault="00B700E1" w:rsidP="00F76CC0">
            <w:pPr>
              <w:rPr>
                <w:rFonts w:ascii="Arial" w:eastAsia="Times New Roman" w:hAnsi="Arial" w:cs="Arial"/>
                <w:sz w:val="20"/>
                <w:lang w:val="en-US"/>
              </w:rPr>
            </w:pPr>
            <w:r w:rsidRPr="00DE7477">
              <w:rPr>
                <w:rFonts w:ascii="Arial" w:eastAsia="Times New Roman" w:hAnsi="Arial" w:cs="Arial"/>
                <w:sz w:val="20"/>
                <w:lang w:val="en-US"/>
              </w:rPr>
              <w:t>"The Frame Control field is defined in 9.3.1 (Control frames). (MDR2)The subtype field is the value from</w:t>
            </w:r>
            <w:r w:rsidRPr="00DE7477">
              <w:rPr>
                <w:rFonts w:ascii="Arial" w:eastAsia="Times New Roman" w:hAnsi="Arial" w:cs="Arial"/>
                <w:sz w:val="20"/>
                <w:lang w:val="en-US"/>
              </w:rPr>
              <w:br/>
              <w:t>Table 9-1 (Valid type and subtype combinations) of 9.2.4.1.3 (Type and Subtype subfields) that corresponds</w:t>
            </w:r>
            <w:r w:rsidRPr="00DE7477">
              <w:rPr>
                <w:rFonts w:ascii="Arial" w:eastAsia="Times New Roman" w:hAnsi="Arial" w:cs="Arial"/>
                <w:sz w:val="20"/>
                <w:lang w:val="en-US"/>
              </w:rPr>
              <w:br/>
              <w:t>to Control Wrapper frame." -- we don't say this for any other frame</w:t>
            </w:r>
          </w:p>
        </w:tc>
        <w:tc>
          <w:tcPr>
            <w:tcW w:w="3600" w:type="dxa"/>
            <w:hideMark/>
          </w:tcPr>
          <w:p w14:paraId="2D2B6F68" w14:textId="77777777" w:rsidR="00B700E1" w:rsidRPr="00DE7477" w:rsidRDefault="00B700E1" w:rsidP="00F76CC0">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03AFFA14" w14:textId="77777777" w:rsidR="00B700E1" w:rsidRDefault="00B700E1" w:rsidP="00B700E1">
      <w:pPr>
        <w:rPr>
          <w:bCs/>
          <w:szCs w:val="22"/>
        </w:rPr>
      </w:pPr>
    </w:p>
    <w:p w14:paraId="1119893E" w14:textId="77777777" w:rsidR="00B700E1" w:rsidRDefault="00B700E1" w:rsidP="00B700E1">
      <w:pPr>
        <w:rPr>
          <w:bCs/>
          <w:szCs w:val="22"/>
        </w:rPr>
      </w:pPr>
      <w:r>
        <w:rPr>
          <w:bCs/>
          <w:szCs w:val="22"/>
          <w:u w:val="single"/>
        </w:rPr>
        <w:t>Discussion:</w:t>
      </w:r>
    </w:p>
    <w:p w14:paraId="1BB2B6F0" w14:textId="77777777" w:rsidR="00B700E1" w:rsidRDefault="00B700E1" w:rsidP="00B700E1">
      <w:pPr>
        <w:rPr>
          <w:bCs/>
          <w:szCs w:val="22"/>
        </w:rPr>
      </w:pPr>
    </w:p>
    <w:p w14:paraId="3220DD7F" w14:textId="77777777" w:rsidR="00B700E1" w:rsidRPr="006A5FE5" w:rsidRDefault="00B700E1" w:rsidP="00B700E1">
      <w:pPr>
        <w:rPr>
          <w:bCs/>
          <w:noProof/>
          <w:szCs w:val="22"/>
          <w:bdr w:val="single" w:sz="8" w:space="0" w:color="auto" w:shadow="1"/>
        </w:rPr>
      </w:pPr>
      <w:r w:rsidRPr="006A5FE5">
        <w:rPr>
          <w:bCs/>
          <w:noProof/>
          <w:szCs w:val="22"/>
          <w:bdr w:val="single" w:sz="8" w:space="0" w:color="auto" w:shadow="1"/>
        </w:rPr>
        <w:drawing>
          <wp:inline distT="0" distB="0" distL="0" distR="0" wp14:anchorId="3A7E8C4C" wp14:editId="23D90FEF">
            <wp:extent cx="6035040" cy="4846320"/>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5040" cy="4846320"/>
                    </a:xfrm>
                    <a:prstGeom prst="rect">
                      <a:avLst/>
                    </a:prstGeom>
                    <a:noFill/>
                    <a:ln>
                      <a:noFill/>
                    </a:ln>
                  </pic:spPr>
                </pic:pic>
              </a:graphicData>
            </a:graphic>
          </wp:inline>
        </w:drawing>
      </w:r>
    </w:p>
    <w:p w14:paraId="31DE0F7A" w14:textId="77777777" w:rsidR="00B700E1" w:rsidRDefault="00B700E1" w:rsidP="00B700E1">
      <w:pPr>
        <w:rPr>
          <w:bCs/>
          <w:szCs w:val="22"/>
        </w:rPr>
      </w:pPr>
    </w:p>
    <w:p w14:paraId="2F0499F5" w14:textId="77777777" w:rsidR="00B700E1" w:rsidRDefault="00B700E1" w:rsidP="00B700E1">
      <w:pPr>
        <w:rPr>
          <w:bCs/>
          <w:szCs w:val="22"/>
        </w:rPr>
      </w:pPr>
      <w:r>
        <w:rPr>
          <w:bCs/>
          <w:szCs w:val="22"/>
        </w:rPr>
        <w:t>This Control Wrapper frame does appear to be the only frame definition that explicitly says this, and it is not necessary as the Frame Control field is clearly defined in the overall Control Frame format in 9.3.1.1.</w:t>
      </w:r>
    </w:p>
    <w:p w14:paraId="5E930F4A" w14:textId="77777777" w:rsidR="00B700E1" w:rsidRDefault="00B700E1" w:rsidP="00B700E1">
      <w:pPr>
        <w:rPr>
          <w:bCs/>
          <w:szCs w:val="22"/>
        </w:rPr>
      </w:pPr>
    </w:p>
    <w:p w14:paraId="4ABE6811" w14:textId="77777777" w:rsidR="00B700E1" w:rsidRDefault="00B700E1" w:rsidP="00B700E1">
      <w:pPr>
        <w:rPr>
          <w:bCs/>
          <w:szCs w:val="22"/>
        </w:rPr>
      </w:pPr>
      <w:r w:rsidRPr="0006558C">
        <w:rPr>
          <w:bCs/>
          <w:szCs w:val="22"/>
          <w:highlight w:val="green"/>
          <w:u w:val="single"/>
        </w:rPr>
        <w:t>Proposed Resolution:</w:t>
      </w:r>
    </w:p>
    <w:p w14:paraId="05AB3A62" w14:textId="77777777" w:rsidR="00B700E1" w:rsidRDefault="00B700E1" w:rsidP="00B700E1">
      <w:pPr>
        <w:rPr>
          <w:bCs/>
          <w:szCs w:val="22"/>
        </w:rPr>
      </w:pPr>
    </w:p>
    <w:p w14:paraId="49F1E70D" w14:textId="77777777" w:rsidR="00B700E1" w:rsidRDefault="00B700E1" w:rsidP="00B700E1">
      <w:pPr>
        <w:rPr>
          <w:bCs/>
          <w:szCs w:val="22"/>
        </w:rPr>
      </w:pPr>
      <w:r>
        <w:rPr>
          <w:bCs/>
          <w:szCs w:val="22"/>
        </w:rPr>
        <w:t>Accepted.</w:t>
      </w:r>
    </w:p>
    <w:p w14:paraId="78BD676B" w14:textId="594512DF" w:rsidR="002C154C" w:rsidRDefault="00B700E1" w:rsidP="00B700E1">
      <w:r>
        <w:rPr>
          <w:bCs/>
          <w:szCs w:val="22"/>
        </w:rPr>
        <w:br w:type="page"/>
      </w:r>
    </w:p>
    <w:sectPr w:rsidR="002C154C" w:rsidSect="009E579C">
      <w:headerReference w:type="default" r:id="rId76"/>
      <w:footerReference w:type="default" r:id="rId77"/>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AEBD4" w14:textId="77777777" w:rsidR="00A93C14" w:rsidRDefault="00A93C14">
      <w:r>
        <w:separator/>
      </w:r>
    </w:p>
  </w:endnote>
  <w:endnote w:type="continuationSeparator" w:id="0">
    <w:p w14:paraId="49EB8D35" w14:textId="77777777" w:rsidR="00A93C14" w:rsidRDefault="00A93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655E6364" w:rsidR="00D465D2" w:rsidRDefault="00D465D2"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D465D2" w:rsidRDefault="00D465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CEF55" w14:textId="77777777" w:rsidR="00A93C14" w:rsidRDefault="00A93C14">
      <w:r>
        <w:separator/>
      </w:r>
    </w:p>
  </w:footnote>
  <w:footnote w:type="continuationSeparator" w:id="0">
    <w:p w14:paraId="79D69E34" w14:textId="77777777" w:rsidR="00A93C14" w:rsidRDefault="00A93C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7FC1EBB1" w:rsidR="00D465D2" w:rsidRDefault="00D465D2" w:rsidP="005942A6">
    <w:pPr>
      <w:pStyle w:val="Header"/>
      <w:tabs>
        <w:tab w:val="clear" w:pos="6480"/>
        <w:tab w:val="center" w:pos="4680"/>
        <w:tab w:val="right" w:pos="9360"/>
      </w:tabs>
    </w:pPr>
    <w:r>
      <w:t>February 2020</w:t>
    </w:r>
    <w:r>
      <w:tab/>
    </w:r>
    <w:r>
      <w:tab/>
    </w:r>
    <w:fldSimple w:instr=" TITLE  \* MERGEFORMAT ">
      <w:r>
        <w:t>doc.: IEEE 802.11-20/0338r2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A348D"/>
    <w:multiLevelType w:val="hybridMultilevel"/>
    <w:tmpl w:val="79C4C77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F2763"/>
    <w:multiLevelType w:val="hybridMultilevel"/>
    <w:tmpl w:val="3D9E283A"/>
    <w:lvl w:ilvl="0" w:tplc="58D426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7"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393014"/>
    <w:multiLevelType w:val="hybridMultilevel"/>
    <w:tmpl w:val="8D823AEC"/>
    <w:lvl w:ilvl="0" w:tplc="C48EFA5E">
      <w:start w:val="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13"/>
  </w:num>
  <w:num w:numId="3">
    <w:abstractNumId w:val="19"/>
  </w:num>
  <w:num w:numId="4">
    <w:abstractNumId w:val="3"/>
  </w:num>
  <w:num w:numId="5">
    <w:abstractNumId w:val="36"/>
  </w:num>
  <w:num w:numId="6">
    <w:abstractNumId w:val="35"/>
  </w:num>
  <w:num w:numId="7">
    <w:abstractNumId w:val="7"/>
  </w:num>
  <w:num w:numId="8">
    <w:abstractNumId w:val="14"/>
  </w:num>
  <w:num w:numId="9">
    <w:abstractNumId w:val="18"/>
  </w:num>
  <w:num w:numId="10">
    <w:abstractNumId w:val="22"/>
  </w:num>
  <w:num w:numId="11">
    <w:abstractNumId w:val="41"/>
  </w:num>
  <w:num w:numId="12">
    <w:abstractNumId w:val="23"/>
  </w:num>
  <w:num w:numId="13">
    <w:abstractNumId w:val="9"/>
  </w:num>
  <w:num w:numId="14">
    <w:abstractNumId w:val="30"/>
  </w:num>
  <w:num w:numId="15">
    <w:abstractNumId w:val="8"/>
  </w:num>
  <w:num w:numId="16">
    <w:abstractNumId w:val="0"/>
  </w:num>
  <w:num w:numId="17">
    <w:abstractNumId w:val="32"/>
  </w:num>
  <w:num w:numId="18">
    <w:abstractNumId w:val="21"/>
  </w:num>
  <w:num w:numId="19">
    <w:abstractNumId w:val="34"/>
  </w:num>
  <w:num w:numId="20">
    <w:abstractNumId w:val="4"/>
  </w:num>
  <w:num w:numId="21">
    <w:abstractNumId w:val="1"/>
  </w:num>
  <w:num w:numId="22">
    <w:abstractNumId w:val="24"/>
  </w:num>
  <w:num w:numId="23">
    <w:abstractNumId w:val="6"/>
  </w:num>
  <w:num w:numId="24">
    <w:abstractNumId w:val="16"/>
  </w:num>
  <w:num w:numId="25">
    <w:abstractNumId w:val="31"/>
  </w:num>
  <w:num w:numId="26">
    <w:abstractNumId w:val="25"/>
  </w:num>
  <w:num w:numId="27">
    <w:abstractNumId w:val="15"/>
  </w:num>
  <w:num w:numId="28">
    <w:abstractNumId w:val="37"/>
  </w:num>
  <w:num w:numId="29">
    <w:abstractNumId w:val="38"/>
  </w:num>
  <w:num w:numId="30">
    <w:abstractNumId w:val="27"/>
  </w:num>
  <w:num w:numId="31">
    <w:abstractNumId w:val="29"/>
  </w:num>
  <w:num w:numId="32">
    <w:abstractNumId w:val="20"/>
  </w:num>
  <w:num w:numId="33">
    <w:abstractNumId w:val="39"/>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7"/>
  </w:num>
  <w:num w:numId="37">
    <w:abstractNumId w:val="28"/>
  </w:num>
  <w:num w:numId="38">
    <w:abstractNumId w:val="10"/>
  </w:num>
  <w:num w:numId="39">
    <w:abstractNumId w:val="1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2"/>
  <w:printFractionalCharacterWidth/>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6A7"/>
    <w:rsid w:val="00000790"/>
    <w:rsid w:val="00001D5A"/>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67"/>
    <w:rsid w:val="00012885"/>
    <w:rsid w:val="00016F04"/>
    <w:rsid w:val="00017769"/>
    <w:rsid w:val="00017925"/>
    <w:rsid w:val="00020D5F"/>
    <w:rsid w:val="000214BB"/>
    <w:rsid w:val="00022C73"/>
    <w:rsid w:val="000231A8"/>
    <w:rsid w:val="00023E74"/>
    <w:rsid w:val="00025050"/>
    <w:rsid w:val="00025487"/>
    <w:rsid w:val="000265DF"/>
    <w:rsid w:val="00026723"/>
    <w:rsid w:val="0002699A"/>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5DBC"/>
    <w:rsid w:val="000460A0"/>
    <w:rsid w:val="0004694A"/>
    <w:rsid w:val="00046B90"/>
    <w:rsid w:val="00047850"/>
    <w:rsid w:val="000478FF"/>
    <w:rsid w:val="00047AB1"/>
    <w:rsid w:val="000507CE"/>
    <w:rsid w:val="000516ED"/>
    <w:rsid w:val="00051A8F"/>
    <w:rsid w:val="000520D6"/>
    <w:rsid w:val="00054337"/>
    <w:rsid w:val="00054806"/>
    <w:rsid w:val="00054DF0"/>
    <w:rsid w:val="00055862"/>
    <w:rsid w:val="00055B88"/>
    <w:rsid w:val="000560E2"/>
    <w:rsid w:val="000561A9"/>
    <w:rsid w:val="0005621D"/>
    <w:rsid w:val="00056A24"/>
    <w:rsid w:val="00060927"/>
    <w:rsid w:val="00061F9D"/>
    <w:rsid w:val="0006302E"/>
    <w:rsid w:val="00063387"/>
    <w:rsid w:val="000640AE"/>
    <w:rsid w:val="00064B82"/>
    <w:rsid w:val="00065277"/>
    <w:rsid w:val="0006551B"/>
    <w:rsid w:val="0006558C"/>
    <w:rsid w:val="000660FC"/>
    <w:rsid w:val="00066C64"/>
    <w:rsid w:val="00067CE1"/>
    <w:rsid w:val="00070BC5"/>
    <w:rsid w:val="00070C53"/>
    <w:rsid w:val="0007105F"/>
    <w:rsid w:val="000717F8"/>
    <w:rsid w:val="00071A03"/>
    <w:rsid w:val="00071C12"/>
    <w:rsid w:val="00071D71"/>
    <w:rsid w:val="000724F5"/>
    <w:rsid w:val="00072E1B"/>
    <w:rsid w:val="0007342D"/>
    <w:rsid w:val="00073640"/>
    <w:rsid w:val="00073783"/>
    <w:rsid w:val="00073824"/>
    <w:rsid w:val="000738BE"/>
    <w:rsid w:val="00073DF6"/>
    <w:rsid w:val="0007496E"/>
    <w:rsid w:val="00075F27"/>
    <w:rsid w:val="00076AA4"/>
    <w:rsid w:val="000771F8"/>
    <w:rsid w:val="00077D72"/>
    <w:rsid w:val="00077F49"/>
    <w:rsid w:val="000809B2"/>
    <w:rsid w:val="00081403"/>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DD"/>
    <w:rsid w:val="00092F2E"/>
    <w:rsid w:val="00092F75"/>
    <w:rsid w:val="000946C9"/>
    <w:rsid w:val="0009494E"/>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64DF"/>
    <w:rsid w:val="000A6653"/>
    <w:rsid w:val="000A6728"/>
    <w:rsid w:val="000A7069"/>
    <w:rsid w:val="000A7983"/>
    <w:rsid w:val="000B236F"/>
    <w:rsid w:val="000B2985"/>
    <w:rsid w:val="000B2A39"/>
    <w:rsid w:val="000B5131"/>
    <w:rsid w:val="000B535F"/>
    <w:rsid w:val="000B57A8"/>
    <w:rsid w:val="000B5C4C"/>
    <w:rsid w:val="000B7C86"/>
    <w:rsid w:val="000C0F6F"/>
    <w:rsid w:val="000C1613"/>
    <w:rsid w:val="000C372E"/>
    <w:rsid w:val="000C3891"/>
    <w:rsid w:val="000C5BCC"/>
    <w:rsid w:val="000C6E75"/>
    <w:rsid w:val="000D077C"/>
    <w:rsid w:val="000D1E62"/>
    <w:rsid w:val="000D1E8B"/>
    <w:rsid w:val="000D2589"/>
    <w:rsid w:val="000D2D95"/>
    <w:rsid w:val="000D3071"/>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4731"/>
    <w:rsid w:val="000E49FD"/>
    <w:rsid w:val="000E5305"/>
    <w:rsid w:val="000E5AB7"/>
    <w:rsid w:val="000E5E26"/>
    <w:rsid w:val="000E5E5A"/>
    <w:rsid w:val="000E683D"/>
    <w:rsid w:val="000E68F8"/>
    <w:rsid w:val="000E7409"/>
    <w:rsid w:val="000F0F65"/>
    <w:rsid w:val="000F1E4D"/>
    <w:rsid w:val="000F2320"/>
    <w:rsid w:val="000F25F3"/>
    <w:rsid w:val="000F33EC"/>
    <w:rsid w:val="000F3724"/>
    <w:rsid w:val="000F430A"/>
    <w:rsid w:val="000F435D"/>
    <w:rsid w:val="000F49FD"/>
    <w:rsid w:val="000F5627"/>
    <w:rsid w:val="000F5E0A"/>
    <w:rsid w:val="000F66F3"/>
    <w:rsid w:val="000F6D95"/>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2799"/>
    <w:rsid w:val="001234C2"/>
    <w:rsid w:val="00123658"/>
    <w:rsid w:val="00124928"/>
    <w:rsid w:val="001258FE"/>
    <w:rsid w:val="0012607C"/>
    <w:rsid w:val="00127BC6"/>
    <w:rsid w:val="00130070"/>
    <w:rsid w:val="001300A2"/>
    <w:rsid w:val="001306E6"/>
    <w:rsid w:val="001313D5"/>
    <w:rsid w:val="00131F69"/>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57BE1"/>
    <w:rsid w:val="001612F0"/>
    <w:rsid w:val="001631EA"/>
    <w:rsid w:val="001640EF"/>
    <w:rsid w:val="001641E4"/>
    <w:rsid w:val="00164628"/>
    <w:rsid w:val="001651E8"/>
    <w:rsid w:val="001658A9"/>
    <w:rsid w:val="00165A10"/>
    <w:rsid w:val="00165C1C"/>
    <w:rsid w:val="001668A6"/>
    <w:rsid w:val="00166AFB"/>
    <w:rsid w:val="001670D8"/>
    <w:rsid w:val="00167858"/>
    <w:rsid w:val="001678C2"/>
    <w:rsid w:val="001678FD"/>
    <w:rsid w:val="0016790D"/>
    <w:rsid w:val="00167931"/>
    <w:rsid w:val="001701F5"/>
    <w:rsid w:val="0017056B"/>
    <w:rsid w:val="0017281E"/>
    <w:rsid w:val="00175711"/>
    <w:rsid w:val="00175E7F"/>
    <w:rsid w:val="001768A2"/>
    <w:rsid w:val="00176D30"/>
    <w:rsid w:val="001777F6"/>
    <w:rsid w:val="00177BBB"/>
    <w:rsid w:val="00180334"/>
    <w:rsid w:val="00180818"/>
    <w:rsid w:val="001819C3"/>
    <w:rsid w:val="00181DEF"/>
    <w:rsid w:val="00182A6B"/>
    <w:rsid w:val="00183B75"/>
    <w:rsid w:val="00184584"/>
    <w:rsid w:val="00184F25"/>
    <w:rsid w:val="001853F8"/>
    <w:rsid w:val="00186080"/>
    <w:rsid w:val="001861B8"/>
    <w:rsid w:val="00190C49"/>
    <w:rsid w:val="001923E0"/>
    <w:rsid w:val="00192743"/>
    <w:rsid w:val="00192BC9"/>
    <w:rsid w:val="00193C02"/>
    <w:rsid w:val="00194FBD"/>
    <w:rsid w:val="00195336"/>
    <w:rsid w:val="0019534C"/>
    <w:rsid w:val="00195354"/>
    <w:rsid w:val="00195ED7"/>
    <w:rsid w:val="00196990"/>
    <w:rsid w:val="00197BBD"/>
    <w:rsid w:val="001A09C8"/>
    <w:rsid w:val="001A0CA3"/>
    <w:rsid w:val="001A0D43"/>
    <w:rsid w:val="001A0FF2"/>
    <w:rsid w:val="001A1739"/>
    <w:rsid w:val="001A1B4F"/>
    <w:rsid w:val="001A1D16"/>
    <w:rsid w:val="001A5D0B"/>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6ECF"/>
    <w:rsid w:val="001B741F"/>
    <w:rsid w:val="001B7760"/>
    <w:rsid w:val="001B7A94"/>
    <w:rsid w:val="001C0731"/>
    <w:rsid w:val="001C12A6"/>
    <w:rsid w:val="001C1344"/>
    <w:rsid w:val="001C16A0"/>
    <w:rsid w:val="001C243C"/>
    <w:rsid w:val="001C36D5"/>
    <w:rsid w:val="001C390E"/>
    <w:rsid w:val="001C43BB"/>
    <w:rsid w:val="001C4A87"/>
    <w:rsid w:val="001C6846"/>
    <w:rsid w:val="001D078D"/>
    <w:rsid w:val="001D0C27"/>
    <w:rsid w:val="001D0C6A"/>
    <w:rsid w:val="001D0EE0"/>
    <w:rsid w:val="001D23E6"/>
    <w:rsid w:val="001D294C"/>
    <w:rsid w:val="001D3EE8"/>
    <w:rsid w:val="001D437D"/>
    <w:rsid w:val="001D49DE"/>
    <w:rsid w:val="001D588E"/>
    <w:rsid w:val="001D5A56"/>
    <w:rsid w:val="001D5AAE"/>
    <w:rsid w:val="001D6635"/>
    <w:rsid w:val="001D66B4"/>
    <w:rsid w:val="001D69D1"/>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E7E1C"/>
    <w:rsid w:val="001F00EA"/>
    <w:rsid w:val="001F0B7E"/>
    <w:rsid w:val="001F2594"/>
    <w:rsid w:val="001F25DB"/>
    <w:rsid w:val="001F31E4"/>
    <w:rsid w:val="001F4985"/>
    <w:rsid w:val="001F51A6"/>
    <w:rsid w:val="001F568E"/>
    <w:rsid w:val="001F6660"/>
    <w:rsid w:val="001F729B"/>
    <w:rsid w:val="002004D1"/>
    <w:rsid w:val="00200D4B"/>
    <w:rsid w:val="00200EB8"/>
    <w:rsid w:val="0020138A"/>
    <w:rsid w:val="00201D7E"/>
    <w:rsid w:val="0020254A"/>
    <w:rsid w:val="002040C1"/>
    <w:rsid w:val="00204218"/>
    <w:rsid w:val="002043E4"/>
    <w:rsid w:val="00204E18"/>
    <w:rsid w:val="0020599D"/>
    <w:rsid w:val="002065F2"/>
    <w:rsid w:val="00206618"/>
    <w:rsid w:val="00206A9B"/>
    <w:rsid w:val="00206AC1"/>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3EF1"/>
    <w:rsid w:val="00235A8F"/>
    <w:rsid w:val="00235CC5"/>
    <w:rsid w:val="002364B7"/>
    <w:rsid w:val="00236B76"/>
    <w:rsid w:val="00236E6F"/>
    <w:rsid w:val="00237B05"/>
    <w:rsid w:val="00240372"/>
    <w:rsid w:val="0024042F"/>
    <w:rsid w:val="00242DC7"/>
    <w:rsid w:val="00243F76"/>
    <w:rsid w:val="00245FCE"/>
    <w:rsid w:val="002468AD"/>
    <w:rsid w:val="00247124"/>
    <w:rsid w:val="0024726B"/>
    <w:rsid w:val="00247ECB"/>
    <w:rsid w:val="00252C37"/>
    <w:rsid w:val="00254702"/>
    <w:rsid w:val="0025530E"/>
    <w:rsid w:val="0025536B"/>
    <w:rsid w:val="002558FF"/>
    <w:rsid w:val="00255BCA"/>
    <w:rsid w:val="00256B72"/>
    <w:rsid w:val="00256E50"/>
    <w:rsid w:val="00257727"/>
    <w:rsid w:val="00257CD4"/>
    <w:rsid w:val="002600B6"/>
    <w:rsid w:val="00260223"/>
    <w:rsid w:val="00260B6B"/>
    <w:rsid w:val="00260ED3"/>
    <w:rsid w:val="0026101F"/>
    <w:rsid w:val="00261EB2"/>
    <w:rsid w:val="00263BE5"/>
    <w:rsid w:val="00263E45"/>
    <w:rsid w:val="00264DA4"/>
    <w:rsid w:val="002674F3"/>
    <w:rsid w:val="00267581"/>
    <w:rsid w:val="0027037B"/>
    <w:rsid w:val="0027046F"/>
    <w:rsid w:val="00270660"/>
    <w:rsid w:val="00270FC0"/>
    <w:rsid w:val="00270FED"/>
    <w:rsid w:val="0027127C"/>
    <w:rsid w:val="00272D9D"/>
    <w:rsid w:val="00273274"/>
    <w:rsid w:val="0027514D"/>
    <w:rsid w:val="002752A2"/>
    <w:rsid w:val="00275968"/>
    <w:rsid w:val="00276300"/>
    <w:rsid w:val="00276346"/>
    <w:rsid w:val="00276D9C"/>
    <w:rsid w:val="002775D0"/>
    <w:rsid w:val="00277834"/>
    <w:rsid w:val="00280BFB"/>
    <w:rsid w:val="0028193B"/>
    <w:rsid w:val="0028288D"/>
    <w:rsid w:val="00283805"/>
    <w:rsid w:val="002850F5"/>
    <w:rsid w:val="0028626F"/>
    <w:rsid w:val="002864E8"/>
    <w:rsid w:val="0028659D"/>
    <w:rsid w:val="002865C2"/>
    <w:rsid w:val="002866A4"/>
    <w:rsid w:val="0029020B"/>
    <w:rsid w:val="002912F6"/>
    <w:rsid w:val="0029241F"/>
    <w:rsid w:val="00294526"/>
    <w:rsid w:val="002946AD"/>
    <w:rsid w:val="00295BFC"/>
    <w:rsid w:val="002960C1"/>
    <w:rsid w:val="002976D8"/>
    <w:rsid w:val="00297F97"/>
    <w:rsid w:val="002A0621"/>
    <w:rsid w:val="002A0A4A"/>
    <w:rsid w:val="002A23E9"/>
    <w:rsid w:val="002A3058"/>
    <w:rsid w:val="002A3D66"/>
    <w:rsid w:val="002A4AF5"/>
    <w:rsid w:val="002A5845"/>
    <w:rsid w:val="002A64AB"/>
    <w:rsid w:val="002A690B"/>
    <w:rsid w:val="002A778A"/>
    <w:rsid w:val="002B1C16"/>
    <w:rsid w:val="002B1EDD"/>
    <w:rsid w:val="002B2D6F"/>
    <w:rsid w:val="002B2F4D"/>
    <w:rsid w:val="002B428F"/>
    <w:rsid w:val="002B434A"/>
    <w:rsid w:val="002B4DF9"/>
    <w:rsid w:val="002B55F4"/>
    <w:rsid w:val="002B588E"/>
    <w:rsid w:val="002B6321"/>
    <w:rsid w:val="002B6E65"/>
    <w:rsid w:val="002C07A5"/>
    <w:rsid w:val="002C0809"/>
    <w:rsid w:val="002C086C"/>
    <w:rsid w:val="002C154C"/>
    <w:rsid w:val="002C1619"/>
    <w:rsid w:val="002C1C40"/>
    <w:rsid w:val="002C1F67"/>
    <w:rsid w:val="002C1F7F"/>
    <w:rsid w:val="002C20C9"/>
    <w:rsid w:val="002C220C"/>
    <w:rsid w:val="002C28D7"/>
    <w:rsid w:val="002C2EAB"/>
    <w:rsid w:val="002C365B"/>
    <w:rsid w:val="002C4301"/>
    <w:rsid w:val="002C474A"/>
    <w:rsid w:val="002C4CB2"/>
    <w:rsid w:val="002C66E1"/>
    <w:rsid w:val="002C6A20"/>
    <w:rsid w:val="002C6B87"/>
    <w:rsid w:val="002C6F32"/>
    <w:rsid w:val="002C6F58"/>
    <w:rsid w:val="002C73DF"/>
    <w:rsid w:val="002C768B"/>
    <w:rsid w:val="002C7DB8"/>
    <w:rsid w:val="002C7F92"/>
    <w:rsid w:val="002D0257"/>
    <w:rsid w:val="002D035B"/>
    <w:rsid w:val="002D1B44"/>
    <w:rsid w:val="002D23D1"/>
    <w:rsid w:val="002D2601"/>
    <w:rsid w:val="002D27BC"/>
    <w:rsid w:val="002D3669"/>
    <w:rsid w:val="002D3E7C"/>
    <w:rsid w:val="002D3ED9"/>
    <w:rsid w:val="002D44BE"/>
    <w:rsid w:val="002D477A"/>
    <w:rsid w:val="002D4C7D"/>
    <w:rsid w:val="002D4DCB"/>
    <w:rsid w:val="002D6819"/>
    <w:rsid w:val="002D7F02"/>
    <w:rsid w:val="002E0570"/>
    <w:rsid w:val="002E06F0"/>
    <w:rsid w:val="002E08E8"/>
    <w:rsid w:val="002E3B38"/>
    <w:rsid w:val="002E3CBC"/>
    <w:rsid w:val="002E4744"/>
    <w:rsid w:val="002E4AAF"/>
    <w:rsid w:val="002E55E7"/>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576"/>
    <w:rsid w:val="003208AF"/>
    <w:rsid w:val="00320BA5"/>
    <w:rsid w:val="00320C7F"/>
    <w:rsid w:val="003230FB"/>
    <w:rsid w:val="00324311"/>
    <w:rsid w:val="00325000"/>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0120"/>
    <w:rsid w:val="00342441"/>
    <w:rsid w:val="00343012"/>
    <w:rsid w:val="003436A8"/>
    <w:rsid w:val="00343D18"/>
    <w:rsid w:val="0034412B"/>
    <w:rsid w:val="00346828"/>
    <w:rsid w:val="00346A6C"/>
    <w:rsid w:val="003479FD"/>
    <w:rsid w:val="003507C5"/>
    <w:rsid w:val="00351580"/>
    <w:rsid w:val="00351C11"/>
    <w:rsid w:val="00351CD7"/>
    <w:rsid w:val="00352422"/>
    <w:rsid w:val="003534BC"/>
    <w:rsid w:val="00353B91"/>
    <w:rsid w:val="00354453"/>
    <w:rsid w:val="00354A85"/>
    <w:rsid w:val="003550D2"/>
    <w:rsid w:val="00356E66"/>
    <w:rsid w:val="00363A7B"/>
    <w:rsid w:val="00363BD7"/>
    <w:rsid w:val="00364632"/>
    <w:rsid w:val="00364917"/>
    <w:rsid w:val="00364D00"/>
    <w:rsid w:val="003651D2"/>
    <w:rsid w:val="00365635"/>
    <w:rsid w:val="003672DE"/>
    <w:rsid w:val="003701C5"/>
    <w:rsid w:val="00370802"/>
    <w:rsid w:val="00370CA2"/>
    <w:rsid w:val="00370D07"/>
    <w:rsid w:val="003721EC"/>
    <w:rsid w:val="00372F0B"/>
    <w:rsid w:val="003739D0"/>
    <w:rsid w:val="00374309"/>
    <w:rsid w:val="00374A5C"/>
    <w:rsid w:val="003752A1"/>
    <w:rsid w:val="003760BD"/>
    <w:rsid w:val="00377940"/>
    <w:rsid w:val="00377D83"/>
    <w:rsid w:val="00382211"/>
    <w:rsid w:val="00382603"/>
    <w:rsid w:val="00382B03"/>
    <w:rsid w:val="00382F77"/>
    <w:rsid w:val="00383062"/>
    <w:rsid w:val="00383525"/>
    <w:rsid w:val="0038355C"/>
    <w:rsid w:val="00385189"/>
    <w:rsid w:val="0038543B"/>
    <w:rsid w:val="00385B13"/>
    <w:rsid w:val="00385BD3"/>
    <w:rsid w:val="003873F3"/>
    <w:rsid w:val="00391686"/>
    <w:rsid w:val="00391AEC"/>
    <w:rsid w:val="0039273E"/>
    <w:rsid w:val="00392802"/>
    <w:rsid w:val="00393367"/>
    <w:rsid w:val="003933C7"/>
    <w:rsid w:val="00393F3A"/>
    <w:rsid w:val="00394949"/>
    <w:rsid w:val="00395110"/>
    <w:rsid w:val="00395876"/>
    <w:rsid w:val="00397784"/>
    <w:rsid w:val="003979D0"/>
    <w:rsid w:val="003A03AA"/>
    <w:rsid w:val="003A0B8B"/>
    <w:rsid w:val="003A15E1"/>
    <w:rsid w:val="003A1FC7"/>
    <w:rsid w:val="003A283A"/>
    <w:rsid w:val="003A2A87"/>
    <w:rsid w:val="003A2CAF"/>
    <w:rsid w:val="003A3EF9"/>
    <w:rsid w:val="003A54C3"/>
    <w:rsid w:val="003A5854"/>
    <w:rsid w:val="003A5A41"/>
    <w:rsid w:val="003A5BE3"/>
    <w:rsid w:val="003A62F2"/>
    <w:rsid w:val="003A7791"/>
    <w:rsid w:val="003B03DD"/>
    <w:rsid w:val="003B1B6B"/>
    <w:rsid w:val="003B34EC"/>
    <w:rsid w:val="003B3533"/>
    <w:rsid w:val="003B353B"/>
    <w:rsid w:val="003B3BCC"/>
    <w:rsid w:val="003B41B4"/>
    <w:rsid w:val="003B4D61"/>
    <w:rsid w:val="003B4DC6"/>
    <w:rsid w:val="003B4F42"/>
    <w:rsid w:val="003B52E6"/>
    <w:rsid w:val="003B56C6"/>
    <w:rsid w:val="003B72BF"/>
    <w:rsid w:val="003B7386"/>
    <w:rsid w:val="003C2E87"/>
    <w:rsid w:val="003C31AC"/>
    <w:rsid w:val="003C374B"/>
    <w:rsid w:val="003C40EE"/>
    <w:rsid w:val="003C40FD"/>
    <w:rsid w:val="003C497D"/>
    <w:rsid w:val="003C5230"/>
    <w:rsid w:val="003C6372"/>
    <w:rsid w:val="003C63B2"/>
    <w:rsid w:val="003C7F5B"/>
    <w:rsid w:val="003D0632"/>
    <w:rsid w:val="003D2E47"/>
    <w:rsid w:val="003D472A"/>
    <w:rsid w:val="003D472D"/>
    <w:rsid w:val="003D47D5"/>
    <w:rsid w:val="003D4DE9"/>
    <w:rsid w:val="003D5563"/>
    <w:rsid w:val="003D5CFD"/>
    <w:rsid w:val="003D5EB5"/>
    <w:rsid w:val="003D6689"/>
    <w:rsid w:val="003D673E"/>
    <w:rsid w:val="003D74D3"/>
    <w:rsid w:val="003D75CA"/>
    <w:rsid w:val="003D7E24"/>
    <w:rsid w:val="003E02CE"/>
    <w:rsid w:val="003E0DBA"/>
    <w:rsid w:val="003E0EAE"/>
    <w:rsid w:val="003E16DE"/>
    <w:rsid w:val="003E1D9A"/>
    <w:rsid w:val="003E20C9"/>
    <w:rsid w:val="003E20CC"/>
    <w:rsid w:val="003E259D"/>
    <w:rsid w:val="003E3194"/>
    <w:rsid w:val="003E4A21"/>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908"/>
    <w:rsid w:val="003F75B5"/>
    <w:rsid w:val="004017D1"/>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68A"/>
    <w:rsid w:val="00426736"/>
    <w:rsid w:val="00426CE9"/>
    <w:rsid w:val="004278BF"/>
    <w:rsid w:val="00427C32"/>
    <w:rsid w:val="00427DF3"/>
    <w:rsid w:val="004303FA"/>
    <w:rsid w:val="00430A2C"/>
    <w:rsid w:val="00432AFC"/>
    <w:rsid w:val="004333F9"/>
    <w:rsid w:val="00433924"/>
    <w:rsid w:val="00434018"/>
    <w:rsid w:val="004349A6"/>
    <w:rsid w:val="00435046"/>
    <w:rsid w:val="00435CE4"/>
    <w:rsid w:val="00435DAD"/>
    <w:rsid w:val="00436466"/>
    <w:rsid w:val="00436694"/>
    <w:rsid w:val="0043721C"/>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65D6"/>
    <w:rsid w:val="004674CF"/>
    <w:rsid w:val="00467855"/>
    <w:rsid w:val="00467DD3"/>
    <w:rsid w:val="00470699"/>
    <w:rsid w:val="00471347"/>
    <w:rsid w:val="004738C6"/>
    <w:rsid w:val="00474BC6"/>
    <w:rsid w:val="0047587F"/>
    <w:rsid w:val="004759E5"/>
    <w:rsid w:val="0047682B"/>
    <w:rsid w:val="00477843"/>
    <w:rsid w:val="00480551"/>
    <w:rsid w:val="0048074F"/>
    <w:rsid w:val="00481A27"/>
    <w:rsid w:val="00481DE9"/>
    <w:rsid w:val="00482476"/>
    <w:rsid w:val="00483ECF"/>
    <w:rsid w:val="00484571"/>
    <w:rsid w:val="004863B9"/>
    <w:rsid w:val="0048755B"/>
    <w:rsid w:val="00487832"/>
    <w:rsid w:val="0048783B"/>
    <w:rsid w:val="004924AB"/>
    <w:rsid w:val="0049287F"/>
    <w:rsid w:val="004940D6"/>
    <w:rsid w:val="004944FB"/>
    <w:rsid w:val="00494F31"/>
    <w:rsid w:val="004956B1"/>
    <w:rsid w:val="00495CAC"/>
    <w:rsid w:val="00495E7D"/>
    <w:rsid w:val="00496291"/>
    <w:rsid w:val="004964AA"/>
    <w:rsid w:val="00496849"/>
    <w:rsid w:val="00496B0A"/>
    <w:rsid w:val="00496B7A"/>
    <w:rsid w:val="004A0FFC"/>
    <w:rsid w:val="004A18AB"/>
    <w:rsid w:val="004A29FD"/>
    <w:rsid w:val="004A2E04"/>
    <w:rsid w:val="004A33F0"/>
    <w:rsid w:val="004A35EF"/>
    <w:rsid w:val="004A3A67"/>
    <w:rsid w:val="004A3EE8"/>
    <w:rsid w:val="004A43DC"/>
    <w:rsid w:val="004A46C1"/>
    <w:rsid w:val="004A4E87"/>
    <w:rsid w:val="004A5089"/>
    <w:rsid w:val="004A5556"/>
    <w:rsid w:val="004A6CE9"/>
    <w:rsid w:val="004A7807"/>
    <w:rsid w:val="004A7A5B"/>
    <w:rsid w:val="004A7FAC"/>
    <w:rsid w:val="004B064B"/>
    <w:rsid w:val="004B0889"/>
    <w:rsid w:val="004B1139"/>
    <w:rsid w:val="004B223E"/>
    <w:rsid w:val="004B2702"/>
    <w:rsid w:val="004B49CA"/>
    <w:rsid w:val="004B518B"/>
    <w:rsid w:val="004B5982"/>
    <w:rsid w:val="004B5EB2"/>
    <w:rsid w:val="004B62A3"/>
    <w:rsid w:val="004B6AB6"/>
    <w:rsid w:val="004B6BD8"/>
    <w:rsid w:val="004B7DA2"/>
    <w:rsid w:val="004C0C52"/>
    <w:rsid w:val="004C1A63"/>
    <w:rsid w:val="004C25F1"/>
    <w:rsid w:val="004C2773"/>
    <w:rsid w:val="004C2D16"/>
    <w:rsid w:val="004C2DB8"/>
    <w:rsid w:val="004C3650"/>
    <w:rsid w:val="004C3A22"/>
    <w:rsid w:val="004C3BCB"/>
    <w:rsid w:val="004C4C3F"/>
    <w:rsid w:val="004C6C0E"/>
    <w:rsid w:val="004D025F"/>
    <w:rsid w:val="004D02A8"/>
    <w:rsid w:val="004D0823"/>
    <w:rsid w:val="004D0E28"/>
    <w:rsid w:val="004D1D56"/>
    <w:rsid w:val="004D296B"/>
    <w:rsid w:val="004D35B8"/>
    <w:rsid w:val="004D3E12"/>
    <w:rsid w:val="004D4E94"/>
    <w:rsid w:val="004D540D"/>
    <w:rsid w:val="004D64AC"/>
    <w:rsid w:val="004D6887"/>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859"/>
    <w:rsid w:val="005020F9"/>
    <w:rsid w:val="0050227F"/>
    <w:rsid w:val="005049C3"/>
    <w:rsid w:val="0050594E"/>
    <w:rsid w:val="00505AE4"/>
    <w:rsid w:val="00506833"/>
    <w:rsid w:val="00506F4A"/>
    <w:rsid w:val="00507CE8"/>
    <w:rsid w:val="00510EB3"/>
    <w:rsid w:val="00511C50"/>
    <w:rsid w:val="00512470"/>
    <w:rsid w:val="00513352"/>
    <w:rsid w:val="0051352E"/>
    <w:rsid w:val="0051424C"/>
    <w:rsid w:val="005147D4"/>
    <w:rsid w:val="00515773"/>
    <w:rsid w:val="00515AA4"/>
    <w:rsid w:val="0051680A"/>
    <w:rsid w:val="00516A3C"/>
    <w:rsid w:val="00516A9F"/>
    <w:rsid w:val="00516C2C"/>
    <w:rsid w:val="00517975"/>
    <w:rsid w:val="00517A37"/>
    <w:rsid w:val="00520C43"/>
    <w:rsid w:val="005216B6"/>
    <w:rsid w:val="00522288"/>
    <w:rsid w:val="00524067"/>
    <w:rsid w:val="00524859"/>
    <w:rsid w:val="00524CDB"/>
    <w:rsid w:val="00525465"/>
    <w:rsid w:val="00525487"/>
    <w:rsid w:val="00525F3D"/>
    <w:rsid w:val="005260F9"/>
    <w:rsid w:val="00526AB0"/>
    <w:rsid w:val="00526C57"/>
    <w:rsid w:val="00527B15"/>
    <w:rsid w:val="00530FAF"/>
    <w:rsid w:val="00531363"/>
    <w:rsid w:val="00531427"/>
    <w:rsid w:val="00531706"/>
    <w:rsid w:val="005336AA"/>
    <w:rsid w:val="00533738"/>
    <w:rsid w:val="00533BE4"/>
    <w:rsid w:val="005346E7"/>
    <w:rsid w:val="00534818"/>
    <w:rsid w:val="00534E07"/>
    <w:rsid w:val="00535899"/>
    <w:rsid w:val="00536522"/>
    <w:rsid w:val="00536EB4"/>
    <w:rsid w:val="00537197"/>
    <w:rsid w:val="005371C2"/>
    <w:rsid w:val="0053774D"/>
    <w:rsid w:val="00540BBA"/>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719"/>
    <w:rsid w:val="00556BF6"/>
    <w:rsid w:val="005573C8"/>
    <w:rsid w:val="00557E3E"/>
    <w:rsid w:val="00560D95"/>
    <w:rsid w:val="00562E43"/>
    <w:rsid w:val="0056390D"/>
    <w:rsid w:val="0056481F"/>
    <w:rsid w:val="00565373"/>
    <w:rsid w:val="005661FB"/>
    <w:rsid w:val="00566C4F"/>
    <w:rsid w:val="00566F5D"/>
    <w:rsid w:val="00566FA2"/>
    <w:rsid w:val="00571388"/>
    <w:rsid w:val="005714B1"/>
    <w:rsid w:val="005718D6"/>
    <w:rsid w:val="00571C4B"/>
    <w:rsid w:val="00573B99"/>
    <w:rsid w:val="005741B0"/>
    <w:rsid w:val="005749CB"/>
    <w:rsid w:val="00574D84"/>
    <w:rsid w:val="00575326"/>
    <w:rsid w:val="00575703"/>
    <w:rsid w:val="00575BB3"/>
    <w:rsid w:val="00576862"/>
    <w:rsid w:val="00576DE9"/>
    <w:rsid w:val="00577046"/>
    <w:rsid w:val="00577620"/>
    <w:rsid w:val="0057788B"/>
    <w:rsid w:val="005778FB"/>
    <w:rsid w:val="0058024B"/>
    <w:rsid w:val="00580602"/>
    <w:rsid w:val="00583AA3"/>
    <w:rsid w:val="00583C4B"/>
    <w:rsid w:val="005864BD"/>
    <w:rsid w:val="0058718F"/>
    <w:rsid w:val="00587626"/>
    <w:rsid w:val="00587DE0"/>
    <w:rsid w:val="00590768"/>
    <w:rsid w:val="00591279"/>
    <w:rsid w:val="00592899"/>
    <w:rsid w:val="00593D42"/>
    <w:rsid w:val="005942A6"/>
    <w:rsid w:val="00594E50"/>
    <w:rsid w:val="005959FA"/>
    <w:rsid w:val="00595D61"/>
    <w:rsid w:val="005963F5"/>
    <w:rsid w:val="0059650F"/>
    <w:rsid w:val="00596512"/>
    <w:rsid w:val="005978A1"/>
    <w:rsid w:val="00597D09"/>
    <w:rsid w:val="005A0993"/>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61CD"/>
    <w:rsid w:val="005B7862"/>
    <w:rsid w:val="005C08B6"/>
    <w:rsid w:val="005C0AE7"/>
    <w:rsid w:val="005C1412"/>
    <w:rsid w:val="005C2102"/>
    <w:rsid w:val="005C22F6"/>
    <w:rsid w:val="005C2326"/>
    <w:rsid w:val="005C338F"/>
    <w:rsid w:val="005C3599"/>
    <w:rsid w:val="005C491B"/>
    <w:rsid w:val="005C4A53"/>
    <w:rsid w:val="005C579E"/>
    <w:rsid w:val="005C5ECA"/>
    <w:rsid w:val="005C5FB3"/>
    <w:rsid w:val="005C7145"/>
    <w:rsid w:val="005C73C6"/>
    <w:rsid w:val="005C7E4E"/>
    <w:rsid w:val="005D1210"/>
    <w:rsid w:val="005D1BBF"/>
    <w:rsid w:val="005D1DD2"/>
    <w:rsid w:val="005D24C7"/>
    <w:rsid w:val="005D2CDA"/>
    <w:rsid w:val="005D2E26"/>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664"/>
    <w:rsid w:val="005E7908"/>
    <w:rsid w:val="005E7E8E"/>
    <w:rsid w:val="005F09AF"/>
    <w:rsid w:val="005F0E46"/>
    <w:rsid w:val="005F0EB1"/>
    <w:rsid w:val="005F1386"/>
    <w:rsid w:val="005F1CA0"/>
    <w:rsid w:val="005F2066"/>
    <w:rsid w:val="005F34E5"/>
    <w:rsid w:val="005F4164"/>
    <w:rsid w:val="005F4CCB"/>
    <w:rsid w:val="005F50AE"/>
    <w:rsid w:val="005F5CD1"/>
    <w:rsid w:val="005F73CB"/>
    <w:rsid w:val="005F750F"/>
    <w:rsid w:val="005F752F"/>
    <w:rsid w:val="006001A6"/>
    <w:rsid w:val="00600735"/>
    <w:rsid w:val="0060078B"/>
    <w:rsid w:val="00601E6A"/>
    <w:rsid w:val="00601FAD"/>
    <w:rsid w:val="00601FED"/>
    <w:rsid w:val="006020E1"/>
    <w:rsid w:val="0060231B"/>
    <w:rsid w:val="00602B39"/>
    <w:rsid w:val="006031A0"/>
    <w:rsid w:val="00603D1B"/>
    <w:rsid w:val="006041D6"/>
    <w:rsid w:val="006047E1"/>
    <w:rsid w:val="00605868"/>
    <w:rsid w:val="00606166"/>
    <w:rsid w:val="00610ADF"/>
    <w:rsid w:val="00610AF1"/>
    <w:rsid w:val="00610E62"/>
    <w:rsid w:val="00610F71"/>
    <w:rsid w:val="00612A2A"/>
    <w:rsid w:val="00613B83"/>
    <w:rsid w:val="00614370"/>
    <w:rsid w:val="006149EA"/>
    <w:rsid w:val="00614AEC"/>
    <w:rsid w:val="00615190"/>
    <w:rsid w:val="00617BB0"/>
    <w:rsid w:val="00620AC3"/>
    <w:rsid w:val="00620FBE"/>
    <w:rsid w:val="0062111F"/>
    <w:rsid w:val="006219D8"/>
    <w:rsid w:val="00622013"/>
    <w:rsid w:val="00622765"/>
    <w:rsid w:val="00622BF3"/>
    <w:rsid w:val="0062320C"/>
    <w:rsid w:val="006233B4"/>
    <w:rsid w:val="00623F7C"/>
    <w:rsid w:val="00623FBC"/>
    <w:rsid w:val="0062440B"/>
    <w:rsid w:val="00624817"/>
    <w:rsid w:val="006249BC"/>
    <w:rsid w:val="00625AFD"/>
    <w:rsid w:val="00626228"/>
    <w:rsid w:val="00626891"/>
    <w:rsid w:val="006269AA"/>
    <w:rsid w:val="0062700C"/>
    <w:rsid w:val="006273D0"/>
    <w:rsid w:val="00627D9A"/>
    <w:rsid w:val="0063039B"/>
    <w:rsid w:val="00630533"/>
    <w:rsid w:val="006318C4"/>
    <w:rsid w:val="006320F2"/>
    <w:rsid w:val="006324AD"/>
    <w:rsid w:val="00633A73"/>
    <w:rsid w:val="00634863"/>
    <w:rsid w:val="0063689B"/>
    <w:rsid w:val="00636FD4"/>
    <w:rsid w:val="00637372"/>
    <w:rsid w:val="00637440"/>
    <w:rsid w:val="006374B3"/>
    <w:rsid w:val="00637AB0"/>
    <w:rsid w:val="00637B25"/>
    <w:rsid w:val="006409CA"/>
    <w:rsid w:val="006419B5"/>
    <w:rsid w:val="00642D74"/>
    <w:rsid w:val="00642E40"/>
    <w:rsid w:val="00643133"/>
    <w:rsid w:val="006434C4"/>
    <w:rsid w:val="00643C84"/>
    <w:rsid w:val="00644972"/>
    <w:rsid w:val="00644CAD"/>
    <w:rsid w:val="00644D38"/>
    <w:rsid w:val="00646687"/>
    <w:rsid w:val="00646D34"/>
    <w:rsid w:val="006470C1"/>
    <w:rsid w:val="006478DE"/>
    <w:rsid w:val="00647C0F"/>
    <w:rsid w:val="0065099A"/>
    <w:rsid w:val="006514A3"/>
    <w:rsid w:val="0065177F"/>
    <w:rsid w:val="006518F2"/>
    <w:rsid w:val="0065295B"/>
    <w:rsid w:val="00653551"/>
    <w:rsid w:val="00653559"/>
    <w:rsid w:val="00653C72"/>
    <w:rsid w:val="0065579B"/>
    <w:rsid w:val="0065586F"/>
    <w:rsid w:val="0065598E"/>
    <w:rsid w:val="0065599C"/>
    <w:rsid w:val="00656412"/>
    <w:rsid w:val="006565BB"/>
    <w:rsid w:val="00656ED6"/>
    <w:rsid w:val="00656F9F"/>
    <w:rsid w:val="00657F60"/>
    <w:rsid w:val="006607CB"/>
    <w:rsid w:val="00660D14"/>
    <w:rsid w:val="006615A7"/>
    <w:rsid w:val="00661941"/>
    <w:rsid w:val="00662059"/>
    <w:rsid w:val="0066224A"/>
    <w:rsid w:val="00662DB5"/>
    <w:rsid w:val="00663DF7"/>
    <w:rsid w:val="00663F12"/>
    <w:rsid w:val="00664079"/>
    <w:rsid w:val="006648CD"/>
    <w:rsid w:val="00664F48"/>
    <w:rsid w:val="00665FA0"/>
    <w:rsid w:val="00666A07"/>
    <w:rsid w:val="00666A21"/>
    <w:rsid w:val="00666DDA"/>
    <w:rsid w:val="00667D36"/>
    <w:rsid w:val="00667E7E"/>
    <w:rsid w:val="00670449"/>
    <w:rsid w:val="006705DF"/>
    <w:rsid w:val="00670821"/>
    <w:rsid w:val="00670B49"/>
    <w:rsid w:val="00671BB5"/>
    <w:rsid w:val="00672620"/>
    <w:rsid w:val="00673E19"/>
    <w:rsid w:val="00673E87"/>
    <w:rsid w:val="00674D33"/>
    <w:rsid w:val="00674F4E"/>
    <w:rsid w:val="006751FF"/>
    <w:rsid w:val="006757CF"/>
    <w:rsid w:val="00675E47"/>
    <w:rsid w:val="00680482"/>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6254"/>
    <w:rsid w:val="0069798C"/>
    <w:rsid w:val="006A12B0"/>
    <w:rsid w:val="006A139D"/>
    <w:rsid w:val="006A1429"/>
    <w:rsid w:val="006A19A1"/>
    <w:rsid w:val="006A1F15"/>
    <w:rsid w:val="006A3791"/>
    <w:rsid w:val="006A3907"/>
    <w:rsid w:val="006A45C7"/>
    <w:rsid w:val="006A4D0A"/>
    <w:rsid w:val="006A5204"/>
    <w:rsid w:val="006A54A7"/>
    <w:rsid w:val="006A5D1A"/>
    <w:rsid w:val="006A5FE5"/>
    <w:rsid w:val="006A624C"/>
    <w:rsid w:val="006A684D"/>
    <w:rsid w:val="006A71B8"/>
    <w:rsid w:val="006B038F"/>
    <w:rsid w:val="006B2183"/>
    <w:rsid w:val="006B3BD4"/>
    <w:rsid w:val="006B3FC4"/>
    <w:rsid w:val="006B45A9"/>
    <w:rsid w:val="006B48A4"/>
    <w:rsid w:val="006B536C"/>
    <w:rsid w:val="006B55A2"/>
    <w:rsid w:val="006B643A"/>
    <w:rsid w:val="006B72F9"/>
    <w:rsid w:val="006B7EC3"/>
    <w:rsid w:val="006C0727"/>
    <w:rsid w:val="006C0D8E"/>
    <w:rsid w:val="006C1B88"/>
    <w:rsid w:val="006C20C2"/>
    <w:rsid w:val="006C3C55"/>
    <w:rsid w:val="006C720F"/>
    <w:rsid w:val="006C74BC"/>
    <w:rsid w:val="006C78F5"/>
    <w:rsid w:val="006D0350"/>
    <w:rsid w:val="006D1880"/>
    <w:rsid w:val="006D1A6A"/>
    <w:rsid w:val="006D21D4"/>
    <w:rsid w:val="006D2392"/>
    <w:rsid w:val="006D4275"/>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05C"/>
    <w:rsid w:val="006F3394"/>
    <w:rsid w:val="006F37FE"/>
    <w:rsid w:val="006F4563"/>
    <w:rsid w:val="006F480A"/>
    <w:rsid w:val="006F4BEC"/>
    <w:rsid w:val="006F4E55"/>
    <w:rsid w:val="006F527A"/>
    <w:rsid w:val="006F6B4D"/>
    <w:rsid w:val="006F7625"/>
    <w:rsid w:val="006F77E6"/>
    <w:rsid w:val="0070053C"/>
    <w:rsid w:val="00701E0C"/>
    <w:rsid w:val="00701E88"/>
    <w:rsid w:val="0070202C"/>
    <w:rsid w:val="00703002"/>
    <w:rsid w:val="00704B57"/>
    <w:rsid w:val="00704EE1"/>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B0D"/>
    <w:rsid w:val="00717D24"/>
    <w:rsid w:val="00720830"/>
    <w:rsid w:val="00720FAE"/>
    <w:rsid w:val="00722252"/>
    <w:rsid w:val="00722282"/>
    <w:rsid w:val="007225C0"/>
    <w:rsid w:val="00723F92"/>
    <w:rsid w:val="00724AD3"/>
    <w:rsid w:val="00724FA8"/>
    <w:rsid w:val="0072537E"/>
    <w:rsid w:val="00725D0D"/>
    <w:rsid w:val="007262A1"/>
    <w:rsid w:val="007275EA"/>
    <w:rsid w:val="00727815"/>
    <w:rsid w:val="00727884"/>
    <w:rsid w:val="007300A1"/>
    <w:rsid w:val="00730307"/>
    <w:rsid w:val="007306AC"/>
    <w:rsid w:val="00730871"/>
    <w:rsid w:val="00731530"/>
    <w:rsid w:val="00731C0E"/>
    <w:rsid w:val="00731E82"/>
    <w:rsid w:val="00733155"/>
    <w:rsid w:val="00733377"/>
    <w:rsid w:val="007343D4"/>
    <w:rsid w:val="00734781"/>
    <w:rsid w:val="00735926"/>
    <w:rsid w:val="007360E7"/>
    <w:rsid w:val="00737870"/>
    <w:rsid w:val="00737E2B"/>
    <w:rsid w:val="0074016E"/>
    <w:rsid w:val="00740489"/>
    <w:rsid w:val="00743157"/>
    <w:rsid w:val="00743953"/>
    <w:rsid w:val="00743E42"/>
    <w:rsid w:val="00744AA5"/>
    <w:rsid w:val="00745423"/>
    <w:rsid w:val="00746434"/>
    <w:rsid w:val="007464B2"/>
    <w:rsid w:val="007466F1"/>
    <w:rsid w:val="007470F2"/>
    <w:rsid w:val="007471BD"/>
    <w:rsid w:val="00750F6A"/>
    <w:rsid w:val="007526C7"/>
    <w:rsid w:val="00752A5F"/>
    <w:rsid w:val="00752C82"/>
    <w:rsid w:val="007534A4"/>
    <w:rsid w:val="00753728"/>
    <w:rsid w:val="00753835"/>
    <w:rsid w:val="00753AA6"/>
    <w:rsid w:val="00753C05"/>
    <w:rsid w:val="00754932"/>
    <w:rsid w:val="00754F17"/>
    <w:rsid w:val="00755255"/>
    <w:rsid w:val="00755E6E"/>
    <w:rsid w:val="00756227"/>
    <w:rsid w:val="007569C1"/>
    <w:rsid w:val="007571A0"/>
    <w:rsid w:val="00757BB7"/>
    <w:rsid w:val="00757D45"/>
    <w:rsid w:val="007607C8"/>
    <w:rsid w:val="00760E1E"/>
    <w:rsid w:val="00760FD8"/>
    <w:rsid w:val="007611DF"/>
    <w:rsid w:val="00761653"/>
    <w:rsid w:val="0076175F"/>
    <w:rsid w:val="00762B54"/>
    <w:rsid w:val="00763B19"/>
    <w:rsid w:val="00763CDF"/>
    <w:rsid w:val="00763FA6"/>
    <w:rsid w:val="0076409D"/>
    <w:rsid w:val="0076495B"/>
    <w:rsid w:val="00764EE4"/>
    <w:rsid w:val="00766435"/>
    <w:rsid w:val="00766C52"/>
    <w:rsid w:val="00766E28"/>
    <w:rsid w:val="00766E83"/>
    <w:rsid w:val="007676D9"/>
    <w:rsid w:val="00770572"/>
    <w:rsid w:val="007706BA"/>
    <w:rsid w:val="0077080A"/>
    <w:rsid w:val="007710CD"/>
    <w:rsid w:val="00771FA6"/>
    <w:rsid w:val="00772206"/>
    <w:rsid w:val="00773933"/>
    <w:rsid w:val="00774106"/>
    <w:rsid w:val="00774631"/>
    <w:rsid w:val="007758DB"/>
    <w:rsid w:val="007762AE"/>
    <w:rsid w:val="007767F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294"/>
    <w:rsid w:val="007926C9"/>
    <w:rsid w:val="00792B67"/>
    <w:rsid w:val="00794329"/>
    <w:rsid w:val="00794DCE"/>
    <w:rsid w:val="00795BB3"/>
    <w:rsid w:val="00795C65"/>
    <w:rsid w:val="0079721C"/>
    <w:rsid w:val="00797D5C"/>
    <w:rsid w:val="007A02C8"/>
    <w:rsid w:val="007A0F4C"/>
    <w:rsid w:val="007A15C8"/>
    <w:rsid w:val="007A24D5"/>
    <w:rsid w:val="007A2824"/>
    <w:rsid w:val="007A29A7"/>
    <w:rsid w:val="007A38EA"/>
    <w:rsid w:val="007A4E0C"/>
    <w:rsid w:val="007A52B5"/>
    <w:rsid w:val="007A53C9"/>
    <w:rsid w:val="007A55AD"/>
    <w:rsid w:val="007A6701"/>
    <w:rsid w:val="007A6832"/>
    <w:rsid w:val="007A686F"/>
    <w:rsid w:val="007A69E5"/>
    <w:rsid w:val="007A7D76"/>
    <w:rsid w:val="007B0718"/>
    <w:rsid w:val="007B0F1A"/>
    <w:rsid w:val="007B1713"/>
    <w:rsid w:val="007B1E53"/>
    <w:rsid w:val="007B256C"/>
    <w:rsid w:val="007B4C46"/>
    <w:rsid w:val="007B5C46"/>
    <w:rsid w:val="007B667F"/>
    <w:rsid w:val="007B66AB"/>
    <w:rsid w:val="007B6CCA"/>
    <w:rsid w:val="007C000C"/>
    <w:rsid w:val="007C0DFA"/>
    <w:rsid w:val="007C1D02"/>
    <w:rsid w:val="007C2845"/>
    <w:rsid w:val="007C2CEF"/>
    <w:rsid w:val="007C34ED"/>
    <w:rsid w:val="007C561B"/>
    <w:rsid w:val="007C5878"/>
    <w:rsid w:val="007C5EA4"/>
    <w:rsid w:val="007C643C"/>
    <w:rsid w:val="007C69B8"/>
    <w:rsid w:val="007C6FDF"/>
    <w:rsid w:val="007D0007"/>
    <w:rsid w:val="007D03E1"/>
    <w:rsid w:val="007D0B9B"/>
    <w:rsid w:val="007D13F2"/>
    <w:rsid w:val="007D28E2"/>
    <w:rsid w:val="007D2C82"/>
    <w:rsid w:val="007D30D4"/>
    <w:rsid w:val="007D49A1"/>
    <w:rsid w:val="007D4B62"/>
    <w:rsid w:val="007D4C55"/>
    <w:rsid w:val="007D4EAD"/>
    <w:rsid w:val="007D58CD"/>
    <w:rsid w:val="007D620F"/>
    <w:rsid w:val="007E0074"/>
    <w:rsid w:val="007E13D3"/>
    <w:rsid w:val="007E1F37"/>
    <w:rsid w:val="007E21B1"/>
    <w:rsid w:val="007E23E3"/>
    <w:rsid w:val="007E2A2B"/>
    <w:rsid w:val="007E3C9C"/>
    <w:rsid w:val="007E3FA2"/>
    <w:rsid w:val="007E44C0"/>
    <w:rsid w:val="007E49E3"/>
    <w:rsid w:val="007E665F"/>
    <w:rsid w:val="007E7338"/>
    <w:rsid w:val="007E75AC"/>
    <w:rsid w:val="007E75BF"/>
    <w:rsid w:val="007E7E75"/>
    <w:rsid w:val="007F072E"/>
    <w:rsid w:val="007F078C"/>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E01"/>
    <w:rsid w:val="00816F78"/>
    <w:rsid w:val="00817EC7"/>
    <w:rsid w:val="008201C3"/>
    <w:rsid w:val="008206CA"/>
    <w:rsid w:val="00820D51"/>
    <w:rsid w:val="00822F64"/>
    <w:rsid w:val="00822F9D"/>
    <w:rsid w:val="008231B1"/>
    <w:rsid w:val="008242CC"/>
    <w:rsid w:val="00824D1D"/>
    <w:rsid w:val="008250B2"/>
    <w:rsid w:val="008251A8"/>
    <w:rsid w:val="0082558F"/>
    <w:rsid w:val="008255C6"/>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269"/>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907"/>
    <w:rsid w:val="008470DD"/>
    <w:rsid w:val="0084737D"/>
    <w:rsid w:val="00847403"/>
    <w:rsid w:val="0084797F"/>
    <w:rsid w:val="00847D9A"/>
    <w:rsid w:val="008513C3"/>
    <w:rsid w:val="008527D1"/>
    <w:rsid w:val="00852902"/>
    <w:rsid w:val="00855123"/>
    <w:rsid w:val="008559EC"/>
    <w:rsid w:val="00860E14"/>
    <w:rsid w:val="00861114"/>
    <w:rsid w:val="008624BD"/>
    <w:rsid w:val="008638C5"/>
    <w:rsid w:val="0086448F"/>
    <w:rsid w:val="00864877"/>
    <w:rsid w:val="00865409"/>
    <w:rsid w:val="0086581A"/>
    <w:rsid w:val="00865FE5"/>
    <w:rsid w:val="0086789D"/>
    <w:rsid w:val="008679BB"/>
    <w:rsid w:val="008715E6"/>
    <w:rsid w:val="0087181E"/>
    <w:rsid w:val="00871FD1"/>
    <w:rsid w:val="00872007"/>
    <w:rsid w:val="00872775"/>
    <w:rsid w:val="008737F5"/>
    <w:rsid w:val="008737F8"/>
    <w:rsid w:val="00873C4C"/>
    <w:rsid w:val="00873D4A"/>
    <w:rsid w:val="00874924"/>
    <w:rsid w:val="00874978"/>
    <w:rsid w:val="00874EC1"/>
    <w:rsid w:val="00876B8B"/>
    <w:rsid w:val="0087707D"/>
    <w:rsid w:val="0088017E"/>
    <w:rsid w:val="00880A5C"/>
    <w:rsid w:val="00881054"/>
    <w:rsid w:val="008815DF"/>
    <w:rsid w:val="0088266F"/>
    <w:rsid w:val="00882C64"/>
    <w:rsid w:val="00883EEA"/>
    <w:rsid w:val="00884341"/>
    <w:rsid w:val="00884A78"/>
    <w:rsid w:val="00885132"/>
    <w:rsid w:val="00885434"/>
    <w:rsid w:val="00886E5B"/>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74C6"/>
    <w:rsid w:val="008E768C"/>
    <w:rsid w:val="008F1204"/>
    <w:rsid w:val="008F1606"/>
    <w:rsid w:val="008F1CD8"/>
    <w:rsid w:val="008F35A7"/>
    <w:rsid w:val="008F3CB5"/>
    <w:rsid w:val="008F4031"/>
    <w:rsid w:val="008F4594"/>
    <w:rsid w:val="008F4615"/>
    <w:rsid w:val="008F6117"/>
    <w:rsid w:val="008F70F0"/>
    <w:rsid w:val="008F72C1"/>
    <w:rsid w:val="0090069F"/>
    <w:rsid w:val="009022EF"/>
    <w:rsid w:val="009046BB"/>
    <w:rsid w:val="00904BA8"/>
    <w:rsid w:val="00904E12"/>
    <w:rsid w:val="00905DF3"/>
    <w:rsid w:val="00905E8D"/>
    <w:rsid w:val="0090643A"/>
    <w:rsid w:val="00906918"/>
    <w:rsid w:val="00907291"/>
    <w:rsid w:val="009079A6"/>
    <w:rsid w:val="0091008D"/>
    <w:rsid w:val="0091182C"/>
    <w:rsid w:val="009124C8"/>
    <w:rsid w:val="009127AC"/>
    <w:rsid w:val="009132E0"/>
    <w:rsid w:val="009138B4"/>
    <w:rsid w:val="00914139"/>
    <w:rsid w:val="009144B2"/>
    <w:rsid w:val="0091559D"/>
    <w:rsid w:val="009170A9"/>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26FC2"/>
    <w:rsid w:val="00930869"/>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7752"/>
    <w:rsid w:val="009502A3"/>
    <w:rsid w:val="00950569"/>
    <w:rsid w:val="00950B72"/>
    <w:rsid w:val="00950D9E"/>
    <w:rsid w:val="009519A2"/>
    <w:rsid w:val="00951B52"/>
    <w:rsid w:val="009525B2"/>
    <w:rsid w:val="00954254"/>
    <w:rsid w:val="00954AA1"/>
    <w:rsid w:val="00955325"/>
    <w:rsid w:val="00956112"/>
    <w:rsid w:val="0095614C"/>
    <w:rsid w:val="00956FFF"/>
    <w:rsid w:val="00957611"/>
    <w:rsid w:val="00961224"/>
    <w:rsid w:val="009618CC"/>
    <w:rsid w:val="009621B8"/>
    <w:rsid w:val="009628F4"/>
    <w:rsid w:val="0096396C"/>
    <w:rsid w:val="009640B5"/>
    <w:rsid w:val="0096499D"/>
    <w:rsid w:val="00965339"/>
    <w:rsid w:val="00965B5F"/>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868"/>
    <w:rsid w:val="00980B01"/>
    <w:rsid w:val="00980C43"/>
    <w:rsid w:val="00980F1D"/>
    <w:rsid w:val="00981B20"/>
    <w:rsid w:val="00983905"/>
    <w:rsid w:val="00984254"/>
    <w:rsid w:val="00984D91"/>
    <w:rsid w:val="009865BA"/>
    <w:rsid w:val="0098669A"/>
    <w:rsid w:val="00987023"/>
    <w:rsid w:val="00987E77"/>
    <w:rsid w:val="00990EC9"/>
    <w:rsid w:val="0099109F"/>
    <w:rsid w:val="0099201D"/>
    <w:rsid w:val="009924FD"/>
    <w:rsid w:val="009929C6"/>
    <w:rsid w:val="0099327C"/>
    <w:rsid w:val="00993563"/>
    <w:rsid w:val="009939A4"/>
    <w:rsid w:val="00993C48"/>
    <w:rsid w:val="0099484D"/>
    <w:rsid w:val="009957E8"/>
    <w:rsid w:val="009963BA"/>
    <w:rsid w:val="009965C8"/>
    <w:rsid w:val="00996776"/>
    <w:rsid w:val="00996BE5"/>
    <w:rsid w:val="009A04FA"/>
    <w:rsid w:val="009A2D7C"/>
    <w:rsid w:val="009A3913"/>
    <w:rsid w:val="009A477C"/>
    <w:rsid w:val="009A4C66"/>
    <w:rsid w:val="009A4EC1"/>
    <w:rsid w:val="009A4F34"/>
    <w:rsid w:val="009A548B"/>
    <w:rsid w:val="009A5789"/>
    <w:rsid w:val="009A5866"/>
    <w:rsid w:val="009A5C36"/>
    <w:rsid w:val="009A60BD"/>
    <w:rsid w:val="009A6A3F"/>
    <w:rsid w:val="009A6BC1"/>
    <w:rsid w:val="009A7063"/>
    <w:rsid w:val="009B0504"/>
    <w:rsid w:val="009B0C66"/>
    <w:rsid w:val="009B1341"/>
    <w:rsid w:val="009B1D0B"/>
    <w:rsid w:val="009B21F1"/>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6FFD"/>
    <w:rsid w:val="009C7252"/>
    <w:rsid w:val="009C73A1"/>
    <w:rsid w:val="009D02D8"/>
    <w:rsid w:val="009D13D1"/>
    <w:rsid w:val="009D2227"/>
    <w:rsid w:val="009D3191"/>
    <w:rsid w:val="009D3E99"/>
    <w:rsid w:val="009D4292"/>
    <w:rsid w:val="009D47AC"/>
    <w:rsid w:val="009D4C0B"/>
    <w:rsid w:val="009D4C85"/>
    <w:rsid w:val="009D6B67"/>
    <w:rsid w:val="009D73CE"/>
    <w:rsid w:val="009E1118"/>
    <w:rsid w:val="009E2D17"/>
    <w:rsid w:val="009E4004"/>
    <w:rsid w:val="009E4007"/>
    <w:rsid w:val="009E5030"/>
    <w:rsid w:val="009E579C"/>
    <w:rsid w:val="009E5A6D"/>
    <w:rsid w:val="009E5AF6"/>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922"/>
    <w:rsid w:val="00A02EF5"/>
    <w:rsid w:val="00A0395C"/>
    <w:rsid w:val="00A03B46"/>
    <w:rsid w:val="00A03DDC"/>
    <w:rsid w:val="00A03F66"/>
    <w:rsid w:val="00A04559"/>
    <w:rsid w:val="00A04560"/>
    <w:rsid w:val="00A04586"/>
    <w:rsid w:val="00A04BCF"/>
    <w:rsid w:val="00A067FA"/>
    <w:rsid w:val="00A06C14"/>
    <w:rsid w:val="00A06EF9"/>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54DF"/>
    <w:rsid w:val="00A1694C"/>
    <w:rsid w:val="00A171DD"/>
    <w:rsid w:val="00A175B0"/>
    <w:rsid w:val="00A17812"/>
    <w:rsid w:val="00A20338"/>
    <w:rsid w:val="00A215C9"/>
    <w:rsid w:val="00A216DB"/>
    <w:rsid w:val="00A22B29"/>
    <w:rsid w:val="00A22B81"/>
    <w:rsid w:val="00A233ED"/>
    <w:rsid w:val="00A23475"/>
    <w:rsid w:val="00A23DBB"/>
    <w:rsid w:val="00A24EE2"/>
    <w:rsid w:val="00A253DA"/>
    <w:rsid w:val="00A25670"/>
    <w:rsid w:val="00A25A37"/>
    <w:rsid w:val="00A25BFB"/>
    <w:rsid w:val="00A26284"/>
    <w:rsid w:val="00A26341"/>
    <w:rsid w:val="00A26A60"/>
    <w:rsid w:val="00A27DE8"/>
    <w:rsid w:val="00A27E54"/>
    <w:rsid w:val="00A30407"/>
    <w:rsid w:val="00A31612"/>
    <w:rsid w:val="00A317B8"/>
    <w:rsid w:val="00A31B9C"/>
    <w:rsid w:val="00A320B7"/>
    <w:rsid w:val="00A341D5"/>
    <w:rsid w:val="00A352D0"/>
    <w:rsid w:val="00A3546A"/>
    <w:rsid w:val="00A35DC9"/>
    <w:rsid w:val="00A36020"/>
    <w:rsid w:val="00A37D56"/>
    <w:rsid w:val="00A4172F"/>
    <w:rsid w:val="00A4210E"/>
    <w:rsid w:val="00A43B6B"/>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2F91"/>
    <w:rsid w:val="00A64741"/>
    <w:rsid w:val="00A64916"/>
    <w:rsid w:val="00A64B25"/>
    <w:rsid w:val="00A64DAE"/>
    <w:rsid w:val="00A65B45"/>
    <w:rsid w:val="00A66785"/>
    <w:rsid w:val="00A66941"/>
    <w:rsid w:val="00A70F57"/>
    <w:rsid w:val="00A721E3"/>
    <w:rsid w:val="00A732B7"/>
    <w:rsid w:val="00A73663"/>
    <w:rsid w:val="00A75AD1"/>
    <w:rsid w:val="00A760BC"/>
    <w:rsid w:val="00A76B79"/>
    <w:rsid w:val="00A76C52"/>
    <w:rsid w:val="00A76D83"/>
    <w:rsid w:val="00A77188"/>
    <w:rsid w:val="00A774A4"/>
    <w:rsid w:val="00A803EC"/>
    <w:rsid w:val="00A80A0D"/>
    <w:rsid w:val="00A81026"/>
    <w:rsid w:val="00A81601"/>
    <w:rsid w:val="00A8244E"/>
    <w:rsid w:val="00A82545"/>
    <w:rsid w:val="00A8342D"/>
    <w:rsid w:val="00A836BE"/>
    <w:rsid w:val="00A83747"/>
    <w:rsid w:val="00A83CB6"/>
    <w:rsid w:val="00A84233"/>
    <w:rsid w:val="00A846F2"/>
    <w:rsid w:val="00A847C7"/>
    <w:rsid w:val="00A84979"/>
    <w:rsid w:val="00A8780A"/>
    <w:rsid w:val="00A87E33"/>
    <w:rsid w:val="00A87F65"/>
    <w:rsid w:val="00A904B9"/>
    <w:rsid w:val="00A908FA"/>
    <w:rsid w:val="00A91550"/>
    <w:rsid w:val="00A91B7E"/>
    <w:rsid w:val="00A91F68"/>
    <w:rsid w:val="00A926EB"/>
    <w:rsid w:val="00A92830"/>
    <w:rsid w:val="00A93110"/>
    <w:rsid w:val="00A93189"/>
    <w:rsid w:val="00A9352B"/>
    <w:rsid w:val="00A93834"/>
    <w:rsid w:val="00A93C14"/>
    <w:rsid w:val="00A96214"/>
    <w:rsid w:val="00A964A6"/>
    <w:rsid w:val="00A97F2D"/>
    <w:rsid w:val="00AA116C"/>
    <w:rsid w:val="00AA1806"/>
    <w:rsid w:val="00AA193B"/>
    <w:rsid w:val="00AA1A0C"/>
    <w:rsid w:val="00AA2E72"/>
    <w:rsid w:val="00AA2EE4"/>
    <w:rsid w:val="00AA3B9B"/>
    <w:rsid w:val="00AA3B9E"/>
    <w:rsid w:val="00AA3EBA"/>
    <w:rsid w:val="00AA3F05"/>
    <w:rsid w:val="00AA420E"/>
    <w:rsid w:val="00AA427C"/>
    <w:rsid w:val="00AA4364"/>
    <w:rsid w:val="00AA4874"/>
    <w:rsid w:val="00AA5ACF"/>
    <w:rsid w:val="00AA6174"/>
    <w:rsid w:val="00AA674C"/>
    <w:rsid w:val="00AA695D"/>
    <w:rsid w:val="00AA6DB1"/>
    <w:rsid w:val="00AA71CC"/>
    <w:rsid w:val="00AB069B"/>
    <w:rsid w:val="00AB1BDA"/>
    <w:rsid w:val="00AB1D43"/>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BC5"/>
    <w:rsid w:val="00AD1CE4"/>
    <w:rsid w:val="00AD1E6B"/>
    <w:rsid w:val="00AD276B"/>
    <w:rsid w:val="00AD2E82"/>
    <w:rsid w:val="00AD4178"/>
    <w:rsid w:val="00AD4BDE"/>
    <w:rsid w:val="00AD4C7C"/>
    <w:rsid w:val="00AD5339"/>
    <w:rsid w:val="00AD5A2A"/>
    <w:rsid w:val="00AD614F"/>
    <w:rsid w:val="00AD6C92"/>
    <w:rsid w:val="00AD7E80"/>
    <w:rsid w:val="00AE05E3"/>
    <w:rsid w:val="00AE12E3"/>
    <w:rsid w:val="00AE133D"/>
    <w:rsid w:val="00AE40D3"/>
    <w:rsid w:val="00AE4C41"/>
    <w:rsid w:val="00AE5FF3"/>
    <w:rsid w:val="00AE611A"/>
    <w:rsid w:val="00AF14DE"/>
    <w:rsid w:val="00AF17E4"/>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2FB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556"/>
    <w:rsid w:val="00B30BCC"/>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35A0"/>
    <w:rsid w:val="00B44896"/>
    <w:rsid w:val="00B459B8"/>
    <w:rsid w:val="00B46AA0"/>
    <w:rsid w:val="00B47DA9"/>
    <w:rsid w:val="00B5008E"/>
    <w:rsid w:val="00B5023E"/>
    <w:rsid w:val="00B50964"/>
    <w:rsid w:val="00B509E4"/>
    <w:rsid w:val="00B511C1"/>
    <w:rsid w:val="00B51A39"/>
    <w:rsid w:val="00B527CC"/>
    <w:rsid w:val="00B5334C"/>
    <w:rsid w:val="00B53573"/>
    <w:rsid w:val="00B56746"/>
    <w:rsid w:val="00B57758"/>
    <w:rsid w:val="00B57A3C"/>
    <w:rsid w:val="00B6043D"/>
    <w:rsid w:val="00B61874"/>
    <w:rsid w:val="00B624B8"/>
    <w:rsid w:val="00B62B56"/>
    <w:rsid w:val="00B6320F"/>
    <w:rsid w:val="00B635C0"/>
    <w:rsid w:val="00B63666"/>
    <w:rsid w:val="00B63751"/>
    <w:rsid w:val="00B64417"/>
    <w:rsid w:val="00B648AB"/>
    <w:rsid w:val="00B66045"/>
    <w:rsid w:val="00B674FD"/>
    <w:rsid w:val="00B6765C"/>
    <w:rsid w:val="00B700E1"/>
    <w:rsid w:val="00B70501"/>
    <w:rsid w:val="00B71846"/>
    <w:rsid w:val="00B71980"/>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E46"/>
    <w:rsid w:val="00B86145"/>
    <w:rsid w:val="00B875D8"/>
    <w:rsid w:val="00B9068B"/>
    <w:rsid w:val="00B9133A"/>
    <w:rsid w:val="00B9145F"/>
    <w:rsid w:val="00B921FA"/>
    <w:rsid w:val="00B925C8"/>
    <w:rsid w:val="00B93718"/>
    <w:rsid w:val="00B93960"/>
    <w:rsid w:val="00B93D2D"/>
    <w:rsid w:val="00B95072"/>
    <w:rsid w:val="00B97127"/>
    <w:rsid w:val="00B9761B"/>
    <w:rsid w:val="00B97D88"/>
    <w:rsid w:val="00BA0B73"/>
    <w:rsid w:val="00BA107A"/>
    <w:rsid w:val="00BA1BA2"/>
    <w:rsid w:val="00BA1DA3"/>
    <w:rsid w:val="00BA2853"/>
    <w:rsid w:val="00BA31EC"/>
    <w:rsid w:val="00BA377B"/>
    <w:rsid w:val="00BA3E02"/>
    <w:rsid w:val="00BA3F59"/>
    <w:rsid w:val="00BA517F"/>
    <w:rsid w:val="00BA5ECA"/>
    <w:rsid w:val="00BA65E4"/>
    <w:rsid w:val="00BA71CC"/>
    <w:rsid w:val="00BA75F7"/>
    <w:rsid w:val="00BB1833"/>
    <w:rsid w:val="00BB1BDA"/>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20EE"/>
    <w:rsid w:val="00BC2CE8"/>
    <w:rsid w:val="00BC38B4"/>
    <w:rsid w:val="00BC4460"/>
    <w:rsid w:val="00BC6DF6"/>
    <w:rsid w:val="00BC7255"/>
    <w:rsid w:val="00BD18E6"/>
    <w:rsid w:val="00BD30FA"/>
    <w:rsid w:val="00BD32E4"/>
    <w:rsid w:val="00BD35DF"/>
    <w:rsid w:val="00BD3DB3"/>
    <w:rsid w:val="00BD40C4"/>
    <w:rsid w:val="00BD4468"/>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250"/>
    <w:rsid w:val="00BF3998"/>
    <w:rsid w:val="00BF4664"/>
    <w:rsid w:val="00BF4A8C"/>
    <w:rsid w:val="00BF51F0"/>
    <w:rsid w:val="00BF56D6"/>
    <w:rsid w:val="00BF6F77"/>
    <w:rsid w:val="00BF77A7"/>
    <w:rsid w:val="00BF79AA"/>
    <w:rsid w:val="00C00455"/>
    <w:rsid w:val="00C00746"/>
    <w:rsid w:val="00C0158B"/>
    <w:rsid w:val="00C018C0"/>
    <w:rsid w:val="00C02E0A"/>
    <w:rsid w:val="00C034F6"/>
    <w:rsid w:val="00C0422C"/>
    <w:rsid w:val="00C048EB"/>
    <w:rsid w:val="00C04C09"/>
    <w:rsid w:val="00C04EE8"/>
    <w:rsid w:val="00C0535A"/>
    <w:rsid w:val="00C058A1"/>
    <w:rsid w:val="00C062FD"/>
    <w:rsid w:val="00C0701A"/>
    <w:rsid w:val="00C075E2"/>
    <w:rsid w:val="00C11597"/>
    <w:rsid w:val="00C1181E"/>
    <w:rsid w:val="00C1183B"/>
    <w:rsid w:val="00C12346"/>
    <w:rsid w:val="00C129FD"/>
    <w:rsid w:val="00C12C78"/>
    <w:rsid w:val="00C12CAD"/>
    <w:rsid w:val="00C138ED"/>
    <w:rsid w:val="00C147D0"/>
    <w:rsid w:val="00C14AF5"/>
    <w:rsid w:val="00C14C72"/>
    <w:rsid w:val="00C156BB"/>
    <w:rsid w:val="00C16508"/>
    <w:rsid w:val="00C165C5"/>
    <w:rsid w:val="00C1733A"/>
    <w:rsid w:val="00C211EC"/>
    <w:rsid w:val="00C21833"/>
    <w:rsid w:val="00C21E62"/>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839"/>
    <w:rsid w:val="00C33A75"/>
    <w:rsid w:val="00C36923"/>
    <w:rsid w:val="00C36EF5"/>
    <w:rsid w:val="00C407F5"/>
    <w:rsid w:val="00C40BDD"/>
    <w:rsid w:val="00C418DB"/>
    <w:rsid w:val="00C41EB7"/>
    <w:rsid w:val="00C42A26"/>
    <w:rsid w:val="00C4322D"/>
    <w:rsid w:val="00C43867"/>
    <w:rsid w:val="00C43C97"/>
    <w:rsid w:val="00C4441D"/>
    <w:rsid w:val="00C44740"/>
    <w:rsid w:val="00C45154"/>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625"/>
    <w:rsid w:val="00C617FA"/>
    <w:rsid w:val="00C61AFE"/>
    <w:rsid w:val="00C63E5B"/>
    <w:rsid w:val="00C64688"/>
    <w:rsid w:val="00C65757"/>
    <w:rsid w:val="00C6589E"/>
    <w:rsid w:val="00C66127"/>
    <w:rsid w:val="00C662D4"/>
    <w:rsid w:val="00C67A30"/>
    <w:rsid w:val="00C67A47"/>
    <w:rsid w:val="00C706A0"/>
    <w:rsid w:val="00C70E4A"/>
    <w:rsid w:val="00C716D9"/>
    <w:rsid w:val="00C718E6"/>
    <w:rsid w:val="00C71AAA"/>
    <w:rsid w:val="00C71B57"/>
    <w:rsid w:val="00C72E1C"/>
    <w:rsid w:val="00C73CD5"/>
    <w:rsid w:val="00C75EF4"/>
    <w:rsid w:val="00C7775E"/>
    <w:rsid w:val="00C802DB"/>
    <w:rsid w:val="00C80333"/>
    <w:rsid w:val="00C80609"/>
    <w:rsid w:val="00C808FB"/>
    <w:rsid w:val="00C81698"/>
    <w:rsid w:val="00C8287B"/>
    <w:rsid w:val="00C836B0"/>
    <w:rsid w:val="00C83F69"/>
    <w:rsid w:val="00C84007"/>
    <w:rsid w:val="00C848CC"/>
    <w:rsid w:val="00C84CC1"/>
    <w:rsid w:val="00C8515B"/>
    <w:rsid w:val="00C852C0"/>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4DF1"/>
    <w:rsid w:val="00C95122"/>
    <w:rsid w:val="00C9643A"/>
    <w:rsid w:val="00C965AA"/>
    <w:rsid w:val="00C96946"/>
    <w:rsid w:val="00C96E4A"/>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9E7"/>
    <w:rsid w:val="00CB5174"/>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999"/>
    <w:rsid w:val="00CD4AF9"/>
    <w:rsid w:val="00CD4CAA"/>
    <w:rsid w:val="00CD4EE6"/>
    <w:rsid w:val="00CD4FC0"/>
    <w:rsid w:val="00CD53F6"/>
    <w:rsid w:val="00CD547E"/>
    <w:rsid w:val="00CD5BDF"/>
    <w:rsid w:val="00CD66FA"/>
    <w:rsid w:val="00CD7282"/>
    <w:rsid w:val="00CD778F"/>
    <w:rsid w:val="00CE1A33"/>
    <w:rsid w:val="00CE1C80"/>
    <w:rsid w:val="00CE1EF9"/>
    <w:rsid w:val="00CE2E8B"/>
    <w:rsid w:val="00CE32E1"/>
    <w:rsid w:val="00CE412A"/>
    <w:rsid w:val="00CE4420"/>
    <w:rsid w:val="00CE4F5F"/>
    <w:rsid w:val="00CE52C1"/>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179"/>
    <w:rsid w:val="00CF531A"/>
    <w:rsid w:val="00CF6A8F"/>
    <w:rsid w:val="00CF710C"/>
    <w:rsid w:val="00D001B2"/>
    <w:rsid w:val="00D0030B"/>
    <w:rsid w:val="00D00505"/>
    <w:rsid w:val="00D00A7E"/>
    <w:rsid w:val="00D00D06"/>
    <w:rsid w:val="00D00F13"/>
    <w:rsid w:val="00D0196E"/>
    <w:rsid w:val="00D02900"/>
    <w:rsid w:val="00D02A54"/>
    <w:rsid w:val="00D02CB7"/>
    <w:rsid w:val="00D03E87"/>
    <w:rsid w:val="00D0413C"/>
    <w:rsid w:val="00D04B89"/>
    <w:rsid w:val="00D05655"/>
    <w:rsid w:val="00D05901"/>
    <w:rsid w:val="00D05AA0"/>
    <w:rsid w:val="00D062BB"/>
    <w:rsid w:val="00D07873"/>
    <w:rsid w:val="00D07A65"/>
    <w:rsid w:val="00D07DA1"/>
    <w:rsid w:val="00D10B57"/>
    <w:rsid w:val="00D118F4"/>
    <w:rsid w:val="00D11DC8"/>
    <w:rsid w:val="00D11DEB"/>
    <w:rsid w:val="00D124EA"/>
    <w:rsid w:val="00D127AD"/>
    <w:rsid w:val="00D127FF"/>
    <w:rsid w:val="00D145BA"/>
    <w:rsid w:val="00D147B2"/>
    <w:rsid w:val="00D14B04"/>
    <w:rsid w:val="00D14BCD"/>
    <w:rsid w:val="00D14CAA"/>
    <w:rsid w:val="00D14D14"/>
    <w:rsid w:val="00D153C7"/>
    <w:rsid w:val="00D15BC5"/>
    <w:rsid w:val="00D15E09"/>
    <w:rsid w:val="00D163D7"/>
    <w:rsid w:val="00D16679"/>
    <w:rsid w:val="00D16896"/>
    <w:rsid w:val="00D16CC8"/>
    <w:rsid w:val="00D178E0"/>
    <w:rsid w:val="00D17C5D"/>
    <w:rsid w:val="00D207F1"/>
    <w:rsid w:val="00D20A98"/>
    <w:rsid w:val="00D2233B"/>
    <w:rsid w:val="00D2261E"/>
    <w:rsid w:val="00D2281F"/>
    <w:rsid w:val="00D22A1B"/>
    <w:rsid w:val="00D234BC"/>
    <w:rsid w:val="00D2486D"/>
    <w:rsid w:val="00D25FAB"/>
    <w:rsid w:val="00D2688A"/>
    <w:rsid w:val="00D27F97"/>
    <w:rsid w:val="00D31DB8"/>
    <w:rsid w:val="00D3207C"/>
    <w:rsid w:val="00D32A24"/>
    <w:rsid w:val="00D34B28"/>
    <w:rsid w:val="00D35BBF"/>
    <w:rsid w:val="00D35F5C"/>
    <w:rsid w:val="00D42A60"/>
    <w:rsid w:val="00D445BB"/>
    <w:rsid w:val="00D4472F"/>
    <w:rsid w:val="00D44827"/>
    <w:rsid w:val="00D44A7C"/>
    <w:rsid w:val="00D44F60"/>
    <w:rsid w:val="00D45412"/>
    <w:rsid w:val="00D4570D"/>
    <w:rsid w:val="00D4575B"/>
    <w:rsid w:val="00D45DCD"/>
    <w:rsid w:val="00D465D2"/>
    <w:rsid w:val="00D4692C"/>
    <w:rsid w:val="00D46DB8"/>
    <w:rsid w:val="00D47245"/>
    <w:rsid w:val="00D50973"/>
    <w:rsid w:val="00D526DA"/>
    <w:rsid w:val="00D5460B"/>
    <w:rsid w:val="00D54924"/>
    <w:rsid w:val="00D55EB2"/>
    <w:rsid w:val="00D566C9"/>
    <w:rsid w:val="00D570A7"/>
    <w:rsid w:val="00D61644"/>
    <w:rsid w:val="00D62F31"/>
    <w:rsid w:val="00D631D0"/>
    <w:rsid w:val="00D64025"/>
    <w:rsid w:val="00D6464F"/>
    <w:rsid w:val="00D64FE6"/>
    <w:rsid w:val="00D65904"/>
    <w:rsid w:val="00D65A96"/>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9F3"/>
    <w:rsid w:val="00D74A0A"/>
    <w:rsid w:val="00D76C00"/>
    <w:rsid w:val="00D77194"/>
    <w:rsid w:val="00D774AA"/>
    <w:rsid w:val="00D777B2"/>
    <w:rsid w:val="00D77C2B"/>
    <w:rsid w:val="00D77D56"/>
    <w:rsid w:val="00D81AF3"/>
    <w:rsid w:val="00D81D47"/>
    <w:rsid w:val="00D8300D"/>
    <w:rsid w:val="00D838F0"/>
    <w:rsid w:val="00D83F96"/>
    <w:rsid w:val="00D84153"/>
    <w:rsid w:val="00D85C90"/>
    <w:rsid w:val="00D8767A"/>
    <w:rsid w:val="00D8783B"/>
    <w:rsid w:val="00D90741"/>
    <w:rsid w:val="00D91A4C"/>
    <w:rsid w:val="00D91E34"/>
    <w:rsid w:val="00D932F1"/>
    <w:rsid w:val="00D93B9E"/>
    <w:rsid w:val="00D95390"/>
    <w:rsid w:val="00D96459"/>
    <w:rsid w:val="00D9670A"/>
    <w:rsid w:val="00D96EB7"/>
    <w:rsid w:val="00D97A83"/>
    <w:rsid w:val="00D97B00"/>
    <w:rsid w:val="00D97D93"/>
    <w:rsid w:val="00DA0621"/>
    <w:rsid w:val="00DA0C75"/>
    <w:rsid w:val="00DA1B36"/>
    <w:rsid w:val="00DA3020"/>
    <w:rsid w:val="00DA3683"/>
    <w:rsid w:val="00DA3DA2"/>
    <w:rsid w:val="00DA468A"/>
    <w:rsid w:val="00DA493E"/>
    <w:rsid w:val="00DA4DB7"/>
    <w:rsid w:val="00DA5373"/>
    <w:rsid w:val="00DA5419"/>
    <w:rsid w:val="00DA5431"/>
    <w:rsid w:val="00DA5ABB"/>
    <w:rsid w:val="00DA60AA"/>
    <w:rsid w:val="00DA6337"/>
    <w:rsid w:val="00DA6487"/>
    <w:rsid w:val="00DA71C3"/>
    <w:rsid w:val="00DA7217"/>
    <w:rsid w:val="00DA7720"/>
    <w:rsid w:val="00DA7F0C"/>
    <w:rsid w:val="00DB0232"/>
    <w:rsid w:val="00DB0E6A"/>
    <w:rsid w:val="00DB19EC"/>
    <w:rsid w:val="00DB1DB7"/>
    <w:rsid w:val="00DB1F4C"/>
    <w:rsid w:val="00DB1FF9"/>
    <w:rsid w:val="00DB53AC"/>
    <w:rsid w:val="00DB5439"/>
    <w:rsid w:val="00DB63FC"/>
    <w:rsid w:val="00DB7A82"/>
    <w:rsid w:val="00DC0730"/>
    <w:rsid w:val="00DC106A"/>
    <w:rsid w:val="00DC5469"/>
    <w:rsid w:val="00DC5A7B"/>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B14"/>
    <w:rsid w:val="00DE104F"/>
    <w:rsid w:val="00DE1517"/>
    <w:rsid w:val="00DE170B"/>
    <w:rsid w:val="00DE19AF"/>
    <w:rsid w:val="00DE22F0"/>
    <w:rsid w:val="00DE23AD"/>
    <w:rsid w:val="00DE263D"/>
    <w:rsid w:val="00DE304F"/>
    <w:rsid w:val="00DE32ED"/>
    <w:rsid w:val="00DE4357"/>
    <w:rsid w:val="00DE4EDB"/>
    <w:rsid w:val="00DE500F"/>
    <w:rsid w:val="00DE5BEC"/>
    <w:rsid w:val="00DE7477"/>
    <w:rsid w:val="00DE754E"/>
    <w:rsid w:val="00DF0854"/>
    <w:rsid w:val="00DF2556"/>
    <w:rsid w:val="00DF3117"/>
    <w:rsid w:val="00DF6158"/>
    <w:rsid w:val="00DF6BA6"/>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0B30"/>
    <w:rsid w:val="00E116DD"/>
    <w:rsid w:val="00E121F3"/>
    <w:rsid w:val="00E12616"/>
    <w:rsid w:val="00E13352"/>
    <w:rsid w:val="00E136B8"/>
    <w:rsid w:val="00E14D18"/>
    <w:rsid w:val="00E14F86"/>
    <w:rsid w:val="00E1651A"/>
    <w:rsid w:val="00E169A5"/>
    <w:rsid w:val="00E17B91"/>
    <w:rsid w:val="00E22DDD"/>
    <w:rsid w:val="00E237E3"/>
    <w:rsid w:val="00E24110"/>
    <w:rsid w:val="00E24FB8"/>
    <w:rsid w:val="00E25439"/>
    <w:rsid w:val="00E2633B"/>
    <w:rsid w:val="00E26BA0"/>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542D"/>
    <w:rsid w:val="00E47129"/>
    <w:rsid w:val="00E47442"/>
    <w:rsid w:val="00E47C54"/>
    <w:rsid w:val="00E47D0D"/>
    <w:rsid w:val="00E50221"/>
    <w:rsid w:val="00E5023F"/>
    <w:rsid w:val="00E505A0"/>
    <w:rsid w:val="00E507EF"/>
    <w:rsid w:val="00E508E0"/>
    <w:rsid w:val="00E509FA"/>
    <w:rsid w:val="00E50D6A"/>
    <w:rsid w:val="00E51B2D"/>
    <w:rsid w:val="00E525BD"/>
    <w:rsid w:val="00E55335"/>
    <w:rsid w:val="00E5562F"/>
    <w:rsid w:val="00E55C63"/>
    <w:rsid w:val="00E567CC"/>
    <w:rsid w:val="00E56839"/>
    <w:rsid w:val="00E56853"/>
    <w:rsid w:val="00E5691C"/>
    <w:rsid w:val="00E56A2A"/>
    <w:rsid w:val="00E57B1E"/>
    <w:rsid w:val="00E57C38"/>
    <w:rsid w:val="00E607A0"/>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3030"/>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522D"/>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C0FFF"/>
    <w:rsid w:val="00EC197B"/>
    <w:rsid w:val="00EC1F23"/>
    <w:rsid w:val="00EC223F"/>
    <w:rsid w:val="00EC4486"/>
    <w:rsid w:val="00EC498E"/>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140"/>
    <w:rsid w:val="00ED6DD1"/>
    <w:rsid w:val="00ED7604"/>
    <w:rsid w:val="00ED7827"/>
    <w:rsid w:val="00EE4699"/>
    <w:rsid w:val="00EE4A6E"/>
    <w:rsid w:val="00EE4CD1"/>
    <w:rsid w:val="00EE723A"/>
    <w:rsid w:val="00EE75C5"/>
    <w:rsid w:val="00EE7DB5"/>
    <w:rsid w:val="00EF032C"/>
    <w:rsid w:val="00EF174C"/>
    <w:rsid w:val="00EF3968"/>
    <w:rsid w:val="00EF4D4B"/>
    <w:rsid w:val="00EF6040"/>
    <w:rsid w:val="00EF77D2"/>
    <w:rsid w:val="00EF78E4"/>
    <w:rsid w:val="00F003E0"/>
    <w:rsid w:val="00F00984"/>
    <w:rsid w:val="00F00AA1"/>
    <w:rsid w:val="00F00CA3"/>
    <w:rsid w:val="00F00E27"/>
    <w:rsid w:val="00F010AD"/>
    <w:rsid w:val="00F016A6"/>
    <w:rsid w:val="00F01FF8"/>
    <w:rsid w:val="00F02266"/>
    <w:rsid w:val="00F03105"/>
    <w:rsid w:val="00F03583"/>
    <w:rsid w:val="00F0371F"/>
    <w:rsid w:val="00F03AAD"/>
    <w:rsid w:val="00F0516A"/>
    <w:rsid w:val="00F053FD"/>
    <w:rsid w:val="00F06197"/>
    <w:rsid w:val="00F06768"/>
    <w:rsid w:val="00F06E0A"/>
    <w:rsid w:val="00F073F1"/>
    <w:rsid w:val="00F101F1"/>
    <w:rsid w:val="00F10351"/>
    <w:rsid w:val="00F104BC"/>
    <w:rsid w:val="00F109B0"/>
    <w:rsid w:val="00F10A1F"/>
    <w:rsid w:val="00F10FD3"/>
    <w:rsid w:val="00F12947"/>
    <w:rsid w:val="00F1367C"/>
    <w:rsid w:val="00F13906"/>
    <w:rsid w:val="00F14A2D"/>
    <w:rsid w:val="00F14F25"/>
    <w:rsid w:val="00F15372"/>
    <w:rsid w:val="00F157ED"/>
    <w:rsid w:val="00F167DB"/>
    <w:rsid w:val="00F20232"/>
    <w:rsid w:val="00F21287"/>
    <w:rsid w:val="00F21A43"/>
    <w:rsid w:val="00F24D15"/>
    <w:rsid w:val="00F251B7"/>
    <w:rsid w:val="00F25335"/>
    <w:rsid w:val="00F2692D"/>
    <w:rsid w:val="00F26B77"/>
    <w:rsid w:val="00F26D4B"/>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7DB"/>
    <w:rsid w:val="00F50817"/>
    <w:rsid w:val="00F51250"/>
    <w:rsid w:val="00F51A61"/>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A3"/>
    <w:rsid w:val="00F70BF8"/>
    <w:rsid w:val="00F70C97"/>
    <w:rsid w:val="00F711E6"/>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6EDA"/>
    <w:rsid w:val="00F77395"/>
    <w:rsid w:val="00F8004E"/>
    <w:rsid w:val="00F802FA"/>
    <w:rsid w:val="00F80568"/>
    <w:rsid w:val="00F808D8"/>
    <w:rsid w:val="00F818F9"/>
    <w:rsid w:val="00F82418"/>
    <w:rsid w:val="00F825F1"/>
    <w:rsid w:val="00F83357"/>
    <w:rsid w:val="00F83F21"/>
    <w:rsid w:val="00F84867"/>
    <w:rsid w:val="00F84B84"/>
    <w:rsid w:val="00F84FEE"/>
    <w:rsid w:val="00F86361"/>
    <w:rsid w:val="00F87190"/>
    <w:rsid w:val="00F87A43"/>
    <w:rsid w:val="00F90616"/>
    <w:rsid w:val="00F91205"/>
    <w:rsid w:val="00F91A08"/>
    <w:rsid w:val="00F921A2"/>
    <w:rsid w:val="00F950C1"/>
    <w:rsid w:val="00F95411"/>
    <w:rsid w:val="00F96DC6"/>
    <w:rsid w:val="00F97A6D"/>
    <w:rsid w:val="00F97DB5"/>
    <w:rsid w:val="00FA01C2"/>
    <w:rsid w:val="00FA0FC6"/>
    <w:rsid w:val="00FA10B0"/>
    <w:rsid w:val="00FA16A9"/>
    <w:rsid w:val="00FA27AC"/>
    <w:rsid w:val="00FA3C03"/>
    <w:rsid w:val="00FA4281"/>
    <w:rsid w:val="00FA4841"/>
    <w:rsid w:val="00FA48E5"/>
    <w:rsid w:val="00FA4DD5"/>
    <w:rsid w:val="00FA572F"/>
    <w:rsid w:val="00FA5A18"/>
    <w:rsid w:val="00FA6A6D"/>
    <w:rsid w:val="00FA6DE2"/>
    <w:rsid w:val="00FA7157"/>
    <w:rsid w:val="00FA76F2"/>
    <w:rsid w:val="00FB04C7"/>
    <w:rsid w:val="00FB2AB1"/>
    <w:rsid w:val="00FB30AA"/>
    <w:rsid w:val="00FB6677"/>
    <w:rsid w:val="00FB727F"/>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4A2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1BEE"/>
    <w:rsid w:val="00FF23B3"/>
    <w:rsid w:val="00FF2537"/>
    <w:rsid w:val="00FF305B"/>
    <w:rsid w:val="00FF34BB"/>
    <w:rsid w:val="00FF36A9"/>
    <w:rsid w:val="00FF37B7"/>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16102495">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30508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8725288">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3861766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596744898">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511994">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429136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customXml" Target="ink/ink5.xml"/><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customXml" Target="ink/ink8.xml"/><Relationship Id="rId55" Type="http://schemas.openxmlformats.org/officeDocument/2006/relationships/image" Target="media/image39.png"/><Relationship Id="rId63" Type="http://schemas.openxmlformats.org/officeDocument/2006/relationships/customXml" Target="ink/ink11.xml"/><Relationship Id="rId68" Type="http://schemas.openxmlformats.org/officeDocument/2006/relationships/image" Target="media/image49.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customXml" Target="ink/ink2.xml"/><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customXml" Target="ink/ink4.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customXml" Target="ink/ink7.xml"/><Relationship Id="rId53" Type="http://schemas.openxmlformats.org/officeDocument/2006/relationships/image" Target="media/image38.png"/><Relationship Id="rId58" Type="http://schemas.openxmlformats.org/officeDocument/2006/relationships/image" Target="media/image41.png"/><Relationship Id="rId66" Type="http://schemas.openxmlformats.org/officeDocument/2006/relationships/customXml" Target="ink/ink12.xml"/><Relationship Id="rId74" Type="http://schemas.openxmlformats.org/officeDocument/2006/relationships/image" Target="media/image5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4.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image" Target="media/image5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ink/ink1.xml"/><Relationship Id="rId22" Type="http://schemas.openxmlformats.org/officeDocument/2006/relationships/customXml" Target="ink/ink3.xm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customXml" Target="ink/ink10.xml"/><Relationship Id="rId64" Type="http://schemas.openxmlformats.org/officeDocument/2006/relationships/image" Target="media/image46.png"/><Relationship Id="rId69" Type="http://schemas.openxmlformats.org/officeDocument/2006/relationships/image" Target="media/image50.pn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2.png"/><Relationship Id="rId67" Type="http://schemas.openxmlformats.org/officeDocument/2006/relationships/image" Target="media/image48.pn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customXml" Target="ink/ink9.xml"/><Relationship Id="rId62" Type="http://schemas.openxmlformats.org/officeDocument/2006/relationships/image" Target="media/image45.png"/><Relationship Id="rId70" Type="http://schemas.openxmlformats.org/officeDocument/2006/relationships/image" Target="media/image51.png"/><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customXml" Target="ink/ink6.xml"/><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7T01:41:25.38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34,'28'-2,"0"0,0-2,7-3,48-6,26 7,41 6,-96 1,-34 0,-1 1,16 3,-14-1,-1-1,9-1,336-2,83 3,-426-3,0 2,0 0,0 2,0 1,0 0,-1 1,0 2,0 0,-1 1,2 2,-19-9,0 0,0-1,0 0,0 1,0-1,0 0,0-1,1 1,-1 0,0-1,1 0,-1 0,0 0,4-1,-1 0,0-1,0 1,0-1,0-1,2 0,18-7,2 1,-1 1,1 2,0 0,0 2,0 1,0 2,23 1,73 1,-110-1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17.5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0 101,'4'0,"730"-13,-328 8,-22 0,-172-7,99-4,19-8,42-1,177 25,-254 1,-281-1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2.5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1,'425'0,"461"1,-868-1,154 3,3 7,-121-4,0 2,-1 2,0 2,-1 3,17 8,-28-6,-23-8,0-2,1 0,0-1,0 0,1-2,0-1,0 0,14 0,2029-7,-1979 0,1-4,13-5,2-1,25 3,-104 10,-4 0,0 1,1 0,-1 1,4 1,-12 3,-14 0,-18 3,-31-1,0-1,-1-3,-49-4,70 1,7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8.18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1 169,'139'-4,"47"-10,136-27,-212 26,326-36,272 7,-123 55,-67 6,75 4,-492-16,142 11,-240-15,-1-1,0 0,1 1,-1 0,0 0,0-1,0 1,0 1,0-1,0 0,0 0,0 1,0-1,0 1,-1-1,1 1,-1 0,1 0,-1 0,0 0,0 0,1 0,-1 0,-1 0,1 1,10 14,16 21,2-2,2-1,1-1,25 19,-49-47,-1-1,0 0,1-1,0 0,0 0,1 0,-1-1,1-1,-1 1,1-1,0-1,0 1,3-1,0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7T01:41:19.97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33,'665'0,"-513"-8,-11-1,359 10,-471-3,1 0,2-3,-11 2,0 1,1 0,-1 2,18 1,52 8,76-3,-102-6,-51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50.85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18,'17'1,"0"0,0 2,10 2,15 2,623 82,-571-80,0-5,60-5,-48-1,529 1,-548-3,0-4,62-15,-76 11,-66 11,263-37,-175 29,88 3,323 8,-388-2,-106 0,-1-2,1 0,0 0,0-1,-1 0,2-2,0 1,0 0,0 1,0 1,5-1,-4 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44.0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93,'192'-7,"61"-16,-74 6,-106 14,0 4,42 6,30 1,-12-9,126-16,-55-11,-177 25,0 2,-1 1,11 1,-15 1,0-1,-1-2,1 0,0-1,7-3,-15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9.07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7,'159'-1,"166"3,-253 6,-45-4,0-2,1 0,466-2,-235 0,-215-2,39-8,-32 4,-38 4,-2-2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3.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51,'474'0,"-461"1,1 1,-1 0,0 1,0 0,12 5,-6-2,0-1,10 2,214 17,-113-13,165 14,-194-20,63-6,-55 0,73 2,188-3,-52-14,-5-1,-147 2,50-2,66-1,-223 10,55-16,-66 13,1 1,-1 3,8 1,-39 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36:57.9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70,'335'9,"1"-1,-315-8,-3-1,-1 2,1-1,-1 2,1 1,8 2,-9-2,0 0,0-1,1-1,-1-1,13-1,9 0,642-25,-604 22,235-3,4 1,367-18,-591 25,1-4,0-3,22-9,-57 8,0 3,0 2,33 4,-1-1,-76-1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45:22.94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51,'2'2,"1"-1,0 1,-1-1,1 0,0 1,0-1,0-1,0 1,0 0,0-1,0 1,0-1,0 0,3 0,3 0,41 3,0-2,0-3,0-2,-1-2,1-2,8-4,-21 5,1 1,0 2,10 1,117 4,-66 0,161 0,299-2,-411-8,-74 3,0 3,32 5,-64 3,-1 2,40 12,-24-5,7 4,-1 1,22 8,-69-23</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22.8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0 136,'611'-32,"-316"10,-128 10,96-4,-23 14,-70 2,56-11,-105 4,78 8,48-2,-213-1,-1-1,1-1,-1-2,1-2,-12 4,1 1,0 1,-1 1,1 0,12 3,10-1,49-2,104 4,-114 4,-17-1,19-2,114-5,-186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DEE852-9D1A-4FC9-A327-DBBE1AC6C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503</TotalTime>
  <Pages>42</Pages>
  <Words>6269</Words>
  <Characters>35735</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doc.: IEEE 802.11-19/0551r19</vt:lpstr>
    </vt:vector>
  </TitlesOfParts>
  <Company>Some Company</Company>
  <LinksUpToDate>false</LinksUpToDate>
  <CharactersWithSpaces>41921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802.11-19/0551r19</dc:title>
  <dc:subject>Submission</dc:subject>
  <dc:creator>Mark RISON</dc:creator>
  <cp:keywords>September 2019</cp:keywords>
  <cp:lastModifiedBy>Hamilton, Mark</cp:lastModifiedBy>
  <cp:revision>10</cp:revision>
  <cp:lastPrinted>1901-01-01T04:00:00Z</cp:lastPrinted>
  <dcterms:created xsi:type="dcterms:W3CDTF">2020-02-19T17:40:00Z</dcterms:created>
  <dcterms:modified xsi:type="dcterms:W3CDTF">2020-02-20T02:02:00Z</dcterms:modified>
</cp:coreProperties>
</file>