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3364DF00" w:rsidR="00CA09B2" w:rsidRDefault="00E863B7" w:rsidP="00083FE0">
            <w:pPr>
              <w:pStyle w:val="T2"/>
            </w:pPr>
            <w:r>
              <w:t>CIDs for Graham from Mike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3B63D1D0" w:rsidR="009C6869" w:rsidRDefault="00462D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Technologies</w:t>
            </w:r>
          </w:p>
        </w:tc>
        <w:tc>
          <w:tcPr>
            <w:tcW w:w="2420" w:type="dxa"/>
            <w:vAlign w:val="center"/>
          </w:tcPr>
          <w:p w14:paraId="4B7EAEC3" w14:textId="23F65AA4" w:rsidR="009C6869" w:rsidRDefault="00E863B7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833433" w:rsidRDefault="008334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4827EAFB" w:rsidR="00833433" w:rsidRDefault="00833433" w:rsidP="00083FE0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E863B7">
                              <w:t>4222,4223, 4225, 4235, 4237, 4559, 4693, 4714</w:t>
                            </w:r>
                          </w:p>
                          <w:p w14:paraId="792E16FD" w14:textId="77777777" w:rsidR="00833433" w:rsidRDefault="0083343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833433" w:rsidRDefault="0083343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833433" w:rsidRDefault="0083343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833433" w:rsidRDefault="00833433" w:rsidP="006832AA">
                            <w:pPr>
                              <w:jc w:val="both"/>
                            </w:pPr>
                          </w:p>
                          <w:p w14:paraId="1A5E8037" w14:textId="4D9DD240" w:rsidR="00833433" w:rsidRDefault="00833433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77777777" w:rsidR="00833433" w:rsidRDefault="00833433" w:rsidP="006832AA">
                            <w:pPr>
                              <w:jc w:val="both"/>
                            </w:pPr>
                          </w:p>
                          <w:p w14:paraId="4E9EE86F" w14:textId="77777777" w:rsidR="00833433" w:rsidRDefault="008334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833433" w:rsidRDefault="008334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4827EAFB" w:rsidR="00833433" w:rsidRDefault="00833433" w:rsidP="00083FE0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E863B7">
                        <w:t>4222,4223, 4225, 4235, 4237, 4559, 4693, 4714</w:t>
                      </w:r>
                    </w:p>
                    <w:p w14:paraId="792E16FD" w14:textId="77777777" w:rsidR="00833433" w:rsidRDefault="00833433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833433" w:rsidRDefault="00833433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833433" w:rsidRDefault="00833433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833433" w:rsidRDefault="00833433" w:rsidP="006832AA">
                      <w:pPr>
                        <w:jc w:val="both"/>
                      </w:pPr>
                    </w:p>
                    <w:p w14:paraId="1A5E8037" w14:textId="4D9DD240" w:rsidR="00833433" w:rsidRDefault="00833433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77777777" w:rsidR="00833433" w:rsidRDefault="00833433" w:rsidP="006832AA">
                      <w:pPr>
                        <w:jc w:val="both"/>
                      </w:pPr>
                    </w:p>
                    <w:p w14:paraId="4E9EE86F" w14:textId="77777777" w:rsidR="00833433" w:rsidRDefault="008334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W w:w="1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40"/>
        <w:gridCol w:w="1040"/>
        <w:gridCol w:w="1280"/>
        <w:gridCol w:w="800"/>
        <w:gridCol w:w="3080"/>
        <w:gridCol w:w="3080"/>
      </w:tblGrid>
      <w:tr w:rsidR="00D74674" w14:paraId="51174FAF" w14:textId="77777777" w:rsidTr="006D4386">
        <w:trPr>
          <w:trHeight w:val="168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F1C90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4222</w:t>
            </w:r>
          </w:p>
          <w:p w14:paraId="5D0A46F8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556705DC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334468FD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37BAE915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0C4CCF4F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  <w:p w14:paraId="73097886" w14:textId="3F1BC60E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1980D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3524.00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30FC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25.5.7.1.3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2069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37D8A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3D0D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"106" should be "10&lt;sup&gt;6&lt;/sup&gt;", and the size of "440x10&lt;sup&gt;6&lt;/sup&gt;" on the previous line should be made consistent with surrounding text</w:t>
            </w: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F299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49F8A3E4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1FCC85F9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2A8BBB18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762E0CCB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201C2249" w14:textId="644CED0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L9</w:t>
            </w:r>
          </w:p>
          <w:p w14:paraId="7B026D08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25C1179" w14:textId="2B948015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2FBFB69F" w14:textId="77777777" w:rsidTr="006D4386">
        <w:trPr>
          <w:trHeight w:val="168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8C8D1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4223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C9E0B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3544.00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7D49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25.6.9.2.3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3F22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DDD0B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5DA2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"1320" is off by 6 orders of magnitude</w:t>
            </w: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E8D8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 &lt;</w:t>
            </w:r>
            <w:proofErr w:type="spellStart"/>
            <w:r>
              <w:rPr>
                <w:rFonts w:ascii="Arial" w:hAnsi="Arial" w:cs="Arial"/>
                <w:sz w:val="20"/>
              </w:rPr>
              <w:t>mult</w:t>
            </w:r>
            <w:proofErr w:type="spellEnd"/>
            <w:r>
              <w:rPr>
                <w:rFonts w:ascii="Arial" w:hAnsi="Arial" w:cs="Arial"/>
                <w:sz w:val="20"/>
              </w:rPr>
              <w:t>&gt; 10&lt;sup&gt;6&lt;/sup&gt;" after the cited text.  Also fix the size of "660x10&lt;sup&gt;6&lt;/sup&gt;" on the same line to be consistent with surrounding text</w:t>
            </w:r>
          </w:p>
          <w:p w14:paraId="7DED2E31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D3D0654" w14:textId="51436E48" w:rsidR="00D74674" w:rsidRDefault="00EA0C63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L29</w:t>
            </w:r>
          </w:p>
          <w:p w14:paraId="364B8256" w14:textId="0DDC2350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59D7013C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568C7A4" w14:textId="67CDB649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0E115DEC" w14:textId="77777777" w:rsidTr="006D4386">
        <w:trPr>
          <w:trHeight w:val="28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DB5A5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4225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E6A83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3566.00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8E8D3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25.15.3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8BA3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BFE50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7F72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"540 " should be "540 MHz"</w:t>
            </w: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0DCC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29ED00F2" w14:textId="77777777" w:rsidR="00EA0C63" w:rsidRDefault="00EA0C63" w:rsidP="006D4386">
            <w:pPr>
              <w:rPr>
                <w:rFonts w:ascii="Arial" w:hAnsi="Arial" w:cs="Arial"/>
                <w:sz w:val="20"/>
              </w:rPr>
            </w:pPr>
          </w:p>
          <w:p w14:paraId="2841D934" w14:textId="029F0770" w:rsidR="00EA0C63" w:rsidRDefault="00EA0C63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L29</w:t>
            </w:r>
          </w:p>
          <w:p w14:paraId="1821C7E8" w14:textId="383E7DB6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ACCEPTED </w:t>
            </w:r>
          </w:p>
          <w:p w14:paraId="53D46DD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F425059" w14:textId="5865C8C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1564E2E7" w14:textId="77777777" w:rsidTr="006D4386">
        <w:trPr>
          <w:trHeight w:val="56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CD650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4235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6A203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3528.00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23CF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25.6.5.5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9641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26F99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337E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"transmitted using duplication style" -- not defined</w:t>
            </w:r>
          </w:p>
          <w:p w14:paraId="55B009DC" w14:textId="11CEDE4F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72F7C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"duplicated"</w:t>
            </w:r>
          </w:p>
          <w:p w14:paraId="1A36023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82BBC3C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301EEC80" w14:textId="0738CA24" w:rsidR="004E356F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L41? </w:t>
            </w:r>
            <w:r w:rsidR="00EA0C63">
              <w:rPr>
                <w:rFonts w:ascii="Arial" w:hAnsi="Arial" w:cs="Arial"/>
                <w:sz w:val="20"/>
              </w:rPr>
              <w:t>“</w:t>
            </w:r>
            <w:r w:rsidR="004E356F">
              <w:rPr>
                <w:rFonts w:ascii="Arial" w:hAnsi="Arial" w:cs="Arial"/>
                <w:sz w:val="20"/>
              </w:rPr>
              <w:t>Duplicated style</w:t>
            </w:r>
            <w:r w:rsidR="00EA0C63">
              <w:rPr>
                <w:rFonts w:ascii="Arial" w:hAnsi="Arial" w:cs="Arial"/>
                <w:sz w:val="20"/>
              </w:rPr>
              <w:t>”</w:t>
            </w:r>
            <w:r w:rsidR="004E356F">
              <w:rPr>
                <w:rFonts w:ascii="Arial" w:hAnsi="Arial" w:cs="Arial"/>
                <w:sz w:val="20"/>
              </w:rPr>
              <w:t xml:space="preserve"> is also not defined or used anywhere. “duplication transmission</w:t>
            </w:r>
            <w:r w:rsidR="00EA0C63">
              <w:rPr>
                <w:rFonts w:ascii="Arial" w:hAnsi="Arial" w:cs="Arial"/>
                <w:sz w:val="20"/>
              </w:rPr>
              <w:t>” is correct but</w:t>
            </w:r>
            <w:r w:rsidR="004E356F">
              <w:rPr>
                <w:rFonts w:ascii="Arial" w:hAnsi="Arial" w:cs="Arial"/>
                <w:sz w:val="20"/>
              </w:rPr>
              <w:t xml:space="preserve"> after </w:t>
            </w:r>
            <w:r w:rsidR="00EA0C63">
              <w:rPr>
                <w:rFonts w:ascii="Arial" w:hAnsi="Arial" w:cs="Arial"/>
                <w:sz w:val="20"/>
              </w:rPr>
              <w:t>“</w:t>
            </w:r>
            <w:r w:rsidR="004E356F">
              <w:rPr>
                <w:rFonts w:ascii="Arial" w:hAnsi="Arial" w:cs="Arial"/>
                <w:sz w:val="20"/>
              </w:rPr>
              <w:t>transmitted</w:t>
            </w:r>
            <w:r w:rsidR="00EA0C63">
              <w:rPr>
                <w:rFonts w:ascii="Arial" w:hAnsi="Arial" w:cs="Arial"/>
                <w:sz w:val="20"/>
              </w:rPr>
              <w:t>”</w:t>
            </w:r>
            <w:r w:rsidR="004E356F">
              <w:rPr>
                <w:rFonts w:ascii="Arial" w:hAnsi="Arial" w:cs="Arial"/>
                <w:sz w:val="20"/>
              </w:rPr>
              <w:t xml:space="preserve"> is awkward </w:t>
            </w:r>
          </w:p>
          <w:p w14:paraId="5B1E5F16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67264B8C" w14:textId="47C4E7CA" w:rsidR="00D74674" w:rsidRDefault="004E356F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EA0C63">
              <w:rPr>
                <w:rFonts w:ascii="Arial" w:hAnsi="Arial" w:cs="Arial"/>
                <w:sz w:val="20"/>
              </w:rPr>
              <w:t xml:space="preserve">D: </w:t>
            </w:r>
            <w:r>
              <w:rPr>
                <w:rFonts w:ascii="Arial" w:hAnsi="Arial" w:cs="Arial"/>
                <w:sz w:val="20"/>
              </w:rPr>
              <w:t xml:space="preserve"> at P3528L41 delete “using duplication style”</w:t>
            </w:r>
          </w:p>
          <w:p w14:paraId="1BDA541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0659DD6" w14:textId="61169F41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28C159A4" w14:textId="77777777" w:rsidTr="006D4386">
        <w:trPr>
          <w:trHeight w:val="56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16852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4237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BF8AA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3513.00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F7AA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25.5.1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1644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02107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FD67F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 transmitted by CMMG SC MIMO" -- huh?</w:t>
            </w: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48E8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 with MIMO"</w:t>
            </w:r>
          </w:p>
          <w:p w14:paraId="61A4A8F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EE9D96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32FE64BF" w14:textId="1C0033A1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L38, check CID 2375</w:t>
            </w:r>
          </w:p>
          <w:p w14:paraId="4EC958F1" w14:textId="14AB8134" w:rsidR="001D0E05" w:rsidRDefault="001D0E05" w:rsidP="006D4386">
            <w:pPr>
              <w:rPr>
                <w:rFonts w:ascii="Arial" w:hAnsi="Arial" w:cs="Arial"/>
                <w:sz w:val="20"/>
              </w:rPr>
            </w:pPr>
          </w:p>
          <w:p w14:paraId="64662B1C" w14:textId="1C894CFA" w:rsidR="00EA0C63" w:rsidRDefault="001D0E05" w:rsidP="00EA0C63">
            <w:r>
              <w:rPr>
                <w:rFonts w:ascii="Arial" w:hAnsi="Arial" w:cs="Arial"/>
                <w:sz w:val="20"/>
              </w:rPr>
              <w:t>Asked Sigurd.</w:t>
            </w:r>
            <w:r w:rsidR="00EA0C63">
              <w:t xml:space="preserve"> “</w:t>
            </w:r>
            <w:r w:rsidR="00EA0C63">
              <w:t xml:space="preserve">This is about the Chinese </w:t>
            </w:r>
            <w:proofErr w:type="spellStart"/>
            <w:r w:rsidR="00EA0C63">
              <w:t>mmWave</w:t>
            </w:r>
            <w:proofErr w:type="spellEnd"/>
            <w:r w:rsidR="00EA0C63">
              <w:t xml:space="preserve"> apparently. The proposed change looks fine to me. I suppose the comment has to do with the fact that MIMO is a generic concept and shouldn’t be prefaced with “CMMG SC”. It’s more editorial than anything else.</w:t>
            </w:r>
            <w:r w:rsidR="00EA0C63">
              <w:t>”</w:t>
            </w:r>
          </w:p>
          <w:p w14:paraId="5A5AE34B" w14:textId="6B5A2409" w:rsidR="00EA0C63" w:rsidRDefault="00EA0C63" w:rsidP="00EA0C63"/>
          <w:p w14:paraId="7C25709E" w14:textId="3E9DB3CA" w:rsidR="00EA0C63" w:rsidRDefault="00EA0C63" w:rsidP="00EA0C63">
            <w:r>
              <w:t>ACCEPTED</w:t>
            </w:r>
          </w:p>
          <w:p w14:paraId="12885633" w14:textId="239EB023" w:rsidR="001D0E05" w:rsidRDefault="001D0E05" w:rsidP="006D4386">
            <w:pPr>
              <w:rPr>
                <w:rFonts w:ascii="Arial" w:hAnsi="Arial" w:cs="Arial"/>
                <w:sz w:val="20"/>
              </w:rPr>
            </w:pPr>
          </w:p>
          <w:p w14:paraId="5AAE6879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789A69C7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A9C49A1" w14:textId="38600791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5C0C27E7" w14:textId="77777777" w:rsidTr="006D4386">
        <w:trPr>
          <w:trHeight w:val="420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8AC3E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4559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47AD3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3545.00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8C24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25.7.2.3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0E3AC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B0FD4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B29C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value of N in the Training Length field indicates that the AGC has 4N subfields and that the TRN- R/T</w:t>
            </w:r>
            <w:r>
              <w:rPr>
                <w:rFonts w:ascii="Arial" w:hAnsi="Arial" w:cs="Arial"/>
                <w:sz w:val="20"/>
              </w:rPr>
              <w:br/>
              <w:t>field has 5N subfields." but 20.9.2.2.3 (referred to from Table 25-7--Fields in the CMMG SIG field) says "A value of N in the Training Length field indicates 4xN AGC subfields and that the TRN-R/T field has N</w:t>
            </w:r>
            <w:r>
              <w:rPr>
                <w:rFonts w:ascii="Arial" w:hAnsi="Arial" w:cs="Arial"/>
                <w:sz w:val="20"/>
              </w:rPr>
              <w:br/>
              <w:t>TRN Units." so there is duplication and possibly also contradiction</w:t>
            </w: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DC6FB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20.9.2.2.3 in Table 25-7</w:t>
            </w:r>
          </w:p>
          <w:p w14:paraId="42728121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3470BB6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09B723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188EC8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FD392F3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967839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3C3BF0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7896CD46" w14:textId="19BF1FFD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43AE76E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BC4E7C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7D710E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773C6C5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64D733F1" w14:textId="21C763F6" w:rsidR="00D74674" w:rsidRDefault="004E356F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P3132L34 </w:t>
            </w:r>
            <w:r w:rsidR="00D74674">
              <w:rPr>
                <w:rFonts w:ascii="Arial" w:hAnsi="Arial" w:cs="Arial"/>
                <w:sz w:val="20"/>
              </w:rPr>
              <w:t>not a Table</w:t>
            </w:r>
          </w:p>
          <w:p w14:paraId="2EF09D9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5FD95E33" w14:textId="55D274DC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P3132L34 delete the “x”</w:t>
            </w:r>
          </w:p>
          <w:p w14:paraId="05DA04FA" w14:textId="6E3E393D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6426BC10" w14:textId="767BB17A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2547ED3" w14:textId="154512A2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5E88441" w14:textId="6DFBE516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73905E5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30FFAFE8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6AFEE816" w14:textId="77777777" w:rsidTr="006D4386">
        <w:trPr>
          <w:trHeight w:val="56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3B3D7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4693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720A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CE04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4679F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80D37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6CF6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 2036 follow-up, are the 128s in Figures 24-2/5 correct?</w:t>
            </w:r>
          </w:p>
          <w:p w14:paraId="270FB147" w14:textId="270463D6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0B06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  <w:p w14:paraId="16C4A619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3C4241FB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2FF2CA9B" w14:textId="3DE2AF31" w:rsidR="00D74674" w:rsidRDefault="004E356F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is </w:t>
            </w:r>
            <w:r w:rsidR="00D74674">
              <w:rPr>
                <w:rFonts w:ascii="Arial" w:hAnsi="Arial" w:cs="Arial"/>
                <w:sz w:val="20"/>
              </w:rPr>
              <w:t xml:space="preserve">3462 L47 </w:t>
            </w:r>
          </w:p>
          <w:p w14:paraId="7EEFB67B" w14:textId="0391B433" w:rsidR="00D74674" w:rsidRDefault="004E356F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D74674">
              <w:rPr>
                <w:rFonts w:ascii="Arial" w:hAnsi="Arial" w:cs="Arial"/>
                <w:sz w:val="20"/>
              </w:rPr>
              <w:t>able 24 - 128 * 1.14=146ns</w:t>
            </w:r>
          </w:p>
          <w:p w14:paraId="4D38980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says 14.6ns</w:t>
            </w:r>
          </w:p>
          <w:p w14:paraId="0F2DFEDF" w14:textId="6D05B409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be 146ns, next 2 lines show correct</w:t>
            </w:r>
            <w:r w:rsidR="004E356F">
              <w:rPr>
                <w:rFonts w:ascii="Arial" w:hAnsi="Arial" w:cs="Arial"/>
                <w:sz w:val="20"/>
              </w:rPr>
              <w:t>.</w:t>
            </w:r>
          </w:p>
          <w:p w14:paraId="729763CF" w14:textId="6E699C24" w:rsidR="00D74674" w:rsidRDefault="00EA0C63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answer is NO the 128s is not correct</w:t>
            </w:r>
          </w:p>
          <w:p w14:paraId="5E63834E" w14:textId="77777777" w:rsidR="004E356F" w:rsidRDefault="004E356F" w:rsidP="006D4386">
            <w:pPr>
              <w:rPr>
                <w:rFonts w:ascii="Arial" w:hAnsi="Arial" w:cs="Arial"/>
                <w:sz w:val="20"/>
              </w:rPr>
            </w:pPr>
          </w:p>
          <w:p w14:paraId="4E9CAEB1" w14:textId="77777777" w:rsidR="004E356F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4E356F">
              <w:rPr>
                <w:rFonts w:ascii="Arial" w:hAnsi="Arial" w:cs="Arial"/>
                <w:sz w:val="20"/>
              </w:rPr>
              <w:t xml:space="preserve">D </w:t>
            </w:r>
          </w:p>
          <w:p w14:paraId="34DD023F" w14:textId="291BA6B7" w:rsidR="00D74674" w:rsidRDefault="004E356F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P3462L47</w:t>
            </w:r>
            <w:r w:rsidR="00D74674">
              <w:rPr>
                <w:rFonts w:ascii="Arial" w:hAnsi="Arial" w:cs="Arial"/>
                <w:sz w:val="20"/>
              </w:rPr>
              <w:t xml:space="preserve"> replace 14.6 with 146.</w:t>
            </w:r>
          </w:p>
          <w:p w14:paraId="1F5A78FB" w14:textId="68FB691C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FFC3FED" w14:textId="69FF40A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00602E73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DAC031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</w:tr>
      <w:tr w:rsidR="00D74674" w14:paraId="700A39CD" w14:textId="77777777" w:rsidTr="006D4386">
        <w:trPr>
          <w:trHeight w:val="2240"/>
        </w:trPr>
        <w:tc>
          <w:tcPr>
            <w:tcW w:w="6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A7B51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4714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BED9" w14:textId="77777777" w:rsidR="00D74674" w:rsidRDefault="00D74674" w:rsidP="006D43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3504.00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B5E4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25.3.9.1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D972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C6B36" w14:textId="77777777" w:rsidR="00D74674" w:rsidRDefault="00D74674" w:rsidP="006D4386">
            <w:pPr>
              <w:rPr>
                <w:sz w:val="20"/>
              </w:rPr>
            </w:pP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9F1BA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25-7---Fields in the CMMG SIG field needs the same changes as made under CID 1351.  However </w:t>
            </w:r>
            <w:proofErr w:type="spellStart"/>
            <w:r>
              <w:rPr>
                <w:rFonts w:ascii="Arial" w:hAnsi="Arial" w:cs="Arial"/>
                <w:sz w:val="20"/>
              </w:rPr>
              <w:t>Assaf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reports that it "requires (a lot of) more work because the scrambling is not mentioned in the encoding process."</w:t>
            </w:r>
          </w:p>
        </w:tc>
        <w:tc>
          <w:tcPr>
            <w:tcW w:w="30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B30D5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 </w:t>
            </w:r>
            <w:proofErr w:type="spellStart"/>
            <w:r>
              <w:rPr>
                <w:rFonts w:ascii="Arial" w:hAnsi="Arial" w:cs="Arial"/>
                <w:sz w:val="20"/>
              </w:rPr>
              <w:t>Assaf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kindly to the more work</w:t>
            </w:r>
          </w:p>
          <w:p w14:paraId="5E00D53D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4D4E7B6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F5375D7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44194B9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1221BAF2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23D0CE9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2B785F0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4E3A3874" w14:textId="77777777" w:rsidR="00D74674" w:rsidRDefault="00D74674" w:rsidP="006D4386">
            <w:pPr>
              <w:rPr>
                <w:rFonts w:ascii="Arial" w:hAnsi="Arial" w:cs="Arial"/>
                <w:sz w:val="20"/>
              </w:rPr>
            </w:pPr>
          </w:p>
          <w:p w14:paraId="5D9D2110" w14:textId="7078329A" w:rsidR="00D74674" w:rsidRDefault="00D74674" w:rsidP="006D43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Assign to ASSAF</w:t>
            </w:r>
          </w:p>
        </w:tc>
      </w:tr>
    </w:tbl>
    <w:p w14:paraId="50E2976F" w14:textId="77777777" w:rsidR="00E97C2E" w:rsidRPr="00E97C2E" w:rsidRDefault="00E97C2E" w:rsidP="00E97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sectPr w:rsidR="00E97C2E" w:rsidRPr="00E97C2E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5FEB" w14:textId="77777777" w:rsidR="007F35E2" w:rsidRDefault="007F35E2">
      <w:r>
        <w:separator/>
      </w:r>
    </w:p>
  </w:endnote>
  <w:endnote w:type="continuationSeparator" w:id="0">
    <w:p w14:paraId="648262A0" w14:textId="77777777" w:rsidR="007F35E2" w:rsidRDefault="007F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C217F" w14:textId="77777777" w:rsidR="00E84E44" w:rsidRDefault="00E84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025118F3" w:rsidR="00833433" w:rsidRDefault="00261022" w:rsidP="00070C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33433">
        <w:t>Submission</w:t>
      </w:r>
    </w:fldSimple>
    <w:r w:rsidR="00833433">
      <w:tab/>
      <w:t xml:space="preserve">page </w:t>
    </w:r>
    <w:r w:rsidR="00833433">
      <w:fldChar w:fldCharType="begin"/>
    </w:r>
    <w:r w:rsidR="00833433">
      <w:instrText xml:space="preserve">page </w:instrText>
    </w:r>
    <w:r w:rsidR="00833433">
      <w:fldChar w:fldCharType="separate"/>
    </w:r>
    <w:r w:rsidR="00E84E44">
      <w:rPr>
        <w:noProof/>
      </w:rPr>
      <w:t>1</w:t>
    </w:r>
    <w:r w:rsidR="00833433">
      <w:rPr>
        <w:noProof/>
      </w:rPr>
      <w:fldChar w:fldCharType="end"/>
    </w:r>
    <w:r w:rsidR="00833433">
      <w:tab/>
    </w:r>
    <w:fldSimple w:instr=" COMMENTS  \* MERGEFORMAT ">
      <w:r w:rsidR="00833433">
        <w:t>Graham SMIT</w:t>
      </w:r>
    </w:fldSimple>
    <w:r w:rsidR="00833433">
      <w:t>H (</w:t>
    </w:r>
    <w:r w:rsidR="00070C53">
      <w:t>SR Technologies</w:t>
    </w:r>
    <w:r w:rsidR="00833433">
      <w:t>)</w:t>
    </w:r>
  </w:p>
  <w:p w14:paraId="5B8624E2" w14:textId="77777777" w:rsidR="00833433" w:rsidRDefault="008334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7D14" w14:textId="77777777" w:rsidR="00E84E44" w:rsidRDefault="00E84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24E3" w14:textId="77777777" w:rsidR="007F35E2" w:rsidRDefault="007F35E2">
      <w:r>
        <w:separator/>
      </w:r>
    </w:p>
  </w:footnote>
  <w:footnote w:type="continuationSeparator" w:id="0">
    <w:p w14:paraId="65FD5D94" w14:textId="77777777" w:rsidR="007F35E2" w:rsidRDefault="007F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E708C" w14:textId="77777777" w:rsidR="00E84E44" w:rsidRDefault="00E84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6347474F" w:rsidR="00833433" w:rsidRDefault="00E863B7" w:rsidP="005942A6">
    <w:pPr>
      <w:pStyle w:val="Header"/>
      <w:tabs>
        <w:tab w:val="clear" w:pos="6480"/>
        <w:tab w:val="center" w:pos="4680"/>
        <w:tab w:val="right" w:pos="9360"/>
      </w:tabs>
    </w:pPr>
    <w:r>
      <w:t>Jan 2020</w:t>
    </w:r>
    <w:r w:rsidR="00833433">
      <w:tab/>
    </w:r>
    <w:r w:rsidR="00833433">
      <w:tab/>
      <w:t xml:space="preserve">   </w:t>
    </w:r>
    <w:r w:rsidR="00261022">
      <w:fldChar w:fldCharType="begin"/>
    </w:r>
    <w:r w:rsidR="00261022">
      <w:instrText xml:space="preserve"> TITLE  \* MERGEFORMAT </w:instrText>
    </w:r>
    <w:r w:rsidR="00261022">
      <w:fldChar w:fldCharType="separate"/>
    </w:r>
    <w:r w:rsidR="00833433">
      <w:t>doc.</w:t>
    </w:r>
    <w:r w:rsidR="00833433">
      <w:t>: IEEE 802.11-</w:t>
    </w:r>
    <w:r w:rsidR="00261022">
      <w:fldChar w:fldCharType="end"/>
    </w:r>
    <w:r>
      <w:t>20/</w:t>
    </w:r>
    <w:r w:rsidR="00E84E44">
      <w:t>0233</w:t>
    </w:r>
    <w:r>
      <w:t>r0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5D4F" w14:textId="77777777" w:rsidR="00E84E44" w:rsidRDefault="00E84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7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0"/>
  </w:num>
  <w:num w:numId="17">
    <w:abstractNumId w:val="13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6A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40AE"/>
    <w:rsid w:val="000660FC"/>
    <w:rsid w:val="00066C64"/>
    <w:rsid w:val="00070C53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3FE0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2320"/>
    <w:rsid w:val="000F430A"/>
    <w:rsid w:val="000F66F3"/>
    <w:rsid w:val="000F7195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C6C"/>
    <w:rsid w:val="001167A7"/>
    <w:rsid w:val="001170EF"/>
    <w:rsid w:val="0011757A"/>
    <w:rsid w:val="001179B7"/>
    <w:rsid w:val="0012072B"/>
    <w:rsid w:val="001214A4"/>
    <w:rsid w:val="00121C94"/>
    <w:rsid w:val="0012217B"/>
    <w:rsid w:val="001234C2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05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612A"/>
    <w:rsid w:val="001E6443"/>
    <w:rsid w:val="001E7789"/>
    <w:rsid w:val="001E7D05"/>
    <w:rsid w:val="001F00EA"/>
    <w:rsid w:val="001F568E"/>
    <w:rsid w:val="001F6660"/>
    <w:rsid w:val="001F729B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4702"/>
    <w:rsid w:val="0025536B"/>
    <w:rsid w:val="002558FF"/>
    <w:rsid w:val="00256B72"/>
    <w:rsid w:val="00256E50"/>
    <w:rsid w:val="00257CD4"/>
    <w:rsid w:val="00260223"/>
    <w:rsid w:val="00261022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257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1B6B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2F30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2D7D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89"/>
    <w:rsid w:val="004A5556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356F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6862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2A6"/>
    <w:rsid w:val="00594E50"/>
    <w:rsid w:val="00595D61"/>
    <w:rsid w:val="005963F5"/>
    <w:rsid w:val="0059650F"/>
    <w:rsid w:val="005A11F5"/>
    <w:rsid w:val="005A16CC"/>
    <w:rsid w:val="005A187B"/>
    <w:rsid w:val="005A1D50"/>
    <w:rsid w:val="005A2264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09CA"/>
    <w:rsid w:val="00642E40"/>
    <w:rsid w:val="006434C4"/>
    <w:rsid w:val="00644CAD"/>
    <w:rsid w:val="006478DE"/>
    <w:rsid w:val="00647C0F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B038F"/>
    <w:rsid w:val="006B3FC4"/>
    <w:rsid w:val="006B45A9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4DCE"/>
    <w:rsid w:val="00795C65"/>
    <w:rsid w:val="007A0F4C"/>
    <w:rsid w:val="007A15C8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3FA2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5E2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409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14A2"/>
    <w:rsid w:val="008D2CEC"/>
    <w:rsid w:val="008D2E98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4254"/>
    <w:rsid w:val="00954AA1"/>
    <w:rsid w:val="00956112"/>
    <w:rsid w:val="00957611"/>
    <w:rsid w:val="00961224"/>
    <w:rsid w:val="009628F4"/>
    <w:rsid w:val="0096396C"/>
    <w:rsid w:val="0096499D"/>
    <w:rsid w:val="009678D6"/>
    <w:rsid w:val="00970446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0C66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3F7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1A0C"/>
    <w:rsid w:val="00AA3B9B"/>
    <w:rsid w:val="00AA3F05"/>
    <w:rsid w:val="00AA420E"/>
    <w:rsid w:val="00AA427C"/>
    <w:rsid w:val="00AA4874"/>
    <w:rsid w:val="00AA6174"/>
    <w:rsid w:val="00AA695D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0B45"/>
    <w:rsid w:val="00B4120D"/>
    <w:rsid w:val="00B41C7F"/>
    <w:rsid w:val="00B44896"/>
    <w:rsid w:val="00B47DA9"/>
    <w:rsid w:val="00B509E4"/>
    <w:rsid w:val="00B51A39"/>
    <w:rsid w:val="00B527CC"/>
    <w:rsid w:val="00B5334C"/>
    <w:rsid w:val="00B53573"/>
    <w:rsid w:val="00B56746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BC3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51F0"/>
    <w:rsid w:val="00BF6F77"/>
    <w:rsid w:val="00BF77A7"/>
    <w:rsid w:val="00BF79AA"/>
    <w:rsid w:val="00C00746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7A30"/>
    <w:rsid w:val="00C67A47"/>
    <w:rsid w:val="00C706A0"/>
    <w:rsid w:val="00C716D9"/>
    <w:rsid w:val="00C71AAA"/>
    <w:rsid w:val="00C73CD5"/>
    <w:rsid w:val="00C7775E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D9B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674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1DFC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3117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2DDD"/>
    <w:rsid w:val="00E237E3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4E44"/>
    <w:rsid w:val="00E863B7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C2E"/>
    <w:rsid w:val="00EA0945"/>
    <w:rsid w:val="00EA0C63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23A"/>
    <w:rsid w:val="00EE75C5"/>
    <w:rsid w:val="00EE7DB5"/>
    <w:rsid w:val="00EF174C"/>
    <w:rsid w:val="00EF396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5B6E"/>
    <w:rsid w:val="00F6753D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568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5153"/>
    <w:rsid w:val="00FE51D2"/>
    <w:rsid w:val="00FE58B3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BE66C08D-3BB1-43E6-9AA3-285A2127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0819-0662-404B-B11D-D81CF6E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2</cp:revision>
  <cp:lastPrinted>1901-01-01T04:00:00Z</cp:lastPrinted>
  <dcterms:created xsi:type="dcterms:W3CDTF">2020-01-23T13:54:00Z</dcterms:created>
  <dcterms:modified xsi:type="dcterms:W3CDTF">2020-01-23T13:54:00Z</dcterms:modified>
</cp:coreProperties>
</file>