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4A4B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1928"/>
        <w:gridCol w:w="1440"/>
        <w:gridCol w:w="2808"/>
      </w:tblGrid>
      <w:tr w:rsidR="00CA09B2" w14:paraId="3D4B33D7" w14:textId="77777777" w:rsidTr="00AC2159">
        <w:trPr>
          <w:trHeight w:val="485"/>
          <w:jc w:val="center"/>
        </w:trPr>
        <w:tc>
          <w:tcPr>
            <w:tcW w:w="9576" w:type="dxa"/>
            <w:gridSpan w:val="5"/>
            <w:vAlign w:val="center"/>
          </w:tcPr>
          <w:p w14:paraId="15CEE59B" w14:textId="6F88E37C" w:rsidR="00CA09B2" w:rsidRDefault="0002739E" w:rsidP="008A73D6">
            <w:pPr>
              <w:pStyle w:val="T2"/>
            </w:pPr>
            <w:r>
              <w:t>S</w:t>
            </w:r>
            <w:r w:rsidR="008A73D6">
              <w:t>A</w:t>
            </w:r>
            <w:r>
              <w:t xml:space="preserve"> ballot comment resolution</w:t>
            </w:r>
          </w:p>
        </w:tc>
      </w:tr>
      <w:tr w:rsidR="00CA09B2" w14:paraId="5BCB58F7" w14:textId="77777777" w:rsidTr="00AC2159">
        <w:trPr>
          <w:trHeight w:val="359"/>
          <w:jc w:val="center"/>
        </w:trPr>
        <w:tc>
          <w:tcPr>
            <w:tcW w:w="9576" w:type="dxa"/>
            <w:gridSpan w:val="5"/>
            <w:vAlign w:val="center"/>
          </w:tcPr>
          <w:p w14:paraId="0910925B" w14:textId="484ECF3B" w:rsidR="00CA09B2" w:rsidRDefault="00CA09B2">
            <w:pPr>
              <w:pStyle w:val="T2"/>
              <w:ind w:left="0"/>
              <w:rPr>
                <w:sz w:val="20"/>
              </w:rPr>
            </w:pPr>
            <w:r>
              <w:rPr>
                <w:sz w:val="20"/>
              </w:rPr>
              <w:t>Date:</w:t>
            </w:r>
            <w:r>
              <w:rPr>
                <w:b w:val="0"/>
                <w:sz w:val="20"/>
              </w:rPr>
              <w:t xml:space="preserve">  </w:t>
            </w:r>
            <w:r w:rsidR="00787700">
              <w:rPr>
                <w:b w:val="0"/>
                <w:sz w:val="20"/>
              </w:rPr>
              <w:t>2020</w:t>
            </w:r>
            <w:r>
              <w:rPr>
                <w:b w:val="0"/>
                <w:sz w:val="20"/>
              </w:rPr>
              <w:t>-</w:t>
            </w:r>
            <w:r w:rsidR="00787700">
              <w:rPr>
                <w:b w:val="0"/>
                <w:sz w:val="20"/>
              </w:rPr>
              <w:t>01</w:t>
            </w:r>
            <w:r>
              <w:rPr>
                <w:b w:val="0"/>
                <w:sz w:val="20"/>
              </w:rPr>
              <w:t>-</w:t>
            </w:r>
            <w:r w:rsidR="00787700">
              <w:rPr>
                <w:b w:val="0"/>
                <w:sz w:val="20"/>
              </w:rPr>
              <w:t>14</w:t>
            </w:r>
          </w:p>
        </w:tc>
      </w:tr>
      <w:tr w:rsidR="00CA09B2" w14:paraId="4037B67C" w14:textId="77777777" w:rsidTr="00AC2159">
        <w:trPr>
          <w:cantSplit/>
          <w:jc w:val="center"/>
        </w:trPr>
        <w:tc>
          <w:tcPr>
            <w:tcW w:w="9576" w:type="dxa"/>
            <w:gridSpan w:val="5"/>
            <w:vAlign w:val="center"/>
          </w:tcPr>
          <w:p w14:paraId="2320E681" w14:textId="77777777" w:rsidR="00CA09B2" w:rsidRDefault="00CA09B2">
            <w:pPr>
              <w:pStyle w:val="T2"/>
              <w:spacing w:after="0"/>
              <w:ind w:left="0" w:right="0"/>
              <w:jc w:val="left"/>
              <w:rPr>
                <w:sz w:val="20"/>
              </w:rPr>
            </w:pPr>
            <w:r>
              <w:rPr>
                <w:sz w:val="20"/>
              </w:rPr>
              <w:t>Author(s):</w:t>
            </w:r>
          </w:p>
        </w:tc>
      </w:tr>
      <w:tr w:rsidR="00CA09B2" w14:paraId="3AA6D2E5" w14:textId="77777777" w:rsidTr="00AC2159">
        <w:trPr>
          <w:jc w:val="center"/>
        </w:trPr>
        <w:tc>
          <w:tcPr>
            <w:tcW w:w="1818" w:type="dxa"/>
            <w:vAlign w:val="center"/>
          </w:tcPr>
          <w:p w14:paraId="346081CC" w14:textId="77777777" w:rsidR="00CA09B2" w:rsidRDefault="00CA09B2">
            <w:pPr>
              <w:pStyle w:val="T2"/>
              <w:spacing w:after="0"/>
              <w:ind w:left="0" w:right="0"/>
              <w:jc w:val="left"/>
              <w:rPr>
                <w:sz w:val="20"/>
              </w:rPr>
            </w:pPr>
            <w:r>
              <w:rPr>
                <w:sz w:val="20"/>
              </w:rPr>
              <w:t>Name</w:t>
            </w:r>
          </w:p>
        </w:tc>
        <w:tc>
          <w:tcPr>
            <w:tcW w:w="1582" w:type="dxa"/>
            <w:vAlign w:val="center"/>
          </w:tcPr>
          <w:p w14:paraId="75604546" w14:textId="77777777" w:rsidR="00CA09B2" w:rsidRDefault="0062440B">
            <w:pPr>
              <w:pStyle w:val="T2"/>
              <w:spacing w:after="0"/>
              <w:ind w:left="0" w:right="0"/>
              <w:jc w:val="left"/>
              <w:rPr>
                <w:sz w:val="20"/>
              </w:rPr>
            </w:pPr>
            <w:r>
              <w:rPr>
                <w:sz w:val="20"/>
              </w:rPr>
              <w:t>Affiliation</w:t>
            </w:r>
          </w:p>
        </w:tc>
        <w:tc>
          <w:tcPr>
            <w:tcW w:w="1928" w:type="dxa"/>
            <w:vAlign w:val="center"/>
          </w:tcPr>
          <w:p w14:paraId="094E8A4A" w14:textId="77777777" w:rsidR="00CA09B2" w:rsidRDefault="00CA09B2">
            <w:pPr>
              <w:pStyle w:val="T2"/>
              <w:spacing w:after="0"/>
              <w:ind w:left="0" w:right="0"/>
              <w:jc w:val="left"/>
              <w:rPr>
                <w:sz w:val="20"/>
              </w:rPr>
            </w:pPr>
            <w:r>
              <w:rPr>
                <w:sz w:val="20"/>
              </w:rPr>
              <w:t>Address</w:t>
            </w:r>
          </w:p>
        </w:tc>
        <w:tc>
          <w:tcPr>
            <w:tcW w:w="1440" w:type="dxa"/>
            <w:vAlign w:val="center"/>
          </w:tcPr>
          <w:p w14:paraId="251BF61A" w14:textId="77777777" w:rsidR="00CA09B2" w:rsidRDefault="00CA09B2">
            <w:pPr>
              <w:pStyle w:val="T2"/>
              <w:spacing w:after="0"/>
              <w:ind w:left="0" w:right="0"/>
              <w:jc w:val="left"/>
              <w:rPr>
                <w:sz w:val="20"/>
              </w:rPr>
            </w:pPr>
            <w:r>
              <w:rPr>
                <w:sz w:val="20"/>
              </w:rPr>
              <w:t>Phone</w:t>
            </w:r>
          </w:p>
        </w:tc>
        <w:tc>
          <w:tcPr>
            <w:tcW w:w="2808" w:type="dxa"/>
            <w:vAlign w:val="center"/>
          </w:tcPr>
          <w:p w14:paraId="3CBD0648" w14:textId="77777777" w:rsidR="00CA09B2" w:rsidRDefault="00CA09B2">
            <w:pPr>
              <w:pStyle w:val="T2"/>
              <w:spacing w:after="0"/>
              <w:ind w:left="0" w:right="0"/>
              <w:jc w:val="left"/>
              <w:rPr>
                <w:sz w:val="20"/>
              </w:rPr>
            </w:pPr>
            <w:r>
              <w:rPr>
                <w:sz w:val="20"/>
              </w:rPr>
              <w:t>email</w:t>
            </w:r>
          </w:p>
        </w:tc>
      </w:tr>
      <w:tr w:rsidR="00AC2159" w14:paraId="0330CA5F" w14:textId="77777777" w:rsidTr="00AC2159">
        <w:trPr>
          <w:jc w:val="center"/>
        </w:trPr>
        <w:tc>
          <w:tcPr>
            <w:tcW w:w="1818" w:type="dxa"/>
            <w:vAlign w:val="center"/>
          </w:tcPr>
          <w:p w14:paraId="2CF573C2" w14:textId="16B86C4E" w:rsidR="00AC2159" w:rsidRDefault="00AC2159" w:rsidP="00AC2159">
            <w:pPr>
              <w:pStyle w:val="T2"/>
              <w:spacing w:after="0"/>
              <w:ind w:left="0" w:right="0"/>
              <w:rPr>
                <w:b w:val="0"/>
                <w:sz w:val="20"/>
              </w:rPr>
            </w:pPr>
            <w:r>
              <w:rPr>
                <w:b w:val="0"/>
                <w:sz w:val="20"/>
              </w:rPr>
              <w:t>Solomon Trainin</w:t>
            </w:r>
          </w:p>
        </w:tc>
        <w:tc>
          <w:tcPr>
            <w:tcW w:w="1582" w:type="dxa"/>
            <w:vAlign w:val="center"/>
          </w:tcPr>
          <w:p w14:paraId="5F66A7C6" w14:textId="28A98D8A" w:rsidR="00AC2159" w:rsidRDefault="00AC2159" w:rsidP="00AC2159">
            <w:pPr>
              <w:pStyle w:val="T2"/>
              <w:spacing w:after="0"/>
              <w:ind w:left="0" w:right="0"/>
              <w:rPr>
                <w:b w:val="0"/>
                <w:sz w:val="20"/>
              </w:rPr>
            </w:pPr>
            <w:r>
              <w:rPr>
                <w:b w:val="0"/>
                <w:sz w:val="20"/>
              </w:rPr>
              <w:t>Qualcomm</w:t>
            </w:r>
          </w:p>
        </w:tc>
        <w:tc>
          <w:tcPr>
            <w:tcW w:w="1928" w:type="dxa"/>
            <w:vAlign w:val="center"/>
          </w:tcPr>
          <w:p w14:paraId="003F5005" w14:textId="77777777" w:rsidR="00AC2159" w:rsidRDefault="00AC2159" w:rsidP="00AC2159">
            <w:pPr>
              <w:pStyle w:val="T2"/>
              <w:spacing w:after="0"/>
              <w:ind w:left="0" w:right="0"/>
              <w:rPr>
                <w:b w:val="0"/>
                <w:sz w:val="20"/>
              </w:rPr>
            </w:pPr>
          </w:p>
        </w:tc>
        <w:tc>
          <w:tcPr>
            <w:tcW w:w="1440" w:type="dxa"/>
            <w:vAlign w:val="center"/>
          </w:tcPr>
          <w:p w14:paraId="17ED7150" w14:textId="77777777" w:rsidR="00AC2159" w:rsidRDefault="00AC2159" w:rsidP="00AC2159">
            <w:pPr>
              <w:pStyle w:val="T2"/>
              <w:spacing w:after="0"/>
              <w:ind w:left="0" w:right="0"/>
              <w:rPr>
                <w:b w:val="0"/>
                <w:sz w:val="20"/>
              </w:rPr>
            </w:pPr>
          </w:p>
        </w:tc>
        <w:tc>
          <w:tcPr>
            <w:tcW w:w="2808" w:type="dxa"/>
            <w:vAlign w:val="center"/>
          </w:tcPr>
          <w:p w14:paraId="0B20C4F6" w14:textId="3CF0AA26" w:rsidR="00AC2159" w:rsidRDefault="00AC2159" w:rsidP="00AC2159">
            <w:pPr>
              <w:pStyle w:val="T2"/>
              <w:spacing w:after="0"/>
              <w:ind w:left="0" w:right="0"/>
              <w:rPr>
                <w:b w:val="0"/>
                <w:sz w:val="16"/>
              </w:rPr>
            </w:pPr>
            <w:r w:rsidRPr="00215A38">
              <w:rPr>
                <w:b w:val="0"/>
                <w:sz w:val="20"/>
              </w:rPr>
              <w:t>strainin@qti.qualcomm.com</w:t>
            </w:r>
          </w:p>
        </w:tc>
      </w:tr>
      <w:tr w:rsidR="00AC2159" w14:paraId="082BEC97" w14:textId="77777777" w:rsidTr="00AC2159">
        <w:trPr>
          <w:jc w:val="center"/>
        </w:trPr>
        <w:tc>
          <w:tcPr>
            <w:tcW w:w="1818" w:type="dxa"/>
            <w:vAlign w:val="center"/>
          </w:tcPr>
          <w:p w14:paraId="01D0629B" w14:textId="77BC4027" w:rsidR="00AC2159" w:rsidRDefault="00AC2159" w:rsidP="00AC2159">
            <w:pPr>
              <w:pStyle w:val="T2"/>
              <w:spacing w:after="0"/>
              <w:ind w:left="0" w:right="0"/>
              <w:rPr>
                <w:b w:val="0"/>
                <w:sz w:val="20"/>
              </w:rPr>
            </w:pPr>
            <w:r>
              <w:rPr>
                <w:b w:val="0"/>
                <w:sz w:val="20"/>
              </w:rPr>
              <w:t>Alecsander Eitan</w:t>
            </w:r>
          </w:p>
        </w:tc>
        <w:tc>
          <w:tcPr>
            <w:tcW w:w="1582" w:type="dxa"/>
            <w:vAlign w:val="center"/>
          </w:tcPr>
          <w:p w14:paraId="326393E8" w14:textId="0BF61BE5" w:rsidR="00AC2159" w:rsidRDefault="00AC2159" w:rsidP="00AC2159">
            <w:pPr>
              <w:pStyle w:val="T2"/>
              <w:spacing w:after="0"/>
              <w:ind w:left="0" w:right="0"/>
              <w:rPr>
                <w:b w:val="0"/>
                <w:sz w:val="20"/>
              </w:rPr>
            </w:pPr>
            <w:r>
              <w:rPr>
                <w:b w:val="0"/>
                <w:sz w:val="20"/>
              </w:rPr>
              <w:t>Qualcomm</w:t>
            </w:r>
          </w:p>
        </w:tc>
        <w:tc>
          <w:tcPr>
            <w:tcW w:w="1928" w:type="dxa"/>
            <w:vAlign w:val="center"/>
          </w:tcPr>
          <w:p w14:paraId="312E05C6" w14:textId="77777777" w:rsidR="00AC2159" w:rsidRDefault="00AC2159" w:rsidP="00AC2159">
            <w:pPr>
              <w:pStyle w:val="T2"/>
              <w:spacing w:after="0"/>
              <w:ind w:left="0" w:right="0"/>
              <w:rPr>
                <w:b w:val="0"/>
                <w:sz w:val="20"/>
              </w:rPr>
            </w:pPr>
          </w:p>
        </w:tc>
        <w:tc>
          <w:tcPr>
            <w:tcW w:w="1440" w:type="dxa"/>
            <w:vAlign w:val="center"/>
          </w:tcPr>
          <w:p w14:paraId="4DA040D0" w14:textId="77777777" w:rsidR="00AC2159" w:rsidRDefault="00AC2159" w:rsidP="00AC2159">
            <w:pPr>
              <w:pStyle w:val="T2"/>
              <w:spacing w:after="0"/>
              <w:ind w:left="0" w:right="0"/>
              <w:rPr>
                <w:b w:val="0"/>
                <w:sz w:val="20"/>
              </w:rPr>
            </w:pPr>
          </w:p>
        </w:tc>
        <w:tc>
          <w:tcPr>
            <w:tcW w:w="2808" w:type="dxa"/>
            <w:vAlign w:val="center"/>
          </w:tcPr>
          <w:p w14:paraId="17E35B22" w14:textId="7B98E040" w:rsidR="00AC2159" w:rsidRDefault="00AC2159" w:rsidP="00AC2159">
            <w:pPr>
              <w:pStyle w:val="T2"/>
              <w:spacing w:after="0"/>
              <w:ind w:left="0" w:right="0"/>
              <w:rPr>
                <w:b w:val="0"/>
                <w:sz w:val="16"/>
              </w:rPr>
            </w:pPr>
            <w:r w:rsidRPr="00215A38">
              <w:rPr>
                <w:b w:val="0"/>
                <w:sz w:val="20"/>
              </w:rPr>
              <w:t>eitana@qti.qualcomm.com</w:t>
            </w:r>
          </w:p>
        </w:tc>
      </w:tr>
      <w:tr w:rsidR="00AC2159" w14:paraId="4C8FB31F" w14:textId="77777777" w:rsidTr="00AC2159">
        <w:trPr>
          <w:jc w:val="center"/>
        </w:trPr>
        <w:tc>
          <w:tcPr>
            <w:tcW w:w="1818" w:type="dxa"/>
            <w:vAlign w:val="center"/>
          </w:tcPr>
          <w:p w14:paraId="0BEAF522" w14:textId="32E00311" w:rsidR="00AC2159" w:rsidRDefault="00AC2159" w:rsidP="00AC2159">
            <w:pPr>
              <w:pStyle w:val="T2"/>
              <w:spacing w:after="0"/>
              <w:ind w:left="0" w:right="0"/>
              <w:rPr>
                <w:b w:val="0"/>
                <w:sz w:val="20"/>
              </w:rPr>
            </w:pPr>
            <w:r>
              <w:rPr>
                <w:b w:val="0"/>
                <w:sz w:val="20"/>
              </w:rPr>
              <w:t>Assaf Kasher</w:t>
            </w:r>
          </w:p>
        </w:tc>
        <w:tc>
          <w:tcPr>
            <w:tcW w:w="1582" w:type="dxa"/>
            <w:vAlign w:val="center"/>
          </w:tcPr>
          <w:p w14:paraId="4FCACA0E" w14:textId="56E27AEA" w:rsidR="00AC2159" w:rsidRDefault="00AC2159" w:rsidP="00AC2159">
            <w:pPr>
              <w:pStyle w:val="T2"/>
              <w:spacing w:after="0"/>
              <w:ind w:left="0" w:right="0"/>
              <w:rPr>
                <w:b w:val="0"/>
                <w:sz w:val="20"/>
              </w:rPr>
            </w:pPr>
            <w:r>
              <w:rPr>
                <w:b w:val="0"/>
                <w:sz w:val="20"/>
              </w:rPr>
              <w:t>Qualcomm</w:t>
            </w:r>
          </w:p>
        </w:tc>
        <w:tc>
          <w:tcPr>
            <w:tcW w:w="1928" w:type="dxa"/>
            <w:vAlign w:val="center"/>
          </w:tcPr>
          <w:p w14:paraId="31B65779" w14:textId="77777777" w:rsidR="00AC2159" w:rsidRDefault="00AC2159" w:rsidP="00AC2159">
            <w:pPr>
              <w:pStyle w:val="T2"/>
              <w:spacing w:after="0"/>
              <w:ind w:left="0" w:right="0"/>
              <w:rPr>
                <w:b w:val="0"/>
                <w:sz w:val="20"/>
              </w:rPr>
            </w:pPr>
          </w:p>
        </w:tc>
        <w:tc>
          <w:tcPr>
            <w:tcW w:w="1440" w:type="dxa"/>
            <w:vAlign w:val="center"/>
          </w:tcPr>
          <w:p w14:paraId="3B46955F" w14:textId="77777777" w:rsidR="00AC2159" w:rsidRDefault="00AC2159" w:rsidP="00AC2159">
            <w:pPr>
              <w:pStyle w:val="T2"/>
              <w:spacing w:after="0"/>
              <w:ind w:left="0" w:right="0"/>
              <w:rPr>
                <w:b w:val="0"/>
                <w:sz w:val="20"/>
              </w:rPr>
            </w:pPr>
          </w:p>
        </w:tc>
        <w:tc>
          <w:tcPr>
            <w:tcW w:w="2808" w:type="dxa"/>
            <w:vAlign w:val="center"/>
          </w:tcPr>
          <w:p w14:paraId="1DDD443E" w14:textId="499257BF" w:rsidR="00AC2159" w:rsidRDefault="00AC2159" w:rsidP="00AC2159">
            <w:pPr>
              <w:pStyle w:val="T2"/>
              <w:spacing w:after="0"/>
              <w:ind w:left="0" w:right="0"/>
              <w:rPr>
                <w:b w:val="0"/>
                <w:sz w:val="16"/>
              </w:rPr>
            </w:pPr>
            <w:r w:rsidRPr="00215A38">
              <w:rPr>
                <w:b w:val="0"/>
                <w:sz w:val="20"/>
              </w:rPr>
              <w:t>akasher@qti.qualcomm.com</w:t>
            </w:r>
          </w:p>
        </w:tc>
      </w:tr>
    </w:tbl>
    <w:p w14:paraId="18200A0A" w14:textId="77777777" w:rsidR="00CA09B2" w:rsidRDefault="0044711A">
      <w:pPr>
        <w:pStyle w:val="T1"/>
        <w:spacing w:after="120"/>
        <w:rPr>
          <w:sz w:val="22"/>
        </w:rPr>
      </w:pPr>
      <w:r>
        <w:rPr>
          <w:noProof/>
        </w:rPr>
        <mc:AlternateContent>
          <mc:Choice Requires="wps">
            <w:drawing>
              <wp:anchor distT="0" distB="0" distL="114300" distR="114300" simplePos="0" relativeHeight="251657728" behindDoc="0" locked="0" layoutInCell="0" allowOverlap="1" wp14:anchorId="155F0D19" wp14:editId="7A863E3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3649A" w14:textId="77777777" w:rsidR="0029020B" w:rsidRDefault="0029020B">
                            <w:pPr>
                              <w:pStyle w:val="T1"/>
                              <w:spacing w:after="120"/>
                            </w:pPr>
                            <w:r>
                              <w:t>Abstract</w:t>
                            </w:r>
                          </w:p>
                          <w:p w14:paraId="09265B50" w14:textId="1F89C7B5" w:rsidR="001459A9" w:rsidRPr="001459A9" w:rsidRDefault="0002739E" w:rsidP="001459A9">
                            <w:pPr>
                              <w:jc w:val="both"/>
                              <w:rPr>
                                <w:rFonts w:ascii="Calibri" w:hAnsi="Calibri" w:cs="Calibri"/>
                                <w:color w:val="000000"/>
                                <w:szCs w:val="22"/>
                                <w:lang w:val="en-US" w:bidi="he-IL"/>
                              </w:rPr>
                            </w:pPr>
                            <w:r>
                              <w:t>Resolution of S</w:t>
                            </w:r>
                            <w:r w:rsidR="00053968">
                              <w:t>A</w:t>
                            </w:r>
                            <w:r>
                              <w:t xml:space="preserve"> ballot comments </w:t>
                            </w:r>
                            <w:r w:rsidR="00EA5074">
                              <w:t xml:space="preserve">CIDs </w:t>
                            </w:r>
                            <w:r w:rsidR="00EA5074" w:rsidRPr="00EA5074">
                              <w:rPr>
                                <w:rFonts w:ascii="Calibri" w:hAnsi="Calibri" w:cs="Calibri"/>
                                <w:color w:val="000000"/>
                                <w:szCs w:val="22"/>
                                <w:lang w:val="en-US" w:bidi="he-IL"/>
                              </w:rPr>
                              <w:t>6113</w:t>
                            </w:r>
                            <w:r w:rsidR="00EA5074">
                              <w:rPr>
                                <w:rFonts w:ascii="Calibri" w:hAnsi="Calibri" w:cs="Calibri"/>
                                <w:color w:val="000000"/>
                                <w:szCs w:val="22"/>
                                <w:lang w:val="en-US" w:bidi="he-IL"/>
                              </w:rPr>
                              <w:t>,</w:t>
                            </w:r>
                            <w:r w:rsidR="00A126A0">
                              <w:rPr>
                                <w:rFonts w:ascii="Calibri" w:hAnsi="Calibri" w:cs="Calibri"/>
                                <w:color w:val="000000"/>
                                <w:szCs w:val="22"/>
                                <w:lang w:val="en-US" w:bidi="he-IL"/>
                              </w:rPr>
                              <w:t xml:space="preserve"> </w:t>
                            </w:r>
                            <w:r w:rsidR="00A126A0" w:rsidRPr="00A126A0">
                              <w:rPr>
                                <w:rFonts w:ascii="Calibri" w:hAnsi="Calibri" w:cs="Calibri"/>
                                <w:color w:val="000000"/>
                                <w:szCs w:val="22"/>
                                <w:lang w:val="en-US" w:bidi="he-IL"/>
                              </w:rPr>
                              <w:t>6114</w:t>
                            </w:r>
                            <w:r w:rsidR="00A126A0">
                              <w:rPr>
                                <w:rFonts w:ascii="Calibri" w:hAnsi="Calibri" w:cs="Calibri"/>
                                <w:color w:val="000000"/>
                                <w:szCs w:val="22"/>
                                <w:lang w:val="en-US" w:bidi="he-IL"/>
                              </w:rPr>
                              <w:t>,</w:t>
                            </w:r>
                            <w:r w:rsidR="009B3ABA">
                              <w:rPr>
                                <w:rFonts w:ascii="Calibri" w:hAnsi="Calibri" w:cs="Calibri"/>
                                <w:color w:val="000000"/>
                                <w:szCs w:val="22"/>
                                <w:lang w:val="en-US" w:bidi="he-IL"/>
                              </w:rPr>
                              <w:t xml:space="preserve"> </w:t>
                            </w:r>
                            <w:r w:rsidR="009B3ABA" w:rsidRPr="009B3ABA">
                              <w:rPr>
                                <w:rFonts w:ascii="Calibri" w:hAnsi="Calibri" w:cs="Calibri"/>
                                <w:color w:val="000000"/>
                                <w:szCs w:val="22"/>
                                <w:lang w:val="en-US" w:bidi="he-IL"/>
                              </w:rPr>
                              <w:t>6110</w:t>
                            </w:r>
                            <w:r w:rsidR="00742E5D">
                              <w:rPr>
                                <w:rFonts w:ascii="Calibri" w:hAnsi="Calibri" w:cs="Calibri"/>
                                <w:color w:val="000000"/>
                                <w:szCs w:val="22"/>
                                <w:lang w:val="en-US" w:bidi="he-IL"/>
                              </w:rPr>
                              <w:t xml:space="preserve">, </w:t>
                            </w:r>
                            <w:r w:rsidR="00742E5D" w:rsidRPr="00742E5D">
                              <w:rPr>
                                <w:rFonts w:ascii="Calibri" w:hAnsi="Calibri" w:cs="Calibri"/>
                                <w:color w:val="000000"/>
                                <w:szCs w:val="22"/>
                                <w:lang w:val="en-US" w:bidi="he-IL"/>
                              </w:rPr>
                              <w:t>6111</w:t>
                            </w:r>
                            <w:r w:rsidR="001459A9">
                              <w:rPr>
                                <w:rFonts w:ascii="Calibri" w:hAnsi="Calibri" w:cs="Calibri"/>
                                <w:color w:val="000000"/>
                                <w:szCs w:val="22"/>
                                <w:lang w:val="en-US" w:bidi="he-IL"/>
                              </w:rPr>
                              <w:t xml:space="preserve">, </w:t>
                            </w:r>
                            <w:r w:rsidR="001459A9" w:rsidRPr="001459A9">
                              <w:rPr>
                                <w:rFonts w:ascii="Calibri" w:hAnsi="Calibri" w:cs="Calibri"/>
                                <w:color w:val="000000"/>
                                <w:szCs w:val="22"/>
                                <w:lang w:val="en-US" w:bidi="he-IL"/>
                              </w:rPr>
                              <w:t>6112</w:t>
                            </w:r>
                          </w:p>
                          <w:p w14:paraId="2B4D003E" w14:textId="4081C533" w:rsidR="00742E5D" w:rsidRPr="00742E5D" w:rsidRDefault="00742E5D" w:rsidP="00742E5D">
                            <w:pPr>
                              <w:jc w:val="both"/>
                              <w:rPr>
                                <w:rFonts w:ascii="Calibri" w:hAnsi="Calibri" w:cs="Calibri"/>
                                <w:color w:val="000000"/>
                                <w:szCs w:val="22"/>
                                <w:lang w:val="en-US" w:bidi="he-IL"/>
                              </w:rPr>
                            </w:pPr>
                          </w:p>
                          <w:p w14:paraId="35510D8F" w14:textId="570948BA" w:rsidR="009B3ABA" w:rsidRPr="009B3ABA" w:rsidRDefault="009B3ABA" w:rsidP="009B3ABA">
                            <w:pPr>
                              <w:jc w:val="both"/>
                              <w:rPr>
                                <w:rFonts w:ascii="Calibri" w:hAnsi="Calibri" w:cs="Calibri"/>
                                <w:color w:val="000000"/>
                                <w:szCs w:val="22"/>
                                <w:lang w:val="en-US" w:bidi="he-IL"/>
                              </w:rPr>
                            </w:pPr>
                          </w:p>
                          <w:p w14:paraId="57ED416B" w14:textId="2478E898" w:rsidR="00A126A0" w:rsidRPr="00A126A0" w:rsidRDefault="00A126A0" w:rsidP="00A126A0">
                            <w:pPr>
                              <w:jc w:val="both"/>
                              <w:rPr>
                                <w:rFonts w:ascii="Calibri" w:hAnsi="Calibri" w:cs="Calibri"/>
                                <w:color w:val="000000"/>
                                <w:szCs w:val="22"/>
                                <w:lang w:val="en-US" w:bidi="he-IL"/>
                              </w:rPr>
                            </w:pPr>
                          </w:p>
                          <w:p w14:paraId="5A67B913" w14:textId="76524BB5" w:rsidR="00EA5074" w:rsidRPr="00EA5074" w:rsidRDefault="00EA5074" w:rsidP="00EA5074">
                            <w:pPr>
                              <w:jc w:val="both"/>
                              <w:rPr>
                                <w:rFonts w:ascii="Calibri" w:hAnsi="Calibri" w:cs="Calibri"/>
                                <w:color w:val="000000"/>
                                <w:szCs w:val="22"/>
                                <w:lang w:val="en-US" w:bidi="he-IL"/>
                              </w:rPr>
                            </w:pPr>
                          </w:p>
                          <w:p w14:paraId="54D74455" w14:textId="6E2187A7" w:rsidR="0029020B" w:rsidRPr="00EA5074" w:rsidRDefault="0029020B">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F0D1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5C23649A" w14:textId="77777777" w:rsidR="0029020B" w:rsidRDefault="0029020B">
                      <w:pPr>
                        <w:pStyle w:val="T1"/>
                        <w:spacing w:after="120"/>
                      </w:pPr>
                      <w:r>
                        <w:t>Abstract</w:t>
                      </w:r>
                    </w:p>
                    <w:p w14:paraId="09265B50" w14:textId="1F89C7B5" w:rsidR="001459A9" w:rsidRPr="001459A9" w:rsidRDefault="0002739E" w:rsidP="001459A9">
                      <w:pPr>
                        <w:jc w:val="both"/>
                        <w:rPr>
                          <w:rFonts w:ascii="Calibri" w:hAnsi="Calibri" w:cs="Calibri"/>
                          <w:color w:val="000000"/>
                          <w:szCs w:val="22"/>
                          <w:lang w:val="en-US" w:bidi="he-IL"/>
                        </w:rPr>
                      </w:pPr>
                      <w:r>
                        <w:t>Resolution of S</w:t>
                      </w:r>
                      <w:r w:rsidR="00053968">
                        <w:t>A</w:t>
                      </w:r>
                      <w:r>
                        <w:t xml:space="preserve"> ballot comments </w:t>
                      </w:r>
                      <w:r w:rsidR="00EA5074">
                        <w:t xml:space="preserve">CIDs </w:t>
                      </w:r>
                      <w:r w:rsidR="00EA5074" w:rsidRPr="00EA5074">
                        <w:rPr>
                          <w:rFonts w:ascii="Calibri" w:hAnsi="Calibri" w:cs="Calibri"/>
                          <w:color w:val="000000"/>
                          <w:szCs w:val="22"/>
                          <w:lang w:val="en-US" w:bidi="he-IL"/>
                        </w:rPr>
                        <w:t>6113</w:t>
                      </w:r>
                      <w:r w:rsidR="00EA5074">
                        <w:rPr>
                          <w:rFonts w:ascii="Calibri" w:hAnsi="Calibri" w:cs="Calibri"/>
                          <w:color w:val="000000"/>
                          <w:szCs w:val="22"/>
                          <w:lang w:val="en-US" w:bidi="he-IL"/>
                        </w:rPr>
                        <w:t>,</w:t>
                      </w:r>
                      <w:r w:rsidR="00A126A0">
                        <w:rPr>
                          <w:rFonts w:ascii="Calibri" w:hAnsi="Calibri" w:cs="Calibri"/>
                          <w:color w:val="000000"/>
                          <w:szCs w:val="22"/>
                          <w:lang w:val="en-US" w:bidi="he-IL"/>
                        </w:rPr>
                        <w:t xml:space="preserve"> </w:t>
                      </w:r>
                      <w:r w:rsidR="00A126A0" w:rsidRPr="00A126A0">
                        <w:rPr>
                          <w:rFonts w:ascii="Calibri" w:hAnsi="Calibri" w:cs="Calibri"/>
                          <w:color w:val="000000"/>
                          <w:szCs w:val="22"/>
                          <w:lang w:val="en-US" w:bidi="he-IL"/>
                        </w:rPr>
                        <w:t>6114</w:t>
                      </w:r>
                      <w:r w:rsidR="00A126A0">
                        <w:rPr>
                          <w:rFonts w:ascii="Calibri" w:hAnsi="Calibri" w:cs="Calibri"/>
                          <w:color w:val="000000"/>
                          <w:szCs w:val="22"/>
                          <w:lang w:val="en-US" w:bidi="he-IL"/>
                        </w:rPr>
                        <w:t>,</w:t>
                      </w:r>
                      <w:r w:rsidR="009B3ABA">
                        <w:rPr>
                          <w:rFonts w:ascii="Calibri" w:hAnsi="Calibri" w:cs="Calibri"/>
                          <w:color w:val="000000"/>
                          <w:szCs w:val="22"/>
                          <w:lang w:val="en-US" w:bidi="he-IL"/>
                        </w:rPr>
                        <w:t xml:space="preserve"> </w:t>
                      </w:r>
                      <w:r w:rsidR="009B3ABA" w:rsidRPr="009B3ABA">
                        <w:rPr>
                          <w:rFonts w:ascii="Calibri" w:hAnsi="Calibri" w:cs="Calibri"/>
                          <w:color w:val="000000"/>
                          <w:szCs w:val="22"/>
                          <w:lang w:val="en-US" w:bidi="he-IL"/>
                        </w:rPr>
                        <w:t>6110</w:t>
                      </w:r>
                      <w:r w:rsidR="00742E5D">
                        <w:rPr>
                          <w:rFonts w:ascii="Calibri" w:hAnsi="Calibri" w:cs="Calibri"/>
                          <w:color w:val="000000"/>
                          <w:szCs w:val="22"/>
                          <w:lang w:val="en-US" w:bidi="he-IL"/>
                        </w:rPr>
                        <w:t xml:space="preserve">, </w:t>
                      </w:r>
                      <w:r w:rsidR="00742E5D" w:rsidRPr="00742E5D">
                        <w:rPr>
                          <w:rFonts w:ascii="Calibri" w:hAnsi="Calibri" w:cs="Calibri"/>
                          <w:color w:val="000000"/>
                          <w:szCs w:val="22"/>
                          <w:lang w:val="en-US" w:bidi="he-IL"/>
                        </w:rPr>
                        <w:t>6111</w:t>
                      </w:r>
                      <w:r w:rsidR="001459A9">
                        <w:rPr>
                          <w:rFonts w:ascii="Calibri" w:hAnsi="Calibri" w:cs="Calibri"/>
                          <w:color w:val="000000"/>
                          <w:szCs w:val="22"/>
                          <w:lang w:val="en-US" w:bidi="he-IL"/>
                        </w:rPr>
                        <w:t xml:space="preserve">, </w:t>
                      </w:r>
                      <w:r w:rsidR="001459A9" w:rsidRPr="001459A9">
                        <w:rPr>
                          <w:rFonts w:ascii="Calibri" w:hAnsi="Calibri" w:cs="Calibri"/>
                          <w:color w:val="000000"/>
                          <w:szCs w:val="22"/>
                          <w:lang w:val="en-US" w:bidi="he-IL"/>
                        </w:rPr>
                        <w:t>6112</w:t>
                      </w:r>
                    </w:p>
                    <w:p w14:paraId="2B4D003E" w14:textId="4081C533" w:rsidR="00742E5D" w:rsidRPr="00742E5D" w:rsidRDefault="00742E5D" w:rsidP="00742E5D">
                      <w:pPr>
                        <w:jc w:val="both"/>
                        <w:rPr>
                          <w:rFonts w:ascii="Calibri" w:hAnsi="Calibri" w:cs="Calibri"/>
                          <w:color w:val="000000"/>
                          <w:szCs w:val="22"/>
                          <w:lang w:val="en-US" w:bidi="he-IL"/>
                        </w:rPr>
                      </w:pPr>
                    </w:p>
                    <w:p w14:paraId="35510D8F" w14:textId="570948BA" w:rsidR="009B3ABA" w:rsidRPr="009B3ABA" w:rsidRDefault="009B3ABA" w:rsidP="009B3ABA">
                      <w:pPr>
                        <w:jc w:val="both"/>
                        <w:rPr>
                          <w:rFonts w:ascii="Calibri" w:hAnsi="Calibri" w:cs="Calibri"/>
                          <w:color w:val="000000"/>
                          <w:szCs w:val="22"/>
                          <w:lang w:val="en-US" w:bidi="he-IL"/>
                        </w:rPr>
                      </w:pPr>
                    </w:p>
                    <w:p w14:paraId="57ED416B" w14:textId="2478E898" w:rsidR="00A126A0" w:rsidRPr="00A126A0" w:rsidRDefault="00A126A0" w:rsidP="00A126A0">
                      <w:pPr>
                        <w:jc w:val="both"/>
                        <w:rPr>
                          <w:rFonts w:ascii="Calibri" w:hAnsi="Calibri" w:cs="Calibri"/>
                          <w:color w:val="000000"/>
                          <w:szCs w:val="22"/>
                          <w:lang w:val="en-US" w:bidi="he-IL"/>
                        </w:rPr>
                      </w:pPr>
                    </w:p>
                    <w:p w14:paraId="5A67B913" w14:textId="76524BB5" w:rsidR="00EA5074" w:rsidRPr="00EA5074" w:rsidRDefault="00EA5074" w:rsidP="00EA5074">
                      <w:pPr>
                        <w:jc w:val="both"/>
                        <w:rPr>
                          <w:rFonts w:ascii="Calibri" w:hAnsi="Calibri" w:cs="Calibri"/>
                          <w:color w:val="000000"/>
                          <w:szCs w:val="22"/>
                          <w:lang w:val="en-US" w:bidi="he-IL"/>
                        </w:rPr>
                      </w:pPr>
                    </w:p>
                    <w:p w14:paraId="54D74455" w14:textId="6E2187A7" w:rsidR="0029020B" w:rsidRPr="00EA5074" w:rsidRDefault="0029020B">
                      <w:pPr>
                        <w:jc w:val="both"/>
                        <w:rPr>
                          <w:lang w:val="en-US"/>
                        </w:rPr>
                      </w:pPr>
                    </w:p>
                  </w:txbxContent>
                </v:textbox>
              </v:shape>
            </w:pict>
          </mc:Fallback>
        </mc:AlternateContent>
      </w:r>
    </w:p>
    <w:p w14:paraId="202DE96B" w14:textId="77777777" w:rsidR="00CA09B2" w:rsidRDefault="00CA09B2"/>
    <w:p w14:paraId="1C6061CD" w14:textId="77777777" w:rsidR="00E7629A" w:rsidRDefault="00CA09B2">
      <w:r>
        <w:br w:type="page"/>
      </w:r>
    </w:p>
    <w:tbl>
      <w:tblPr>
        <w:tblW w:w="11070" w:type="dxa"/>
        <w:tblInd w:w="-252" w:type="dxa"/>
        <w:tblLook w:val="04A0" w:firstRow="1" w:lastRow="0" w:firstColumn="1" w:lastColumn="0" w:noHBand="0" w:noVBand="1"/>
      </w:tblPr>
      <w:tblGrid>
        <w:gridCol w:w="664"/>
        <w:gridCol w:w="743"/>
        <w:gridCol w:w="1160"/>
        <w:gridCol w:w="57"/>
        <w:gridCol w:w="641"/>
        <w:gridCol w:w="15"/>
        <w:gridCol w:w="3627"/>
        <w:gridCol w:w="2647"/>
        <w:gridCol w:w="1516"/>
      </w:tblGrid>
      <w:tr w:rsidR="00155ED8" w:rsidRPr="00E7629A" w14:paraId="49E9782F" w14:textId="77777777" w:rsidTr="00D604D7">
        <w:trPr>
          <w:trHeight w:val="528"/>
          <w:tblHeader/>
        </w:trPr>
        <w:tc>
          <w:tcPr>
            <w:tcW w:w="561" w:type="dxa"/>
            <w:tcBorders>
              <w:top w:val="nil"/>
              <w:left w:val="nil"/>
              <w:bottom w:val="nil"/>
              <w:right w:val="nil"/>
            </w:tcBorders>
            <w:shd w:val="clear" w:color="000000" w:fill="808080"/>
            <w:vAlign w:val="center"/>
          </w:tcPr>
          <w:p w14:paraId="3894A43B" w14:textId="77777777" w:rsidR="00155ED8" w:rsidRPr="00E7629A" w:rsidRDefault="00155ED8" w:rsidP="00E7629A">
            <w:pPr>
              <w:rPr>
                <w:rFonts w:ascii="Arial" w:hAnsi="Arial" w:cs="Arial"/>
                <w:b/>
                <w:bCs/>
                <w:color w:val="FFFFFF"/>
                <w:sz w:val="20"/>
                <w:lang w:val="en-US" w:bidi="he-IL"/>
              </w:rPr>
            </w:pPr>
            <w:bookmarkStart w:id="0" w:name="_Hlk29857513"/>
            <w:r>
              <w:rPr>
                <w:rFonts w:ascii="Arial" w:hAnsi="Arial" w:cs="Arial"/>
                <w:b/>
                <w:bCs/>
                <w:color w:val="FFFFFF"/>
                <w:sz w:val="20"/>
                <w:lang w:val="en-US" w:bidi="he-IL"/>
              </w:rPr>
              <w:lastRenderedPageBreak/>
              <w:t>CID</w:t>
            </w:r>
          </w:p>
        </w:tc>
        <w:tc>
          <w:tcPr>
            <w:tcW w:w="746" w:type="dxa"/>
            <w:tcBorders>
              <w:top w:val="nil"/>
              <w:left w:val="nil"/>
              <w:bottom w:val="nil"/>
              <w:right w:val="nil"/>
            </w:tcBorders>
            <w:shd w:val="clear" w:color="000000" w:fill="808080"/>
            <w:vAlign w:val="center"/>
            <w:hideMark/>
          </w:tcPr>
          <w:p w14:paraId="396D2C19" w14:textId="77777777" w:rsidR="00155ED8" w:rsidRPr="00E7629A" w:rsidRDefault="00155ED8" w:rsidP="00E7629A">
            <w:pPr>
              <w:rPr>
                <w:rFonts w:ascii="Arial" w:hAnsi="Arial" w:cs="Arial"/>
                <w:b/>
                <w:bCs/>
                <w:color w:val="FFFFFF"/>
                <w:sz w:val="20"/>
                <w:lang w:val="en-US" w:bidi="he-IL"/>
              </w:rPr>
            </w:pPr>
            <w:r w:rsidRPr="00E7629A">
              <w:rPr>
                <w:rFonts w:ascii="Arial" w:hAnsi="Arial" w:cs="Arial"/>
                <w:b/>
                <w:bCs/>
                <w:color w:val="FFFFFF"/>
                <w:sz w:val="20"/>
                <w:lang w:val="en-US" w:bidi="he-IL"/>
              </w:rPr>
              <w:t>Page</w:t>
            </w:r>
          </w:p>
        </w:tc>
        <w:tc>
          <w:tcPr>
            <w:tcW w:w="1160" w:type="dxa"/>
            <w:tcBorders>
              <w:top w:val="nil"/>
              <w:left w:val="nil"/>
              <w:bottom w:val="nil"/>
              <w:right w:val="nil"/>
            </w:tcBorders>
            <w:shd w:val="clear" w:color="000000" w:fill="808080"/>
            <w:vAlign w:val="center"/>
            <w:hideMark/>
          </w:tcPr>
          <w:p w14:paraId="2C418B8E" w14:textId="77777777" w:rsidR="00155ED8" w:rsidRPr="00E7629A" w:rsidRDefault="00155ED8" w:rsidP="00E7629A">
            <w:pPr>
              <w:rPr>
                <w:rFonts w:ascii="Arial" w:hAnsi="Arial" w:cs="Arial"/>
                <w:b/>
                <w:bCs/>
                <w:color w:val="FFFFFF"/>
                <w:sz w:val="20"/>
                <w:lang w:val="en-US" w:bidi="he-IL"/>
              </w:rPr>
            </w:pPr>
            <w:r w:rsidRPr="00E7629A">
              <w:rPr>
                <w:rFonts w:ascii="Arial" w:hAnsi="Arial" w:cs="Arial"/>
                <w:b/>
                <w:bCs/>
                <w:color w:val="FFFFFF"/>
                <w:sz w:val="20"/>
                <w:lang w:val="en-US" w:bidi="he-IL"/>
              </w:rPr>
              <w:t>Sub-clause</w:t>
            </w:r>
          </w:p>
        </w:tc>
        <w:tc>
          <w:tcPr>
            <w:tcW w:w="702" w:type="dxa"/>
            <w:gridSpan w:val="2"/>
            <w:tcBorders>
              <w:top w:val="nil"/>
              <w:left w:val="nil"/>
              <w:bottom w:val="nil"/>
              <w:right w:val="nil"/>
            </w:tcBorders>
            <w:shd w:val="clear" w:color="000000" w:fill="808080"/>
            <w:vAlign w:val="center"/>
            <w:hideMark/>
          </w:tcPr>
          <w:p w14:paraId="6993A392" w14:textId="77777777" w:rsidR="00155ED8" w:rsidRPr="00E7629A" w:rsidRDefault="00155ED8" w:rsidP="00E7629A">
            <w:pPr>
              <w:rPr>
                <w:rFonts w:ascii="Arial" w:hAnsi="Arial" w:cs="Arial"/>
                <w:b/>
                <w:bCs/>
                <w:color w:val="FFFFFF"/>
                <w:sz w:val="20"/>
                <w:lang w:val="en-US" w:bidi="he-IL"/>
              </w:rPr>
            </w:pPr>
            <w:r w:rsidRPr="00E7629A">
              <w:rPr>
                <w:rFonts w:ascii="Arial" w:hAnsi="Arial" w:cs="Arial"/>
                <w:b/>
                <w:bCs/>
                <w:color w:val="FFFFFF"/>
                <w:sz w:val="20"/>
                <w:lang w:val="en-US" w:bidi="he-IL"/>
              </w:rPr>
              <w:t>Line #</w:t>
            </w:r>
          </w:p>
        </w:tc>
        <w:tc>
          <w:tcPr>
            <w:tcW w:w="3671" w:type="dxa"/>
            <w:gridSpan w:val="2"/>
            <w:tcBorders>
              <w:top w:val="nil"/>
              <w:left w:val="nil"/>
              <w:bottom w:val="nil"/>
              <w:right w:val="nil"/>
            </w:tcBorders>
            <w:shd w:val="clear" w:color="000000" w:fill="808080"/>
            <w:vAlign w:val="center"/>
            <w:hideMark/>
          </w:tcPr>
          <w:p w14:paraId="5FF701D6" w14:textId="77777777" w:rsidR="00155ED8" w:rsidRPr="00E7629A" w:rsidRDefault="00155ED8" w:rsidP="00E7629A">
            <w:pPr>
              <w:rPr>
                <w:rFonts w:ascii="Arial" w:hAnsi="Arial" w:cs="Arial"/>
                <w:b/>
                <w:bCs/>
                <w:color w:val="FFFFFF"/>
                <w:sz w:val="20"/>
                <w:lang w:val="en-US" w:bidi="he-IL"/>
              </w:rPr>
            </w:pPr>
            <w:r w:rsidRPr="00E7629A">
              <w:rPr>
                <w:rFonts w:ascii="Arial" w:hAnsi="Arial" w:cs="Arial"/>
                <w:b/>
                <w:bCs/>
                <w:color w:val="FFFFFF"/>
                <w:sz w:val="20"/>
                <w:lang w:val="en-US" w:bidi="he-IL"/>
              </w:rPr>
              <w:t>Comment</w:t>
            </w:r>
          </w:p>
        </w:tc>
        <w:tc>
          <w:tcPr>
            <w:tcW w:w="2700" w:type="dxa"/>
            <w:tcBorders>
              <w:top w:val="nil"/>
              <w:left w:val="nil"/>
              <w:bottom w:val="nil"/>
              <w:right w:val="nil"/>
            </w:tcBorders>
            <w:shd w:val="clear" w:color="000000" w:fill="808080"/>
            <w:vAlign w:val="center"/>
            <w:hideMark/>
          </w:tcPr>
          <w:p w14:paraId="220E5ADE" w14:textId="77777777" w:rsidR="00155ED8" w:rsidRPr="00E7629A" w:rsidRDefault="00155ED8" w:rsidP="00E7629A">
            <w:pPr>
              <w:rPr>
                <w:rFonts w:ascii="Arial" w:hAnsi="Arial" w:cs="Arial"/>
                <w:b/>
                <w:bCs/>
                <w:color w:val="FFFFFF"/>
                <w:sz w:val="20"/>
                <w:lang w:val="en-US" w:bidi="he-IL"/>
              </w:rPr>
            </w:pPr>
            <w:r w:rsidRPr="00E7629A">
              <w:rPr>
                <w:rFonts w:ascii="Arial" w:hAnsi="Arial" w:cs="Arial"/>
                <w:b/>
                <w:bCs/>
                <w:color w:val="FFFFFF"/>
                <w:sz w:val="20"/>
                <w:lang w:val="en-US" w:bidi="he-IL"/>
              </w:rPr>
              <w:t>Proposed Change</w:t>
            </w:r>
          </w:p>
        </w:tc>
        <w:tc>
          <w:tcPr>
            <w:tcW w:w="1530" w:type="dxa"/>
            <w:tcBorders>
              <w:top w:val="nil"/>
              <w:left w:val="nil"/>
              <w:bottom w:val="nil"/>
              <w:right w:val="nil"/>
            </w:tcBorders>
            <w:shd w:val="clear" w:color="000000" w:fill="808080"/>
            <w:vAlign w:val="center"/>
          </w:tcPr>
          <w:p w14:paraId="1BC0AE3F" w14:textId="77777777" w:rsidR="00155ED8" w:rsidRPr="00E7629A" w:rsidRDefault="00155ED8" w:rsidP="00E7629A">
            <w:pPr>
              <w:rPr>
                <w:rFonts w:ascii="Arial" w:hAnsi="Arial" w:cs="Arial"/>
                <w:b/>
                <w:bCs/>
                <w:color w:val="FFFFFF"/>
                <w:sz w:val="20"/>
                <w:lang w:val="en-US" w:bidi="he-IL"/>
              </w:rPr>
            </w:pPr>
            <w:r>
              <w:rPr>
                <w:rFonts w:ascii="Arial" w:hAnsi="Arial" w:cs="Arial"/>
                <w:b/>
                <w:bCs/>
                <w:color w:val="FFFFFF"/>
                <w:sz w:val="20"/>
                <w:lang w:val="en-US" w:bidi="he-IL"/>
              </w:rPr>
              <w:t xml:space="preserve">Resolution </w:t>
            </w:r>
          </w:p>
        </w:tc>
      </w:tr>
      <w:bookmarkEnd w:id="0"/>
      <w:tr w:rsidR="00155ED8" w:rsidRPr="00155ED8" w14:paraId="5BCD5472" w14:textId="77777777" w:rsidTr="00D604D7">
        <w:trPr>
          <w:trHeight w:val="792"/>
        </w:trPr>
        <w:tc>
          <w:tcPr>
            <w:tcW w:w="561" w:type="dxa"/>
            <w:tcBorders>
              <w:top w:val="single" w:sz="4" w:space="0" w:color="auto"/>
              <w:left w:val="single" w:sz="4" w:space="0" w:color="auto"/>
              <w:bottom w:val="single" w:sz="4" w:space="0" w:color="auto"/>
              <w:right w:val="single" w:sz="4" w:space="0" w:color="auto"/>
            </w:tcBorders>
          </w:tcPr>
          <w:p w14:paraId="02FD5963" w14:textId="77777777" w:rsidR="009B3ABA" w:rsidRDefault="009B3ABA" w:rsidP="009B3ABA">
            <w:pPr>
              <w:rPr>
                <w:rFonts w:ascii="Calibri" w:hAnsi="Calibri" w:cs="Calibri"/>
                <w:color w:val="000000"/>
                <w:szCs w:val="22"/>
                <w:lang w:val="en-US" w:bidi="he-IL"/>
              </w:rPr>
            </w:pPr>
            <w:r>
              <w:rPr>
                <w:rFonts w:ascii="Calibri" w:hAnsi="Calibri" w:cs="Calibri"/>
                <w:color w:val="000000"/>
                <w:szCs w:val="22"/>
              </w:rPr>
              <w:t>6110</w:t>
            </w:r>
          </w:p>
          <w:p w14:paraId="1CB47FFD" w14:textId="32F75C7B" w:rsidR="00155ED8" w:rsidRPr="00155ED8" w:rsidRDefault="00155ED8" w:rsidP="00155ED8">
            <w:pPr>
              <w:rPr>
                <w:rFonts w:ascii="Arial" w:hAnsi="Arial" w:cs="Arial"/>
                <w:sz w:val="20"/>
                <w:lang w:val="en-US" w:bidi="he-IL"/>
              </w:rPr>
            </w:pPr>
          </w:p>
        </w:tc>
        <w:tc>
          <w:tcPr>
            <w:tcW w:w="7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9EC960"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386</w:t>
            </w:r>
          </w:p>
        </w:tc>
        <w:tc>
          <w:tcPr>
            <w:tcW w:w="1217" w:type="dxa"/>
            <w:gridSpan w:val="2"/>
            <w:tcBorders>
              <w:top w:val="single" w:sz="4" w:space="0" w:color="auto"/>
              <w:left w:val="nil"/>
              <w:bottom w:val="single" w:sz="4" w:space="0" w:color="auto"/>
              <w:right w:val="single" w:sz="4" w:space="0" w:color="auto"/>
            </w:tcBorders>
            <w:shd w:val="clear" w:color="auto" w:fill="auto"/>
            <w:vAlign w:val="bottom"/>
            <w:hideMark/>
          </w:tcPr>
          <w:p w14:paraId="0DA0581F"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 xml:space="preserve">11.37.3 </w:t>
            </w:r>
          </w:p>
        </w:tc>
        <w:tc>
          <w:tcPr>
            <w:tcW w:w="660" w:type="dxa"/>
            <w:gridSpan w:val="2"/>
            <w:tcBorders>
              <w:top w:val="single" w:sz="4" w:space="0" w:color="auto"/>
              <w:left w:val="nil"/>
              <w:bottom w:val="single" w:sz="4" w:space="0" w:color="auto"/>
              <w:right w:val="single" w:sz="4" w:space="0" w:color="auto"/>
            </w:tcBorders>
            <w:shd w:val="clear" w:color="auto" w:fill="auto"/>
            <w:vAlign w:val="bottom"/>
            <w:hideMark/>
          </w:tcPr>
          <w:p w14:paraId="5B61547C"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24</w:t>
            </w:r>
          </w:p>
        </w:tc>
        <w:tc>
          <w:tcPr>
            <w:tcW w:w="3656" w:type="dxa"/>
            <w:tcBorders>
              <w:top w:val="single" w:sz="4" w:space="0" w:color="auto"/>
              <w:left w:val="nil"/>
              <w:bottom w:val="single" w:sz="4" w:space="0" w:color="auto"/>
              <w:right w:val="single" w:sz="4" w:space="0" w:color="auto"/>
            </w:tcBorders>
            <w:shd w:val="clear" w:color="auto" w:fill="auto"/>
            <w:vAlign w:val="bottom"/>
            <w:hideMark/>
          </w:tcPr>
          <w:p w14:paraId="3FF2EDDE"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"Issue an MLME-TDD-SECTOR-</w:t>
            </w:r>
            <w:proofErr w:type="spellStart"/>
            <w:r w:rsidRPr="00155ED8">
              <w:rPr>
                <w:rFonts w:ascii="Arial" w:hAnsi="Arial" w:cs="Arial"/>
                <w:sz w:val="20"/>
                <w:lang w:val="en-US" w:bidi="he-IL"/>
              </w:rPr>
              <w:t>SWITCH.indication</w:t>
            </w:r>
            <w:proofErr w:type="spellEnd"/>
            <w:r w:rsidRPr="00155ED8">
              <w:rPr>
                <w:rFonts w:ascii="Arial" w:hAnsi="Arial" w:cs="Arial"/>
                <w:sz w:val="20"/>
                <w:lang w:val="en-US" w:bidi="he-IL"/>
              </w:rPr>
              <w:t xml:space="preserve"> primitive" The </w:t>
            </w:r>
            <w:proofErr w:type="spellStart"/>
            <w:r w:rsidRPr="00155ED8">
              <w:rPr>
                <w:rFonts w:ascii="Arial" w:hAnsi="Arial" w:cs="Arial"/>
                <w:sz w:val="20"/>
                <w:lang w:val="en-US" w:bidi="he-IL"/>
              </w:rPr>
              <w:t>ResultCode</w:t>
            </w:r>
            <w:proofErr w:type="spellEnd"/>
            <w:r w:rsidRPr="00155ED8">
              <w:rPr>
                <w:rFonts w:ascii="Arial" w:hAnsi="Arial" w:cs="Arial"/>
                <w:sz w:val="20"/>
                <w:lang w:val="en-US" w:bidi="he-IL"/>
              </w:rPr>
              <w:t xml:space="preserve"> is not defined for the case</w:t>
            </w:r>
          </w:p>
        </w:tc>
        <w:tc>
          <w:tcPr>
            <w:tcW w:w="2700" w:type="dxa"/>
            <w:tcBorders>
              <w:top w:val="single" w:sz="4" w:space="0" w:color="auto"/>
              <w:left w:val="nil"/>
              <w:bottom w:val="single" w:sz="4" w:space="0" w:color="auto"/>
              <w:right w:val="single" w:sz="4" w:space="0" w:color="auto"/>
            </w:tcBorders>
            <w:shd w:val="clear" w:color="auto" w:fill="auto"/>
            <w:vAlign w:val="bottom"/>
            <w:hideMark/>
          </w:tcPr>
          <w:p w14:paraId="659C28CD"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 xml:space="preserve">Define value of the </w:t>
            </w:r>
            <w:proofErr w:type="spellStart"/>
            <w:r w:rsidRPr="00155ED8">
              <w:rPr>
                <w:rFonts w:ascii="Arial" w:hAnsi="Arial" w:cs="Arial"/>
                <w:sz w:val="20"/>
                <w:lang w:val="en-US" w:bidi="he-IL"/>
              </w:rPr>
              <w:t>ResultCode</w:t>
            </w:r>
            <w:proofErr w:type="spellEnd"/>
          </w:p>
        </w:tc>
        <w:tc>
          <w:tcPr>
            <w:tcW w:w="1530" w:type="dxa"/>
            <w:tcBorders>
              <w:top w:val="single" w:sz="4" w:space="0" w:color="auto"/>
              <w:left w:val="nil"/>
              <w:bottom w:val="single" w:sz="4" w:space="0" w:color="auto"/>
              <w:right w:val="single" w:sz="4" w:space="0" w:color="auto"/>
            </w:tcBorders>
          </w:tcPr>
          <w:p w14:paraId="32D6216E" w14:textId="77777777" w:rsidR="00155ED8" w:rsidRPr="00155ED8" w:rsidRDefault="00155ED8" w:rsidP="00155ED8">
            <w:pPr>
              <w:rPr>
                <w:rFonts w:ascii="Arial" w:hAnsi="Arial" w:cs="Arial"/>
                <w:sz w:val="20"/>
                <w:lang w:val="en-US" w:bidi="he-IL"/>
              </w:rPr>
            </w:pPr>
            <w:r>
              <w:rPr>
                <w:rFonts w:ascii="Arial" w:hAnsi="Arial" w:cs="Arial"/>
                <w:sz w:val="20"/>
                <w:lang w:val="en-US" w:bidi="he-IL"/>
              </w:rPr>
              <w:t xml:space="preserve">Revised, see below in the document </w:t>
            </w:r>
          </w:p>
        </w:tc>
      </w:tr>
      <w:tr w:rsidR="00155ED8" w:rsidRPr="00155ED8" w14:paraId="64AFD1E2" w14:textId="77777777" w:rsidTr="00D604D7">
        <w:trPr>
          <w:trHeight w:val="264"/>
        </w:trPr>
        <w:tc>
          <w:tcPr>
            <w:tcW w:w="561" w:type="dxa"/>
            <w:tcBorders>
              <w:top w:val="nil"/>
              <w:left w:val="single" w:sz="4" w:space="0" w:color="auto"/>
              <w:bottom w:val="single" w:sz="4" w:space="0" w:color="auto"/>
              <w:right w:val="single" w:sz="4" w:space="0" w:color="auto"/>
            </w:tcBorders>
          </w:tcPr>
          <w:p w14:paraId="6F2D914C" w14:textId="0E22BD1E" w:rsidR="00155ED8" w:rsidRPr="00742E5D" w:rsidRDefault="00742E5D" w:rsidP="00742E5D">
            <w:pPr>
              <w:rPr>
                <w:rFonts w:ascii="Calibri" w:hAnsi="Calibri" w:cs="Calibri"/>
                <w:color w:val="000000"/>
                <w:szCs w:val="22"/>
                <w:lang w:val="en-US" w:bidi="he-IL"/>
              </w:rPr>
            </w:pPr>
            <w:r>
              <w:rPr>
                <w:rFonts w:ascii="Calibri" w:hAnsi="Calibri" w:cs="Calibri"/>
                <w:color w:val="000000"/>
                <w:szCs w:val="22"/>
              </w:rPr>
              <w:t>6111</w:t>
            </w:r>
          </w:p>
        </w:tc>
        <w:tc>
          <w:tcPr>
            <w:tcW w:w="746" w:type="dxa"/>
            <w:tcBorders>
              <w:top w:val="nil"/>
              <w:left w:val="single" w:sz="4" w:space="0" w:color="auto"/>
              <w:bottom w:val="single" w:sz="4" w:space="0" w:color="auto"/>
              <w:right w:val="single" w:sz="4" w:space="0" w:color="auto"/>
            </w:tcBorders>
            <w:shd w:val="clear" w:color="auto" w:fill="auto"/>
            <w:vAlign w:val="bottom"/>
            <w:hideMark/>
          </w:tcPr>
          <w:p w14:paraId="422C026D"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94</w:t>
            </w:r>
          </w:p>
        </w:tc>
        <w:tc>
          <w:tcPr>
            <w:tcW w:w="1217" w:type="dxa"/>
            <w:gridSpan w:val="2"/>
            <w:tcBorders>
              <w:top w:val="nil"/>
              <w:left w:val="nil"/>
              <w:bottom w:val="single" w:sz="4" w:space="0" w:color="auto"/>
              <w:right w:val="single" w:sz="4" w:space="0" w:color="auto"/>
            </w:tcBorders>
            <w:shd w:val="clear" w:color="auto" w:fill="auto"/>
            <w:vAlign w:val="bottom"/>
            <w:hideMark/>
          </w:tcPr>
          <w:p w14:paraId="2D65E624"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9.2.4.5.4</w:t>
            </w:r>
          </w:p>
        </w:tc>
        <w:tc>
          <w:tcPr>
            <w:tcW w:w="660" w:type="dxa"/>
            <w:gridSpan w:val="2"/>
            <w:tcBorders>
              <w:top w:val="nil"/>
              <w:left w:val="nil"/>
              <w:bottom w:val="single" w:sz="4" w:space="0" w:color="auto"/>
              <w:right w:val="single" w:sz="4" w:space="0" w:color="auto"/>
            </w:tcBorders>
            <w:shd w:val="clear" w:color="auto" w:fill="auto"/>
            <w:vAlign w:val="bottom"/>
            <w:hideMark/>
          </w:tcPr>
          <w:p w14:paraId="393AC50D"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1</w:t>
            </w:r>
          </w:p>
        </w:tc>
        <w:tc>
          <w:tcPr>
            <w:tcW w:w="3656" w:type="dxa"/>
            <w:tcBorders>
              <w:top w:val="nil"/>
              <w:left w:val="nil"/>
              <w:bottom w:val="single" w:sz="4" w:space="0" w:color="auto"/>
              <w:right w:val="single" w:sz="4" w:space="0" w:color="auto"/>
            </w:tcBorders>
            <w:shd w:val="clear" w:color="auto" w:fill="auto"/>
            <w:vAlign w:val="bottom"/>
            <w:hideMark/>
          </w:tcPr>
          <w:p w14:paraId="1EA652A0"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Wrong term "non-MPDU"</w:t>
            </w:r>
          </w:p>
        </w:tc>
        <w:tc>
          <w:tcPr>
            <w:tcW w:w="2700" w:type="dxa"/>
            <w:tcBorders>
              <w:top w:val="nil"/>
              <w:left w:val="nil"/>
              <w:bottom w:val="single" w:sz="4" w:space="0" w:color="auto"/>
              <w:right w:val="single" w:sz="4" w:space="0" w:color="auto"/>
            </w:tcBorders>
            <w:shd w:val="clear" w:color="auto" w:fill="auto"/>
            <w:vAlign w:val="bottom"/>
            <w:hideMark/>
          </w:tcPr>
          <w:p w14:paraId="6DBC81DD"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Replace by "non-A-MPDU"</w:t>
            </w:r>
          </w:p>
        </w:tc>
        <w:tc>
          <w:tcPr>
            <w:tcW w:w="1530" w:type="dxa"/>
            <w:tcBorders>
              <w:top w:val="nil"/>
              <w:left w:val="nil"/>
              <w:bottom w:val="single" w:sz="4" w:space="0" w:color="auto"/>
              <w:right w:val="single" w:sz="4" w:space="0" w:color="auto"/>
            </w:tcBorders>
          </w:tcPr>
          <w:p w14:paraId="73CEEEE6" w14:textId="77777777" w:rsidR="00155ED8" w:rsidRPr="00155ED8" w:rsidRDefault="00155ED8" w:rsidP="00155ED8">
            <w:pPr>
              <w:rPr>
                <w:rFonts w:ascii="Arial" w:hAnsi="Arial" w:cs="Arial"/>
                <w:sz w:val="20"/>
                <w:lang w:val="en-US" w:bidi="he-IL"/>
              </w:rPr>
            </w:pPr>
            <w:r>
              <w:rPr>
                <w:rFonts w:ascii="Arial" w:hAnsi="Arial" w:cs="Arial"/>
                <w:sz w:val="20"/>
                <w:lang w:val="en-US" w:bidi="he-IL"/>
              </w:rPr>
              <w:t>Accept</w:t>
            </w:r>
          </w:p>
        </w:tc>
      </w:tr>
      <w:tr w:rsidR="00155ED8" w:rsidRPr="00155ED8" w14:paraId="3BD47B61" w14:textId="77777777" w:rsidTr="00D604D7">
        <w:trPr>
          <w:trHeight w:val="3432"/>
        </w:trPr>
        <w:tc>
          <w:tcPr>
            <w:tcW w:w="561" w:type="dxa"/>
            <w:tcBorders>
              <w:top w:val="nil"/>
              <w:left w:val="single" w:sz="4" w:space="0" w:color="auto"/>
              <w:bottom w:val="single" w:sz="4" w:space="0" w:color="auto"/>
              <w:right w:val="single" w:sz="4" w:space="0" w:color="auto"/>
            </w:tcBorders>
          </w:tcPr>
          <w:p w14:paraId="3C116D9A" w14:textId="77777777" w:rsidR="001459A9" w:rsidRDefault="001459A9" w:rsidP="001459A9">
            <w:pPr>
              <w:rPr>
                <w:rFonts w:ascii="Calibri" w:hAnsi="Calibri" w:cs="Calibri"/>
                <w:color w:val="000000"/>
                <w:szCs w:val="22"/>
                <w:lang w:val="en-US" w:bidi="he-IL"/>
              </w:rPr>
            </w:pPr>
            <w:r>
              <w:rPr>
                <w:rFonts w:ascii="Calibri" w:hAnsi="Calibri" w:cs="Calibri"/>
                <w:color w:val="000000"/>
                <w:szCs w:val="22"/>
              </w:rPr>
              <w:t>6112</w:t>
            </w:r>
          </w:p>
          <w:p w14:paraId="4813AD55" w14:textId="77777777" w:rsidR="00155ED8" w:rsidRPr="00155ED8" w:rsidRDefault="00155ED8" w:rsidP="00155ED8">
            <w:pPr>
              <w:rPr>
                <w:rFonts w:ascii="Arial" w:hAnsi="Arial" w:cs="Arial"/>
                <w:sz w:val="20"/>
                <w:lang w:val="en-US" w:bidi="he-IL"/>
              </w:rPr>
            </w:pPr>
          </w:p>
        </w:tc>
        <w:tc>
          <w:tcPr>
            <w:tcW w:w="746" w:type="dxa"/>
            <w:tcBorders>
              <w:top w:val="nil"/>
              <w:left w:val="single" w:sz="4" w:space="0" w:color="auto"/>
              <w:bottom w:val="single" w:sz="4" w:space="0" w:color="auto"/>
              <w:right w:val="single" w:sz="4" w:space="0" w:color="auto"/>
            </w:tcBorders>
            <w:shd w:val="clear" w:color="auto" w:fill="auto"/>
            <w:vAlign w:val="bottom"/>
            <w:hideMark/>
          </w:tcPr>
          <w:p w14:paraId="35ED74BD"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131</w:t>
            </w:r>
          </w:p>
        </w:tc>
        <w:tc>
          <w:tcPr>
            <w:tcW w:w="1217" w:type="dxa"/>
            <w:gridSpan w:val="2"/>
            <w:tcBorders>
              <w:top w:val="nil"/>
              <w:left w:val="nil"/>
              <w:bottom w:val="single" w:sz="4" w:space="0" w:color="auto"/>
              <w:right w:val="single" w:sz="4" w:space="0" w:color="auto"/>
            </w:tcBorders>
            <w:shd w:val="clear" w:color="auto" w:fill="auto"/>
            <w:vAlign w:val="bottom"/>
            <w:hideMark/>
          </w:tcPr>
          <w:p w14:paraId="71A44ED9"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9.4.2.142.6</w:t>
            </w:r>
          </w:p>
        </w:tc>
        <w:tc>
          <w:tcPr>
            <w:tcW w:w="660" w:type="dxa"/>
            <w:gridSpan w:val="2"/>
            <w:tcBorders>
              <w:top w:val="nil"/>
              <w:left w:val="nil"/>
              <w:bottom w:val="single" w:sz="4" w:space="0" w:color="auto"/>
              <w:right w:val="single" w:sz="4" w:space="0" w:color="auto"/>
            </w:tcBorders>
            <w:shd w:val="clear" w:color="auto" w:fill="auto"/>
            <w:vAlign w:val="bottom"/>
            <w:hideMark/>
          </w:tcPr>
          <w:p w14:paraId="4771D304"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28</w:t>
            </w:r>
          </w:p>
        </w:tc>
        <w:tc>
          <w:tcPr>
            <w:tcW w:w="3656" w:type="dxa"/>
            <w:tcBorders>
              <w:top w:val="nil"/>
              <w:left w:val="nil"/>
              <w:bottom w:val="single" w:sz="4" w:space="0" w:color="auto"/>
              <w:right w:val="single" w:sz="4" w:space="0" w:color="auto"/>
            </w:tcBorders>
            <w:shd w:val="clear" w:color="auto" w:fill="auto"/>
            <w:vAlign w:val="bottom"/>
            <w:hideMark/>
          </w:tcPr>
          <w:p w14:paraId="74B927C7"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"This statistic is reset when the reset condition defined below in this subclause is met." The sentence and the following text that defines the reset conditions are not suitable for the Frame formats clause and shall be moved to the behavioral clause.</w:t>
            </w:r>
          </w:p>
        </w:tc>
        <w:tc>
          <w:tcPr>
            <w:tcW w:w="2700" w:type="dxa"/>
            <w:tcBorders>
              <w:top w:val="nil"/>
              <w:left w:val="nil"/>
              <w:bottom w:val="single" w:sz="4" w:space="0" w:color="auto"/>
              <w:right w:val="single" w:sz="4" w:space="0" w:color="auto"/>
            </w:tcBorders>
            <w:shd w:val="clear" w:color="auto" w:fill="auto"/>
            <w:vAlign w:val="bottom"/>
            <w:hideMark/>
          </w:tcPr>
          <w:p w14:paraId="7E37E9A3"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P130L23, P130L35, P131L5, P131L28, P131L53, P131L40, P132L24, P132L28. Remove sentence that starts with "This statistic is reset when the reset condition…"</w:t>
            </w:r>
            <w:r w:rsidRPr="00155ED8">
              <w:rPr>
                <w:rFonts w:ascii="Arial" w:hAnsi="Arial" w:cs="Arial"/>
                <w:sz w:val="20"/>
                <w:lang w:val="en-US" w:bidi="he-IL"/>
              </w:rPr>
              <w:br/>
              <w:t xml:space="preserve">P132L7 change as follows: "The reset condition </w:t>
            </w:r>
            <w:r w:rsidRPr="00155ED8">
              <w:rPr>
                <w:rFonts w:ascii="Arial" w:hAnsi="Arial" w:cs="Arial"/>
                <w:sz w:val="20"/>
                <w:u w:val="single"/>
                <w:lang w:val="en-US" w:bidi="he-IL"/>
              </w:rPr>
              <w:t>of the statistics</w:t>
            </w:r>
            <w:r w:rsidRPr="00155ED8">
              <w:rPr>
                <w:rFonts w:ascii="Arial" w:hAnsi="Arial" w:cs="Arial"/>
                <w:sz w:val="20"/>
                <w:lang w:val="en-US" w:bidi="he-IL"/>
              </w:rPr>
              <w:t xml:space="preserve"> is defined as follows:" Move the text from P132L7 till end of the subclause to the subclause 10.44.5 TDD link maintenance on P354L3.</w:t>
            </w:r>
          </w:p>
        </w:tc>
        <w:tc>
          <w:tcPr>
            <w:tcW w:w="1530" w:type="dxa"/>
            <w:tcBorders>
              <w:top w:val="nil"/>
              <w:left w:val="nil"/>
              <w:bottom w:val="single" w:sz="4" w:space="0" w:color="auto"/>
              <w:right w:val="single" w:sz="4" w:space="0" w:color="auto"/>
            </w:tcBorders>
          </w:tcPr>
          <w:p w14:paraId="420B053B" w14:textId="3A14DAD7" w:rsidR="00155ED8" w:rsidRPr="00155ED8" w:rsidRDefault="00057B73" w:rsidP="00155ED8">
            <w:pPr>
              <w:rPr>
                <w:rFonts w:ascii="Arial" w:hAnsi="Arial" w:cs="Arial"/>
                <w:sz w:val="20"/>
                <w:lang w:val="en-US" w:bidi="he-IL"/>
              </w:rPr>
            </w:pPr>
            <w:r>
              <w:rPr>
                <w:rFonts w:ascii="Arial" w:hAnsi="Arial" w:cs="Arial"/>
                <w:sz w:val="20"/>
                <w:lang w:val="en-US" w:bidi="he-IL"/>
              </w:rPr>
              <w:t>R</w:t>
            </w:r>
            <w:r w:rsidR="00622078">
              <w:rPr>
                <w:rFonts w:ascii="Arial" w:hAnsi="Arial" w:cs="Arial"/>
                <w:sz w:val="20"/>
                <w:lang w:val="en-US" w:bidi="he-IL"/>
              </w:rPr>
              <w:t xml:space="preserve">evised, see below in the document </w:t>
            </w:r>
          </w:p>
        </w:tc>
      </w:tr>
      <w:tr w:rsidR="00155ED8" w:rsidRPr="00155ED8" w14:paraId="62DB7D40" w14:textId="77777777" w:rsidTr="00D604D7">
        <w:trPr>
          <w:trHeight w:val="5184"/>
        </w:trPr>
        <w:tc>
          <w:tcPr>
            <w:tcW w:w="561" w:type="dxa"/>
            <w:tcBorders>
              <w:top w:val="nil"/>
              <w:left w:val="single" w:sz="4" w:space="0" w:color="auto"/>
              <w:bottom w:val="single" w:sz="4" w:space="0" w:color="auto"/>
              <w:right w:val="single" w:sz="4" w:space="0" w:color="auto"/>
            </w:tcBorders>
          </w:tcPr>
          <w:p w14:paraId="0B6B48A3" w14:textId="77777777" w:rsidR="00EA5074" w:rsidRDefault="00EA5074" w:rsidP="00EA5074">
            <w:pPr>
              <w:rPr>
                <w:rFonts w:ascii="Calibri" w:hAnsi="Calibri" w:cs="Calibri"/>
                <w:color w:val="000000"/>
                <w:szCs w:val="22"/>
                <w:lang w:val="en-US" w:bidi="he-IL"/>
              </w:rPr>
            </w:pPr>
            <w:bookmarkStart w:id="1" w:name="_Hlk29857359"/>
            <w:r>
              <w:rPr>
                <w:rFonts w:ascii="Calibri" w:hAnsi="Calibri" w:cs="Calibri"/>
                <w:color w:val="000000"/>
                <w:szCs w:val="22"/>
              </w:rPr>
              <w:t>6113</w:t>
            </w:r>
          </w:p>
          <w:p w14:paraId="618E14FF" w14:textId="3228271C" w:rsidR="00155ED8" w:rsidRPr="00155ED8" w:rsidRDefault="00155ED8" w:rsidP="00155ED8">
            <w:pPr>
              <w:rPr>
                <w:rFonts w:ascii="Arial" w:hAnsi="Arial" w:cs="Arial"/>
                <w:sz w:val="20"/>
                <w:lang w:val="en-US" w:bidi="he-IL"/>
              </w:rPr>
            </w:pPr>
          </w:p>
        </w:tc>
        <w:tc>
          <w:tcPr>
            <w:tcW w:w="746" w:type="dxa"/>
            <w:tcBorders>
              <w:top w:val="nil"/>
              <w:left w:val="single" w:sz="4" w:space="0" w:color="auto"/>
              <w:bottom w:val="single" w:sz="4" w:space="0" w:color="auto"/>
              <w:right w:val="single" w:sz="4" w:space="0" w:color="auto"/>
            </w:tcBorders>
            <w:shd w:val="clear" w:color="auto" w:fill="auto"/>
            <w:vAlign w:val="bottom"/>
            <w:hideMark/>
          </w:tcPr>
          <w:p w14:paraId="22C875E5"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245</w:t>
            </w:r>
          </w:p>
        </w:tc>
        <w:tc>
          <w:tcPr>
            <w:tcW w:w="1217" w:type="dxa"/>
            <w:gridSpan w:val="2"/>
            <w:tcBorders>
              <w:top w:val="nil"/>
              <w:left w:val="nil"/>
              <w:bottom w:val="single" w:sz="4" w:space="0" w:color="auto"/>
              <w:right w:val="single" w:sz="4" w:space="0" w:color="auto"/>
            </w:tcBorders>
            <w:shd w:val="clear" w:color="auto" w:fill="auto"/>
            <w:vAlign w:val="bottom"/>
            <w:hideMark/>
          </w:tcPr>
          <w:p w14:paraId="7F5FA44F"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10.26.11.5</w:t>
            </w:r>
          </w:p>
        </w:tc>
        <w:tc>
          <w:tcPr>
            <w:tcW w:w="660" w:type="dxa"/>
            <w:gridSpan w:val="2"/>
            <w:tcBorders>
              <w:top w:val="nil"/>
              <w:left w:val="nil"/>
              <w:bottom w:val="single" w:sz="4" w:space="0" w:color="auto"/>
              <w:right w:val="single" w:sz="4" w:space="0" w:color="auto"/>
            </w:tcBorders>
            <w:shd w:val="clear" w:color="auto" w:fill="auto"/>
            <w:vAlign w:val="bottom"/>
            <w:hideMark/>
          </w:tcPr>
          <w:p w14:paraId="132F6DE7"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14</w:t>
            </w:r>
          </w:p>
        </w:tc>
        <w:tc>
          <w:tcPr>
            <w:tcW w:w="3656" w:type="dxa"/>
            <w:tcBorders>
              <w:top w:val="nil"/>
              <w:left w:val="nil"/>
              <w:bottom w:val="single" w:sz="4" w:space="0" w:color="auto"/>
              <w:right w:val="single" w:sz="4" w:space="0" w:color="auto"/>
            </w:tcBorders>
            <w:shd w:val="clear" w:color="auto" w:fill="auto"/>
            <w:vAlign w:val="bottom"/>
            <w:hideMark/>
          </w:tcPr>
          <w:p w14:paraId="1D97EC7E"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 xml:space="preserve">Text that starts with "For each unsolicited block ack extension agreement, the recipient…" and ends with "... the </w:t>
            </w:r>
            <w:proofErr w:type="spellStart"/>
            <w:r w:rsidRPr="00155ED8">
              <w:rPr>
                <w:rFonts w:ascii="Arial" w:hAnsi="Arial" w:cs="Arial"/>
                <w:sz w:val="20"/>
                <w:lang w:val="en-US" w:bidi="he-IL"/>
              </w:rPr>
              <w:t>NextExpectedSequenceNumber</w:t>
            </w:r>
            <w:proofErr w:type="spellEnd"/>
            <w:r w:rsidRPr="00155ED8">
              <w:rPr>
                <w:rFonts w:ascii="Arial" w:hAnsi="Arial" w:cs="Arial"/>
                <w:sz w:val="20"/>
                <w:lang w:val="en-US" w:bidi="he-IL"/>
              </w:rPr>
              <w:t xml:space="preserve"> for that unsolicited block ack extension agreement, then the MPDU shall be passed up to the next MAC process." is not needed.  The </w:t>
            </w:r>
            <w:proofErr w:type="spellStart"/>
            <w:r w:rsidRPr="00155ED8">
              <w:rPr>
                <w:rFonts w:ascii="Arial" w:hAnsi="Arial" w:cs="Arial"/>
                <w:sz w:val="20"/>
                <w:lang w:val="en-US" w:bidi="he-IL"/>
              </w:rPr>
              <w:t>NextExpectedSequenceNumber</w:t>
            </w:r>
            <w:proofErr w:type="spellEnd"/>
            <w:r w:rsidRPr="00155ED8">
              <w:rPr>
                <w:rFonts w:ascii="Arial" w:hAnsi="Arial" w:cs="Arial"/>
                <w:sz w:val="20"/>
                <w:lang w:val="en-US" w:bidi="he-IL"/>
              </w:rPr>
              <w:t xml:space="preserve"> was formerly used in the IEEE Std 802.11-2016 and is not used anymore. The normative behavior of unsolicited block ack is fully defined in the current text and another variable is not needed. The commented text contains a lot of errors like "MSDU Starting Sequence Number subfield of the BAR Information field of the ADDBA Request frame that established the unsolicited block ack extension agreement." There is no such subfield, and the ADDBA request is not used to establish the unsolicited block ack extension agreement. I propose to remove the text.</w:t>
            </w:r>
          </w:p>
        </w:tc>
        <w:tc>
          <w:tcPr>
            <w:tcW w:w="2700" w:type="dxa"/>
            <w:tcBorders>
              <w:top w:val="nil"/>
              <w:left w:val="nil"/>
              <w:bottom w:val="single" w:sz="4" w:space="0" w:color="auto"/>
              <w:right w:val="single" w:sz="4" w:space="0" w:color="auto"/>
            </w:tcBorders>
            <w:shd w:val="clear" w:color="auto" w:fill="auto"/>
            <w:vAlign w:val="bottom"/>
            <w:hideMark/>
          </w:tcPr>
          <w:p w14:paraId="685872BD"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Remove the text</w:t>
            </w:r>
          </w:p>
        </w:tc>
        <w:tc>
          <w:tcPr>
            <w:tcW w:w="1530" w:type="dxa"/>
            <w:tcBorders>
              <w:top w:val="nil"/>
              <w:left w:val="nil"/>
              <w:bottom w:val="single" w:sz="4" w:space="0" w:color="auto"/>
              <w:right w:val="single" w:sz="4" w:space="0" w:color="auto"/>
            </w:tcBorders>
          </w:tcPr>
          <w:p w14:paraId="2436BC1D" w14:textId="744D676F" w:rsidR="00155ED8" w:rsidRPr="00155ED8" w:rsidRDefault="00C4032E" w:rsidP="00155ED8">
            <w:pPr>
              <w:rPr>
                <w:rFonts w:ascii="Arial" w:hAnsi="Arial" w:cs="Arial"/>
                <w:sz w:val="20"/>
                <w:lang w:val="en-US" w:bidi="he-IL"/>
              </w:rPr>
            </w:pPr>
            <w:r>
              <w:rPr>
                <w:rFonts w:ascii="Arial" w:hAnsi="Arial" w:cs="Arial"/>
                <w:sz w:val="20"/>
                <w:lang w:val="en-US" w:bidi="he-IL"/>
              </w:rPr>
              <w:t>Revised, see below in the document</w:t>
            </w:r>
          </w:p>
        </w:tc>
      </w:tr>
      <w:bookmarkEnd w:id="1"/>
      <w:tr w:rsidR="00155ED8" w:rsidRPr="00155ED8" w14:paraId="6EA4C7D4" w14:textId="77777777" w:rsidTr="00D604D7">
        <w:trPr>
          <w:trHeight w:val="1056"/>
        </w:trPr>
        <w:tc>
          <w:tcPr>
            <w:tcW w:w="561" w:type="dxa"/>
            <w:tcBorders>
              <w:top w:val="nil"/>
              <w:left w:val="single" w:sz="4" w:space="0" w:color="auto"/>
              <w:bottom w:val="single" w:sz="4" w:space="0" w:color="auto"/>
              <w:right w:val="single" w:sz="4" w:space="0" w:color="auto"/>
            </w:tcBorders>
          </w:tcPr>
          <w:p w14:paraId="2E583453" w14:textId="77777777" w:rsidR="00A126A0" w:rsidRDefault="00A126A0" w:rsidP="00A126A0">
            <w:pPr>
              <w:rPr>
                <w:rFonts w:ascii="Calibri" w:hAnsi="Calibri" w:cs="Calibri"/>
                <w:color w:val="000000"/>
                <w:szCs w:val="22"/>
                <w:lang w:val="en-US" w:bidi="he-IL"/>
              </w:rPr>
            </w:pPr>
            <w:r>
              <w:rPr>
                <w:rFonts w:ascii="Calibri" w:hAnsi="Calibri" w:cs="Calibri"/>
                <w:color w:val="000000"/>
                <w:szCs w:val="22"/>
              </w:rPr>
              <w:t>6114</w:t>
            </w:r>
          </w:p>
          <w:p w14:paraId="1960DC7D" w14:textId="3A11C478" w:rsidR="00155ED8" w:rsidRPr="00155ED8" w:rsidRDefault="00155ED8" w:rsidP="00155ED8">
            <w:pPr>
              <w:rPr>
                <w:rFonts w:ascii="Arial" w:hAnsi="Arial" w:cs="Arial"/>
                <w:sz w:val="20"/>
                <w:lang w:val="en-US" w:bidi="he-IL"/>
              </w:rPr>
            </w:pPr>
          </w:p>
        </w:tc>
        <w:tc>
          <w:tcPr>
            <w:tcW w:w="746" w:type="dxa"/>
            <w:tcBorders>
              <w:top w:val="nil"/>
              <w:left w:val="single" w:sz="4" w:space="0" w:color="auto"/>
              <w:bottom w:val="single" w:sz="4" w:space="0" w:color="auto"/>
              <w:right w:val="single" w:sz="4" w:space="0" w:color="auto"/>
            </w:tcBorders>
            <w:shd w:val="clear" w:color="auto" w:fill="auto"/>
            <w:vAlign w:val="bottom"/>
            <w:hideMark/>
          </w:tcPr>
          <w:p w14:paraId="33F771E4"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364</w:t>
            </w:r>
          </w:p>
        </w:tc>
        <w:tc>
          <w:tcPr>
            <w:tcW w:w="1217" w:type="dxa"/>
            <w:gridSpan w:val="2"/>
            <w:tcBorders>
              <w:top w:val="nil"/>
              <w:left w:val="nil"/>
              <w:bottom w:val="single" w:sz="4" w:space="0" w:color="auto"/>
              <w:right w:val="single" w:sz="4" w:space="0" w:color="auto"/>
            </w:tcBorders>
            <w:shd w:val="clear" w:color="auto" w:fill="auto"/>
            <w:vAlign w:val="bottom"/>
            <w:hideMark/>
          </w:tcPr>
          <w:p w14:paraId="36D9006F"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11.1.7</w:t>
            </w:r>
          </w:p>
        </w:tc>
        <w:tc>
          <w:tcPr>
            <w:tcW w:w="660" w:type="dxa"/>
            <w:gridSpan w:val="2"/>
            <w:tcBorders>
              <w:top w:val="nil"/>
              <w:left w:val="nil"/>
              <w:bottom w:val="single" w:sz="4" w:space="0" w:color="auto"/>
              <w:right w:val="single" w:sz="4" w:space="0" w:color="auto"/>
            </w:tcBorders>
            <w:shd w:val="clear" w:color="auto" w:fill="auto"/>
            <w:vAlign w:val="bottom"/>
            <w:hideMark/>
          </w:tcPr>
          <w:p w14:paraId="3DF27C8A"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10</w:t>
            </w:r>
          </w:p>
        </w:tc>
        <w:tc>
          <w:tcPr>
            <w:tcW w:w="3656" w:type="dxa"/>
            <w:tcBorders>
              <w:top w:val="nil"/>
              <w:left w:val="nil"/>
              <w:bottom w:val="single" w:sz="4" w:space="0" w:color="auto"/>
              <w:right w:val="single" w:sz="4" w:space="0" w:color="auto"/>
            </w:tcBorders>
            <w:shd w:val="clear" w:color="auto" w:fill="auto"/>
            <w:vAlign w:val="bottom"/>
            <w:hideMark/>
          </w:tcPr>
          <w:p w14:paraId="1AA08849"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"The Clock Attributes field in the TDD Synchronization element of that frame scores better than</w:t>
            </w:r>
            <w:proofErr w:type="gramStart"/>
            <w:r w:rsidRPr="00155ED8">
              <w:rPr>
                <w:rFonts w:ascii="Arial" w:hAnsi="Arial" w:cs="Arial"/>
                <w:sz w:val="20"/>
                <w:lang w:val="en-US" w:bidi="he-IL"/>
              </w:rPr>
              <w:t xml:space="preserve"> ..</w:t>
            </w:r>
            <w:proofErr w:type="gramEnd"/>
            <w:r w:rsidRPr="00155ED8">
              <w:rPr>
                <w:rFonts w:ascii="Arial" w:hAnsi="Arial" w:cs="Arial"/>
                <w:sz w:val="20"/>
                <w:lang w:val="en-US" w:bidi="he-IL"/>
              </w:rPr>
              <w:t>" it is unclear which of the two frames this applies to.</w:t>
            </w:r>
          </w:p>
        </w:tc>
        <w:tc>
          <w:tcPr>
            <w:tcW w:w="2700" w:type="dxa"/>
            <w:tcBorders>
              <w:top w:val="nil"/>
              <w:left w:val="nil"/>
              <w:bottom w:val="single" w:sz="4" w:space="0" w:color="auto"/>
              <w:right w:val="single" w:sz="4" w:space="0" w:color="auto"/>
            </w:tcBorders>
            <w:shd w:val="clear" w:color="auto" w:fill="auto"/>
            <w:vAlign w:val="bottom"/>
            <w:hideMark/>
          </w:tcPr>
          <w:p w14:paraId="1B991D4E" w14:textId="77777777" w:rsidR="00155ED8" w:rsidRPr="00155ED8" w:rsidRDefault="00155ED8" w:rsidP="00155ED8">
            <w:pPr>
              <w:rPr>
                <w:rFonts w:ascii="Arial" w:hAnsi="Arial" w:cs="Arial"/>
                <w:sz w:val="20"/>
                <w:lang w:val="en-US" w:bidi="he-IL"/>
              </w:rPr>
            </w:pPr>
            <w:r w:rsidRPr="00155ED8">
              <w:rPr>
                <w:rFonts w:ascii="Arial" w:hAnsi="Arial" w:cs="Arial"/>
                <w:sz w:val="20"/>
                <w:lang w:val="en-US" w:bidi="he-IL"/>
              </w:rPr>
              <w:t xml:space="preserve">Change as follows: "The Clock Attributes field in the TDD Synchronization element of that </w:t>
            </w:r>
            <w:r w:rsidRPr="00155ED8">
              <w:rPr>
                <w:rFonts w:ascii="Arial" w:hAnsi="Arial" w:cs="Arial"/>
                <w:sz w:val="20"/>
                <w:u w:val="single"/>
                <w:lang w:val="en-US" w:bidi="he-IL"/>
              </w:rPr>
              <w:t>last</w:t>
            </w:r>
            <w:r w:rsidRPr="00155ED8">
              <w:rPr>
                <w:rFonts w:ascii="Arial" w:hAnsi="Arial" w:cs="Arial"/>
                <w:sz w:val="20"/>
                <w:lang w:val="en-US" w:bidi="he-IL"/>
              </w:rPr>
              <w:t xml:space="preserve"> frame scores better than …" </w:t>
            </w:r>
          </w:p>
        </w:tc>
        <w:tc>
          <w:tcPr>
            <w:tcW w:w="1530" w:type="dxa"/>
            <w:tcBorders>
              <w:top w:val="nil"/>
              <w:left w:val="nil"/>
              <w:bottom w:val="single" w:sz="4" w:space="0" w:color="auto"/>
              <w:right w:val="single" w:sz="4" w:space="0" w:color="auto"/>
            </w:tcBorders>
          </w:tcPr>
          <w:p w14:paraId="5C06096F" w14:textId="77777777" w:rsidR="00155ED8" w:rsidRPr="00155ED8" w:rsidRDefault="00155ED8" w:rsidP="00155ED8">
            <w:pPr>
              <w:rPr>
                <w:rFonts w:ascii="Arial" w:hAnsi="Arial" w:cs="Arial"/>
                <w:sz w:val="20"/>
                <w:lang w:val="en-US" w:bidi="he-IL"/>
              </w:rPr>
            </w:pPr>
            <w:r>
              <w:rPr>
                <w:rFonts w:ascii="Arial" w:hAnsi="Arial" w:cs="Arial"/>
                <w:sz w:val="20"/>
                <w:lang w:val="en-US" w:bidi="he-IL"/>
              </w:rPr>
              <w:t>Accept</w:t>
            </w:r>
          </w:p>
        </w:tc>
      </w:tr>
    </w:tbl>
    <w:p w14:paraId="42930E6B" w14:textId="77777777" w:rsidR="00CA09B2" w:rsidRDefault="00CA09B2">
      <w:pPr>
        <w:rPr>
          <w:lang w:val="en-US"/>
        </w:rPr>
      </w:pPr>
    </w:p>
    <w:p w14:paraId="1E9D0932" w14:textId="77777777" w:rsidR="003A37FC" w:rsidRDefault="003A37FC">
      <w:pPr>
        <w:rPr>
          <w:lang w:val="en-US"/>
        </w:rPr>
      </w:pPr>
    </w:p>
    <w:p w14:paraId="09769357" w14:textId="77777777" w:rsidR="003A37FC" w:rsidRDefault="003A37FC">
      <w:pPr>
        <w:rPr>
          <w:lang w:val="en-US"/>
        </w:rPr>
      </w:pPr>
    </w:p>
    <w:p w14:paraId="6F38BDAA" w14:textId="7B62C3D5" w:rsidR="00F35573" w:rsidRDefault="003A37FC" w:rsidP="00F35573">
      <w:pPr>
        <w:rPr>
          <w:rFonts w:ascii="Calibri" w:hAnsi="Calibri" w:cs="Calibri"/>
          <w:color w:val="000000"/>
          <w:szCs w:val="22"/>
          <w:lang w:val="en-US" w:bidi="he-IL"/>
        </w:rPr>
      </w:pPr>
      <w:r>
        <w:rPr>
          <w:lang w:val="en-US"/>
        </w:rPr>
        <w:t>CID</w:t>
      </w:r>
      <w:r w:rsidR="00F35573">
        <w:rPr>
          <w:lang w:val="en-US"/>
        </w:rPr>
        <w:t xml:space="preserve"> </w:t>
      </w:r>
      <w:r w:rsidR="00F35573">
        <w:rPr>
          <w:rFonts w:ascii="Calibri" w:hAnsi="Calibri" w:cs="Calibri"/>
          <w:color w:val="000000"/>
          <w:szCs w:val="22"/>
        </w:rPr>
        <w:t>6110</w:t>
      </w:r>
    </w:p>
    <w:p w14:paraId="24FF31B8" w14:textId="6ED113F9" w:rsidR="003A37FC" w:rsidRDefault="003A37FC">
      <w:pPr>
        <w:rPr>
          <w:lang w:val="en-US"/>
        </w:rPr>
      </w:pPr>
    </w:p>
    <w:p w14:paraId="6D2333C3" w14:textId="77777777" w:rsidR="00AB2BC2" w:rsidRDefault="009E606E" w:rsidP="00556687">
      <w:pPr>
        <w:rPr>
          <w:szCs w:val="22"/>
          <w:lang w:val="en-US"/>
        </w:rPr>
      </w:pPr>
      <w:r w:rsidRPr="009E606E">
        <w:rPr>
          <w:szCs w:val="22"/>
          <w:lang w:val="en-US"/>
        </w:rPr>
        <w:t>Discussion. The MLME-TDD-SECTOR-</w:t>
      </w:r>
      <w:proofErr w:type="spellStart"/>
      <w:r w:rsidRPr="009E606E">
        <w:rPr>
          <w:szCs w:val="22"/>
          <w:lang w:val="en-US"/>
        </w:rPr>
        <w:t>SWITCH.indication</w:t>
      </w:r>
      <w:proofErr w:type="spellEnd"/>
      <w:r w:rsidRPr="009E606E">
        <w:rPr>
          <w:szCs w:val="22"/>
          <w:lang w:val="en-US"/>
        </w:rPr>
        <w:t xml:space="preserve"> primitive is used by the responder in two different conditions, first to indicate receiving of the TDD sector switch request message and second to indicate receiving of the TDD sector switch acknowledge message. Use of “indication” is relevant for the first case at beginning of the sector switch procedure but in the second case use of the MLME-TDD-SECTOR-</w:t>
      </w:r>
      <w:proofErr w:type="spellStart"/>
      <w:r w:rsidRPr="009E606E">
        <w:rPr>
          <w:szCs w:val="22"/>
          <w:lang w:val="en-US"/>
        </w:rPr>
        <w:t>SWITCH.confirm</w:t>
      </w:r>
      <w:proofErr w:type="spellEnd"/>
      <w:r w:rsidRPr="009E606E">
        <w:rPr>
          <w:szCs w:val="22"/>
          <w:lang w:val="en-US"/>
        </w:rPr>
        <w:t xml:space="preserve"> primitive is more suitable because of the primitive signals completion of the procedure. The proposal is to change use of the primitives as discussed. In this case, there is no need of the </w:t>
      </w:r>
      <w:proofErr w:type="spellStart"/>
      <w:r w:rsidRPr="009E606E">
        <w:rPr>
          <w:szCs w:val="22"/>
          <w:lang w:val="en-US"/>
        </w:rPr>
        <w:t>ResultCode</w:t>
      </w:r>
      <w:proofErr w:type="spellEnd"/>
      <w:r w:rsidRPr="009E606E">
        <w:rPr>
          <w:szCs w:val="22"/>
          <w:lang w:val="en-US"/>
        </w:rPr>
        <w:t xml:space="preserve"> in the MLME-TDD-SECTOR-</w:t>
      </w:r>
      <w:proofErr w:type="spellStart"/>
      <w:r w:rsidRPr="009E606E">
        <w:rPr>
          <w:szCs w:val="22"/>
          <w:lang w:val="en-US"/>
        </w:rPr>
        <w:t>SWITCH.indication</w:t>
      </w:r>
      <w:proofErr w:type="spellEnd"/>
      <w:r w:rsidRPr="009E606E">
        <w:rPr>
          <w:szCs w:val="22"/>
          <w:lang w:val="en-US"/>
        </w:rPr>
        <w:t xml:space="preserve"> primitive.</w:t>
      </w:r>
    </w:p>
    <w:p w14:paraId="7A85AA76" w14:textId="77777777" w:rsidR="009E606E" w:rsidRDefault="009E606E" w:rsidP="00556687">
      <w:pPr>
        <w:rPr>
          <w:b/>
          <w:bCs/>
          <w:i/>
          <w:iCs/>
          <w:szCs w:val="22"/>
        </w:rPr>
      </w:pPr>
    </w:p>
    <w:p w14:paraId="74E95CFC" w14:textId="77777777" w:rsidR="00AB2BC2" w:rsidRPr="00AB2BC2" w:rsidRDefault="00AB2BC2" w:rsidP="00556687">
      <w:pPr>
        <w:rPr>
          <w:b/>
          <w:bCs/>
          <w:i/>
          <w:iCs/>
          <w:szCs w:val="22"/>
        </w:rPr>
      </w:pPr>
      <w:r w:rsidRPr="00AB2BC2">
        <w:rPr>
          <w:b/>
          <w:bCs/>
          <w:i/>
          <w:iCs/>
          <w:szCs w:val="22"/>
        </w:rPr>
        <w:t>TGay editor change as follows</w:t>
      </w:r>
      <w:r>
        <w:rPr>
          <w:b/>
          <w:bCs/>
          <w:i/>
          <w:iCs/>
          <w:szCs w:val="22"/>
        </w:rPr>
        <w:t>:</w:t>
      </w:r>
    </w:p>
    <w:p w14:paraId="37A133F2" w14:textId="77777777" w:rsidR="00AB2BC2" w:rsidRPr="00AB2BC2" w:rsidRDefault="00AB2BC2" w:rsidP="00556687">
      <w:pPr>
        <w:rPr>
          <w:szCs w:val="22"/>
        </w:rPr>
      </w:pPr>
      <w:r w:rsidRPr="00AB2BC2">
        <w:rPr>
          <w:szCs w:val="22"/>
        </w:rPr>
        <w:t>P21L20</w:t>
      </w:r>
    </w:p>
    <w:p w14:paraId="3E52A341" w14:textId="77777777" w:rsidR="003A37FC" w:rsidRDefault="00AB2BC2" w:rsidP="00556687">
      <w:pPr>
        <w:rPr>
          <w:szCs w:val="22"/>
        </w:rPr>
      </w:pPr>
      <w:r w:rsidRPr="00AB2BC2">
        <w:rPr>
          <w:szCs w:val="22"/>
        </w:rPr>
        <w:t xml:space="preserve">remove </w:t>
      </w:r>
      <w:proofErr w:type="spellStart"/>
      <w:r w:rsidRPr="00AB2BC2">
        <w:rPr>
          <w:szCs w:val="22"/>
        </w:rPr>
        <w:t>ResultCode</w:t>
      </w:r>
      <w:proofErr w:type="spellEnd"/>
    </w:p>
    <w:p w14:paraId="034DD460" w14:textId="77777777" w:rsidR="00AB2BC2" w:rsidRDefault="00AB2BC2" w:rsidP="00556687">
      <w:pPr>
        <w:rPr>
          <w:szCs w:val="22"/>
        </w:rPr>
      </w:pPr>
    </w:p>
    <w:p w14:paraId="5BD91F98" w14:textId="77777777" w:rsidR="00AB2BC2" w:rsidRDefault="00AB2BC2" w:rsidP="00556687">
      <w:pPr>
        <w:rPr>
          <w:szCs w:val="22"/>
        </w:rPr>
      </w:pPr>
      <w:r>
        <w:rPr>
          <w:szCs w:val="22"/>
        </w:rPr>
        <w:t>P72L1</w:t>
      </w:r>
    </w:p>
    <w:p w14:paraId="339DF751" w14:textId="77777777" w:rsidR="00AB2BC2" w:rsidRPr="00A108BF" w:rsidRDefault="00AB2BC2" w:rsidP="00556687">
      <w:pPr>
        <w:rPr>
          <w:szCs w:val="22"/>
        </w:rPr>
      </w:pPr>
      <w:r w:rsidRPr="00A108BF">
        <w:rPr>
          <w:szCs w:val="22"/>
        </w:rPr>
        <w:t xml:space="preserve">Remove </w:t>
      </w:r>
      <w:r w:rsidR="00B95709" w:rsidRPr="00A108BF">
        <w:rPr>
          <w:szCs w:val="22"/>
        </w:rPr>
        <w:t>the row in the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4"/>
        <w:gridCol w:w="2034"/>
        <w:gridCol w:w="2034"/>
        <w:gridCol w:w="2916"/>
      </w:tblGrid>
      <w:tr w:rsidR="00AB2BC2" w:rsidRPr="00A108BF" w14:paraId="0CC08C35" w14:textId="77777777" w:rsidTr="00A108BF">
        <w:trPr>
          <w:trHeight w:val="289"/>
        </w:trPr>
        <w:tc>
          <w:tcPr>
            <w:tcW w:w="2034" w:type="dxa"/>
          </w:tcPr>
          <w:p w14:paraId="4E25BAE3" w14:textId="77777777" w:rsidR="00AB2BC2" w:rsidRPr="00A108BF" w:rsidRDefault="00AB2BC2">
            <w:pPr>
              <w:pStyle w:val="Default"/>
              <w:rPr>
                <w:sz w:val="22"/>
                <w:szCs w:val="22"/>
              </w:rPr>
            </w:pPr>
            <w:proofErr w:type="spellStart"/>
            <w:r w:rsidRPr="00A108BF">
              <w:rPr>
                <w:sz w:val="22"/>
                <w:szCs w:val="22"/>
              </w:rPr>
              <w:t>ResultCode</w:t>
            </w:r>
            <w:proofErr w:type="spellEnd"/>
            <w:r w:rsidRPr="00A108BF">
              <w:rPr>
                <w:sz w:val="22"/>
                <w:szCs w:val="22"/>
              </w:rPr>
              <w:t xml:space="preserve"> </w:t>
            </w:r>
          </w:p>
        </w:tc>
        <w:tc>
          <w:tcPr>
            <w:tcW w:w="2034" w:type="dxa"/>
          </w:tcPr>
          <w:p w14:paraId="187F75DA" w14:textId="77777777" w:rsidR="00AB2BC2" w:rsidRPr="00A108BF" w:rsidRDefault="00AB2BC2">
            <w:pPr>
              <w:pStyle w:val="Default"/>
              <w:rPr>
                <w:sz w:val="22"/>
                <w:szCs w:val="22"/>
              </w:rPr>
            </w:pPr>
            <w:r w:rsidRPr="00A108BF">
              <w:rPr>
                <w:sz w:val="22"/>
                <w:szCs w:val="22"/>
              </w:rPr>
              <w:t xml:space="preserve">Enumeration </w:t>
            </w:r>
          </w:p>
        </w:tc>
        <w:tc>
          <w:tcPr>
            <w:tcW w:w="2034" w:type="dxa"/>
          </w:tcPr>
          <w:p w14:paraId="6CD8E86F" w14:textId="77777777" w:rsidR="00AB2BC2" w:rsidRPr="00A108BF" w:rsidRDefault="00AB2BC2">
            <w:pPr>
              <w:pStyle w:val="Default"/>
              <w:rPr>
                <w:sz w:val="22"/>
                <w:szCs w:val="22"/>
              </w:rPr>
            </w:pPr>
            <w:r w:rsidRPr="00A108BF">
              <w:rPr>
                <w:sz w:val="22"/>
                <w:szCs w:val="22"/>
              </w:rPr>
              <w:t xml:space="preserve">SUCCESS, FAILURE </w:t>
            </w:r>
          </w:p>
        </w:tc>
        <w:tc>
          <w:tcPr>
            <w:tcW w:w="2916" w:type="dxa"/>
          </w:tcPr>
          <w:p w14:paraId="5859EC06" w14:textId="77777777" w:rsidR="00AB2BC2" w:rsidRPr="00A108BF" w:rsidRDefault="00AB2BC2">
            <w:pPr>
              <w:pStyle w:val="Default"/>
              <w:rPr>
                <w:sz w:val="22"/>
                <w:szCs w:val="22"/>
              </w:rPr>
            </w:pPr>
            <w:r w:rsidRPr="00A108BF">
              <w:rPr>
                <w:sz w:val="22"/>
                <w:szCs w:val="22"/>
              </w:rPr>
              <w:t xml:space="preserve">Indicates the result of the TDD sector switch procedure, i.e., SUCCESS in case new sectors were adopted successfully and FAILURE otherwise. </w:t>
            </w:r>
          </w:p>
        </w:tc>
      </w:tr>
    </w:tbl>
    <w:p w14:paraId="51CF818E" w14:textId="77777777" w:rsidR="00AB2BC2" w:rsidRPr="00A108BF" w:rsidRDefault="00AB2BC2" w:rsidP="00556687">
      <w:pPr>
        <w:rPr>
          <w:szCs w:val="22"/>
        </w:rPr>
      </w:pPr>
    </w:p>
    <w:p w14:paraId="20A9F62F" w14:textId="77777777" w:rsidR="00CA09B2" w:rsidRPr="00A108BF" w:rsidRDefault="00B95709">
      <w:pPr>
        <w:rPr>
          <w:szCs w:val="22"/>
        </w:rPr>
      </w:pPr>
      <w:r w:rsidRPr="00A108BF">
        <w:rPr>
          <w:szCs w:val="22"/>
        </w:rPr>
        <w:t xml:space="preserve">P387L9 </w:t>
      </w:r>
    </w:p>
    <w:p w14:paraId="33563B7F" w14:textId="77777777" w:rsidR="00B95709" w:rsidRPr="00A108BF" w:rsidRDefault="00B95709" w:rsidP="00B95709">
      <w:pPr>
        <w:pStyle w:val="Default"/>
        <w:rPr>
          <w:sz w:val="22"/>
          <w:szCs w:val="22"/>
        </w:rPr>
      </w:pPr>
      <w:r w:rsidRPr="00A108BF">
        <w:rPr>
          <w:sz w:val="22"/>
          <w:szCs w:val="22"/>
        </w:rPr>
        <w:t xml:space="preserve">Replace </w:t>
      </w:r>
    </w:p>
    <w:p w14:paraId="0E35497C" w14:textId="77777777" w:rsidR="00B95709" w:rsidRPr="00A108BF" w:rsidRDefault="00B95709" w:rsidP="00B95709">
      <w:pPr>
        <w:pStyle w:val="Default"/>
        <w:rPr>
          <w:sz w:val="22"/>
          <w:szCs w:val="22"/>
        </w:rPr>
      </w:pPr>
      <w:r w:rsidRPr="00A108BF">
        <w:rPr>
          <w:sz w:val="22"/>
          <w:szCs w:val="22"/>
        </w:rPr>
        <w:t>MLME-TDD-SECTOR-</w:t>
      </w:r>
      <w:proofErr w:type="spellStart"/>
      <w:r w:rsidRPr="00A108BF">
        <w:rPr>
          <w:sz w:val="22"/>
          <w:szCs w:val="22"/>
        </w:rPr>
        <w:t>SWITCH.indication</w:t>
      </w:r>
      <w:proofErr w:type="spellEnd"/>
      <w:r w:rsidRPr="00A108BF">
        <w:rPr>
          <w:sz w:val="22"/>
          <w:szCs w:val="22"/>
        </w:rPr>
        <w:t xml:space="preserve"> by MLME-TDD-SECTOR-</w:t>
      </w:r>
      <w:proofErr w:type="spellStart"/>
      <w:r w:rsidRPr="00A108BF">
        <w:rPr>
          <w:sz w:val="22"/>
          <w:szCs w:val="22"/>
        </w:rPr>
        <w:t>SWITCH.confirm</w:t>
      </w:r>
      <w:proofErr w:type="spellEnd"/>
    </w:p>
    <w:p w14:paraId="2D50E56D" w14:textId="77777777" w:rsidR="00B95709" w:rsidRPr="00A108BF" w:rsidRDefault="00B95709" w:rsidP="00B95709">
      <w:pPr>
        <w:pStyle w:val="Default"/>
        <w:rPr>
          <w:sz w:val="22"/>
          <w:szCs w:val="22"/>
        </w:rPr>
      </w:pPr>
    </w:p>
    <w:p w14:paraId="137E561A" w14:textId="77777777" w:rsidR="00A108BF" w:rsidRPr="00A108BF" w:rsidRDefault="00A108BF" w:rsidP="00A108BF">
      <w:pPr>
        <w:rPr>
          <w:szCs w:val="22"/>
        </w:rPr>
      </w:pPr>
      <w:r w:rsidRPr="00A108BF">
        <w:rPr>
          <w:szCs w:val="22"/>
        </w:rPr>
        <w:t>P387L</w:t>
      </w:r>
      <w:r>
        <w:rPr>
          <w:szCs w:val="22"/>
        </w:rPr>
        <w:t>25</w:t>
      </w:r>
    </w:p>
    <w:p w14:paraId="70B9CC34" w14:textId="77777777" w:rsidR="00A108BF" w:rsidRPr="00A108BF" w:rsidRDefault="00A108BF" w:rsidP="00A108BF">
      <w:pPr>
        <w:pStyle w:val="Default"/>
        <w:rPr>
          <w:sz w:val="22"/>
          <w:szCs w:val="22"/>
        </w:rPr>
      </w:pPr>
      <w:r w:rsidRPr="00A108BF">
        <w:rPr>
          <w:sz w:val="22"/>
          <w:szCs w:val="22"/>
        </w:rPr>
        <w:t xml:space="preserve">Replace </w:t>
      </w:r>
    </w:p>
    <w:p w14:paraId="22DBDFE7" w14:textId="77777777" w:rsidR="00A108BF" w:rsidRDefault="00A108BF" w:rsidP="00A108BF">
      <w:pPr>
        <w:pStyle w:val="Default"/>
        <w:rPr>
          <w:sz w:val="22"/>
          <w:szCs w:val="22"/>
        </w:rPr>
      </w:pPr>
      <w:r w:rsidRPr="00A108BF">
        <w:rPr>
          <w:sz w:val="22"/>
          <w:szCs w:val="22"/>
        </w:rPr>
        <w:t>MLME-TDD-SECTOR-</w:t>
      </w:r>
      <w:proofErr w:type="spellStart"/>
      <w:r w:rsidRPr="00A108BF">
        <w:rPr>
          <w:sz w:val="22"/>
          <w:szCs w:val="22"/>
        </w:rPr>
        <w:t>SWITCH.indication</w:t>
      </w:r>
      <w:proofErr w:type="spellEnd"/>
      <w:r w:rsidRPr="00A108BF">
        <w:rPr>
          <w:sz w:val="22"/>
          <w:szCs w:val="22"/>
        </w:rPr>
        <w:t xml:space="preserve"> by MLME-TDD-SECTOR-</w:t>
      </w:r>
      <w:proofErr w:type="spellStart"/>
      <w:r w:rsidRPr="00A108BF">
        <w:rPr>
          <w:sz w:val="22"/>
          <w:szCs w:val="22"/>
        </w:rPr>
        <w:t>SWITCH.confirm</w:t>
      </w:r>
      <w:proofErr w:type="spellEnd"/>
    </w:p>
    <w:p w14:paraId="682961E1" w14:textId="77777777" w:rsidR="00A108BF" w:rsidRDefault="00A108BF" w:rsidP="00A108BF">
      <w:pPr>
        <w:pStyle w:val="Default"/>
        <w:rPr>
          <w:sz w:val="22"/>
          <w:szCs w:val="22"/>
        </w:rPr>
      </w:pPr>
    </w:p>
    <w:p w14:paraId="169CE116" w14:textId="77777777" w:rsidR="00A108BF" w:rsidRPr="00A108BF" w:rsidRDefault="00A108BF" w:rsidP="00A108BF">
      <w:pPr>
        <w:rPr>
          <w:szCs w:val="22"/>
        </w:rPr>
      </w:pPr>
      <w:r w:rsidRPr="00A108BF">
        <w:rPr>
          <w:szCs w:val="22"/>
        </w:rPr>
        <w:t>P387L</w:t>
      </w:r>
      <w:r>
        <w:rPr>
          <w:szCs w:val="22"/>
        </w:rPr>
        <w:t>3</w:t>
      </w:r>
      <w:r w:rsidRPr="00A108BF">
        <w:rPr>
          <w:szCs w:val="22"/>
        </w:rPr>
        <w:t xml:space="preserve">9 </w:t>
      </w:r>
    </w:p>
    <w:p w14:paraId="1B73D57F" w14:textId="77777777" w:rsidR="00A108BF" w:rsidRPr="00A108BF" w:rsidRDefault="00A108BF" w:rsidP="00A108BF">
      <w:pPr>
        <w:pStyle w:val="Default"/>
        <w:rPr>
          <w:sz w:val="22"/>
          <w:szCs w:val="22"/>
        </w:rPr>
      </w:pPr>
      <w:r w:rsidRPr="00A108BF">
        <w:rPr>
          <w:sz w:val="22"/>
          <w:szCs w:val="22"/>
        </w:rPr>
        <w:t xml:space="preserve">Replace </w:t>
      </w:r>
    </w:p>
    <w:p w14:paraId="45D22E12" w14:textId="77777777" w:rsidR="00A108BF" w:rsidRPr="00A108BF" w:rsidRDefault="00A108BF" w:rsidP="00A108BF">
      <w:pPr>
        <w:pStyle w:val="Default"/>
        <w:rPr>
          <w:sz w:val="22"/>
          <w:szCs w:val="22"/>
        </w:rPr>
      </w:pPr>
      <w:r w:rsidRPr="00A108BF">
        <w:rPr>
          <w:sz w:val="22"/>
          <w:szCs w:val="22"/>
        </w:rPr>
        <w:t>MLME-TDD-SECTOR-</w:t>
      </w:r>
      <w:proofErr w:type="spellStart"/>
      <w:r w:rsidRPr="00A108BF">
        <w:rPr>
          <w:sz w:val="22"/>
          <w:szCs w:val="22"/>
        </w:rPr>
        <w:t>SWITCH.indication</w:t>
      </w:r>
      <w:proofErr w:type="spellEnd"/>
      <w:r w:rsidRPr="00A108BF">
        <w:rPr>
          <w:sz w:val="22"/>
          <w:szCs w:val="22"/>
        </w:rPr>
        <w:t xml:space="preserve"> by MLME-TDD-SECTOR-</w:t>
      </w:r>
      <w:proofErr w:type="spellStart"/>
      <w:r w:rsidRPr="00A108BF">
        <w:rPr>
          <w:sz w:val="22"/>
          <w:szCs w:val="22"/>
        </w:rPr>
        <w:t>SWITCH.confirm</w:t>
      </w:r>
      <w:proofErr w:type="spellEnd"/>
    </w:p>
    <w:p w14:paraId="2B3E4693" w14:textId="77777777" w:rsidR="00A108BF" w:rsidRPr="00A108BF" w:rsidRDefault="00A108BF" w:rsidP="00A108BF">
      <w:pPr>
        <w:pStyle w:val="Default"/>
        <w:rPr>
          <w:sz w:val="22"/>
          <w:szCs w:val="22"/>
        </w:rPr>
      </w:pPr>
    </w:p>
    <w:p w14:paraId="0F264DAC" w14:textId="77777777" w:rsidR="008070D6" w:rsidRDefault="00A108BF">
      <w:pPr>
        <w:rPr>
          <w:szCs w:val="22"/>
          <w:lang w:val="en-US"/>
        </w:rPr>
      </w:pPr>
      <w:r w:rsidRPr="00A44D68">
        <w:rPr>
          <w:szCs w:val="22"/>
          <w:lang w:val="en-US"/>
        </w:rPr>
        <w:t xml:space="preserve">P388L6 </w:t>
      </w:r>
    </w:p>
    <w:p w14:paraId="4B7E71E9" w14:textId="77777777" w:rsidR="00B95709" w:rsidRPr="00A44D68" w:rsidRDefault="00A108BF">
      <w:pPr>
        <w:rPr>
          <w:szCs w:val="22"/>
          <w:lang w:val="en-US"/>
        </w:rPr>
      </w:pPr>
      <w:r w:rsidRPr="00A44D68">
        <w:rPr>
          <w:b/>
          <w:bCs/>
          <w:szCs w:val="22"/>
        </w:rPr>
        <w:t>Figure 11-58c – TDD sector switch procedure</w:t>
      </w:r>
    </w:p>
    <w:p w14:paraId="4CE4DAD9" w14:textId="77777777" w:rsidR="00A108BF" w:rsidRDefault="00A108BF" w:rsidP="00A108BF">
      <w:pPr>
        <w:pStyle w:val="Default"/>
        <w:rPr>
          <w:sz w:val="22"/>
          <w:szCs w:val="22"/>
        </w:rPr>
      </w:pPr>
      <w:r>
        <w:rPr>
          <w:sz w:val="22"/>
          <w:szCs w:val="22"/>
        </w:rPr>
        <w:t xml:space="preserve">In the arrow that follows “Announce with TDD Sector Switch Acknowledge message” replace </w:t>
      </w:r>
      <w:r w:rsidRPr="00A108BF">
        <w:rPr>
          <w:sz w:val="22"/>
          <w:szCs w:val="22"/>
        </w:rPr>
        <w:t>MLME-TDD-SECTOR-</w:t>
      </w:r>
      <w:proofErr w:type="spellStart"/>
      <w:r w:rsidRPr="00A108BF">
        <w:rPr>
          <w:sz w:val="22"/>
          <w:szCs w:val="22"/>
        </w:rPr>
        <w:t>SWITCH.indication</w:t>
      </w:r>
      <w:proofErr w:type="spellEnd"/>
      <w:r w:rsidRPr="00A108BF">
        <w:rPr>
          <w:sz w:val="22"/>
          <w:szCs w:val="22"/>
        </w:rPr>
        <w:t xml:space="preserve"> by MLME-TDD-SECTOR-</w:t>
      </w:r>
      <w:proofErr w:type="spellStart"/>
      <w:r w:rsidRPr="00A108BF">
        <w:rPr>
          <w:sz w:val="22"/>
          <w:szCs w:val="22"/>
        </w:rPr>
        <w:t>SWITCH.confirm</w:t>
      </w:r>
      <w:proofErr w:type="spellEnd"/>
    </w:p>
    <w:p w14:paraId="02ACA38F" w14:textId="1BA669F6" w:rsidR="00A44D68" w:rsidRDefault="00A44D68" w:rsidP="00A44D68">
      <w:pPr>
        <w:pStyle w:val="Default"/>
        <w:rPr>
          <w:sz w:val="22"/>
          <w:szCs w:val="22"/>
        </w:rPr>
      </w:pPr>
      <w:r>
        <w:rPr>
          <w:sz w:val="22"/>
          <w:szCs w:val="22"/>
        </w:rPr>
        <w:t xml:space="preserve">In the arrow that follows “Any PPDU” replace </w:t>
      </w:r>
      <w:r w:rsidRPr="00A108BF">
        <w:rPr>
          <w:sz w:val="22"/>
          <w:szCs w:val="22"/>
        </w:rPr>
        <w:t>MLME-TDD-SECTOR-</w:t>
      </w:r>
      <w:proofErr w:type="spellStart"/>
      <w:r w:rsidRPr="00A108BF">
        <w:rPr>
          <w:sz w:val="22"/>
          <w:szCs w:val="22"/>
        </w:rPr>
        <w:t>SWITCH.indication</w:t>
      </w:r>
      <w:proofErr w:type="spellEnd"/>
      <w:r w:rsidRPr="00A108BF">
        <w:rPr>
          <w:sz w:val="22"/>
          <w:szCs w:val="22"/>
        </w:rPr>
        <w:t xml:space="preserve"> by MLME-TDD-SECTOR-</w:t>
      </w:r>
      <w:proofErr w:type="spellStart"/>
      <w:r w:rsidRPr="00A108BF">
        <w:rPr>
          <w:sz w:val="22"/>
          <w:szCs w:val="22"/>
        </w:rPr>
        <w:t>SWITCH.confirm</w:t>
      </w:r>
      <w:proofErr w:type="spellEnd"/>
    </w:p>
    <w:p w14:paraId="5A3BB3BE" w14:textId="3F6B74C3" w:rsidR="00C4032E" w:rsidRDefault="00C4032E" w:rsidP="00A44D68">
      <w:pPr>
        <w:pStyle w:val="Default"/>
        <w:rPr>
          <w:sz w:val="22"/>
          <w:szCs w:val="22"/>
        </w:rPr>
      </w:pPr>
    </w:p>
    <w:p w14:paraId="6417C324" w14:textId="218212B6" w:rsidR="00C4032E" w:rsidRPr="00C4032E" w:rsidRDefault="00C4032E" w:rsidP="00C4032E">
      <w:pPr>
        <w:rPr>
          <w:color w:val="000000"/>
          <w:szCs w:val="22"/>
        </w:rPr>
      </w:pPr>
      <w:bookmarkStart w:id="2" w:name="_Hlk29857429"/>
      <w:r w:rsidRPr="00C4032E">
        <w:rPr>
          <w:color w:val="000000"/>
          <w:szCs w:val="22"/>
        </w:rPr>
        <w:t>CID 6113</w:t>
      </w:r>
    </w:p>
    <w:p w14:paraId="7ED60C87" w14:textId="54B6AEDE" w:rsidR="00C4032E" w:rsidRPr="0035595C" w:rsidRDefault="00C4032E" w:rsidP="00C4032E">
      <w:pPr>
        <w:rPr>
          <w:szCs w:val="22"/>
          <w:lang w:val="en-US" w:bidi="he-IL"/>
        </w:rPr>
      </w:pPr>
      <w:r w:rsidRPr="0035595C">
        <w:rPr>
          <w:szCs w:val="22"/>
          <w:lang w:val="en-US"/>
        </w:rPr>
        <w:t>Discussion</w:t>
      </w:r>
      <w:r w:rsidRPr="0035595C">
        <w:rPr>
          <w:szCs w:val="22"/>
        </w:rPr>
        <w:t xml:space="preserve">. The justification of the text change is: Remove the text that describe the </w:t>
      </w:r>
      <w:proofErr w:type="spellStart"/>
      <w:r w:rsidRPr="0035595C">
        <w:rPr>
          <w:szCs w:val="22"/>
        </w:rPr>
        <w:t>behavior</w:t>
      </w:r>
      <w:proofErr w:type="spellEnd"/>
      <w:r w:rsidRPr="0035595C">
        <w:rPr>
          <w:szCs w:val="22"/>
        </w:rPr>
        <w:t xml:space="preserve"> of </w:t>
      </w:r>
      <w:proofErr w:type="spellStart"/>
      <w:r w:rsidRPr="0035595C">
        <w:rPr>
          <w:szCs w:val="22"/>
        </w:rPr>
        <w:t>NextExpectedSequenceNumber</w:t>
      </w:r>
      <w:proofErr w:type="spellEnd"/>
      <w:r w:rsidRPr="0035595C">
        <w:rPr>
          <w:szCs w:val="22"/>
        </w:rPr>
        <w:t xml:space="preserve"> as this variable is not needed for HT Immediate block ack extension in which the Unsolicited block ack extent, as in the comment because of the following explanation: </w:t>
      </w:r>
    </w:p>
    <w:p w14:paraId="74AB85EF" w14:textId="227A1717" w:rsidR="00C4032E" w:rsidRPr="0035595C" w:rsidRDefault="00C4032E" w:rsidP="00C4032E">
      <w:pPr>
        <w:rPr>
          <w:szCs w:val="22"/>
        </w:rPr>
      </w:pPr>
      <w:r w:rsidRPr="0035595C">
        <w:rPr>
          <w:szCs w:val="22"/>
        </w:rPr>
        <w:t xml:space="preserve">The unsolicited block ack behavior for reorder receive buffer is the same as defined 10.25.6.6 which the first paragraph under 10.25.11.5 indicates after (1) and </w:t>
      </w:r>
      <w:proofErr w:type="gramStart"/>
      <w:r w:rsidRPr="0035595C">
        <w:rPr>
          <w:szCs w:val="22"/>
        </w:rPr>
        <w:t>in particular the</w:t>
      </w:r>
      <w:proofErr w:type="gramEnd"/>
      <w:r w:rsidRPr="0035595C">
        <w:rPr>
          <w:szCs w:val="22"/>
        </w:rPr>
        <w:t xml:space="preserve"> following behaviors of the HT Immediate block ack are applicable and part of the Unsolicited block ack extension.</w:t>
      </w:r>
    </w:p>
    <w:p w14:paraId="733E1B6E" w14:textId="77777777" w:rsidR="00C4032E" w:rsidRPr="0035595C" w:rsidRDefault="00C4032E" w:rsidP="00C4032E">
      <w:pPr>
        <w:pStyle w:val="ListParagraph"/>
        <w:numPr>
          <w:ilvl w:val="2"/>
          <w:numId w:val="2"/>
        </w:numPr>
        <w:rPr>
          <w:rFonts w:ascii="Times New Roman" w:hAnsi="Times New Roman" w:cs="Times New Roman"/>
        </w:rPr>
      </w:pPr>
      <w:r w:rsidRPr="0035595C">
        <w:rPr>
          <w:rFonts w:ascii="Times New Roman" w:hAnsi="Times New Roman" w:cs="Times New Roman"/>
        </w:rPr>
        <w:t xml:space="preserve">“10.25.6.6.2 Operation for each received Data frame” and </w:t>
      </w:r>
    </w:p>
    <w:p w14:paraId="30AF43AC" w14:textId="6C4A187C" w:rsidR="00C4032E" w:rsidRPr="0035595C" w:rsidRDefault="00C4032E" w:rsidP="00C4032E">
      <w:pPr>
        <w:pStyle w:val="ListParagraph"/>
        <w:numPr>
          <w:ilvl w:val="2"/>
          <w:numId w:val="2"/>
        </w:numPr>
        <w:rPr>
          <w:rFonts w:ascii="Times New Roman" w:hAnsi="Times New Roman" w:cs="Times New Roman"/>
        </w:rPr>
      </w:pPr>
      <w:r w:rsidRPr="0035595C">
        <w:rPr>
          <w:rFonts w:ascii="Times New Roman" w:hAnsi="Times New Roman" w:cs="Times New Roman"/>
        </w:rPr>
        <w:t>“10.25.6.6.3 Operation for each received BlockAckReq”</w:t>
      </w:r>
    </w:p>
    <w:p w14:paraId="719A398A" w14:textId="3FD31C88" w:rsidR="0035595C" w:rsidRDefault="0035595C" w:rsidP="0035595C">
      <w:pPr>
        <w:pStyle w:val="ListParagraph"/>
        <w:ind w:left="0"/>
        <w:rPr>
          <w:rFonts w:ascii="Times New Roman" w:hAnsi="Times New Roman" w:cs="Times New Roman"/>
        </w:rPr>
      </w:pPr>
      <w:r w:rsidRPr="0035595C">
        <w:rPr>
          <w:rFonts w:ascii="Times New Roman" w:hAnsi="Times New Roman" w:cs="Times New Roman"/>
        </w:rPr>
        <w:t xml:space="preserve">The reference in the </w:t>
      </w:r>
      <w:r w:rsidRPr="0035595C">
        <w:rPr>
          <w:rFonts w:ascii="Times New Roman" w:eastAsia="Times New Roman" w:hAnsi="Times New Roman" w:cs="Times New Roman"/>
        </w:rPr>
        <w:t>section 10.25.11.5 paragraph that start with “The receive reordering buffer control</w:t>
      </w:r>
      <w:r w:rsidRPr="0035595C">
        <w:rPr>
          <w:rFonts w:ascii="Times New Roman" w:hAnsi="Times New Roman" w:cs="Times New Roman"/>
        </w:rPr>
        <w:t xml:space="preserve">… is wrong and shall be replaced by </w:t>
      </w:r>
      <w:r w:rsidRPr="0035595C">
        <w:rPr>
          <w:rFonts w:ascii="Times New Roman" w:eastAsia="Times New Roman" w:hAnsi="Times New Roman" w:cs="Times New Roman"/>
          <w:color w:val="70AD47"/>
        </w:rPr>
        <w:t>10.25.6.6</w:t>
      </w:r>
      <w:r>
        <w:rPr>
          <w:rFonts w:ascii="Times New Roman" w:eastAsia="Times New Roman" w:hAnsi="Times New Roman" w:cs="Times New Roman"/>
          <w:color w:val="70AD47"/>
        </w:rPr>
        <w:t>.</w:t>
      </w:r>
      <w:r w:rsidRPr="0035595C">
        <w:rPr>
          <w:rFonts w:ascii="Times New Roman" w:hAnsi="Times New Roman" w:cs="Times New Roman"/>
        </w:rPr>
        <w:t xml:space="preserve">  </w:t>
      </w:r>
    </w:p>
    <w:bookmarkEnd w:id="2"/>
    <w:p w14:paraId="20FA6C45" w14:textId="421844E5" w:rsidR="0035595C" w:rsidRDefault="0035595C" w:rsidP="0035595C">
      <w:pPr>
        <w:pStyle w:val="ListParagraph"/>
        <w:ind w:left="0"/>
        <w:rPr>
          <w:rFonts w:ascii="Times New Roman" w:hAnsi="Times New Roman" w:cs="Times New Roman"/>
        </w:rPr>
      </w:pPr>
    </w:p>
    <w:p w14:paraId="05A0756B" w14:textId="208F177C" w:rsidR="0035595C" w:rsidRDefault="0035595C" w:rsidP="0035595C">
      <w:pPr>
        <w:rPr>
          <w:b/>
          <w:bCs/>
          <w:i/>
          <w:iCs/>
          <w:szCs w:val="22"/>
        </w:rPr>
      </w:pPr>
      <w:bookmarkStart w:id="3" w:name="_Hlk29857400"/>
      <w:r w:rsidRPr="00AB2BC2">
        <w:rPr>
          <w:b/>
          <w:bCs/>
          <w:i/>
          <w:iCs/>
          <w:szCs w:val="22"/>
        </w:rPr>
        <w:lastRenderedPageBreak/>
        <w:t>TGay editor change as follows</w:t>
      </w:r>
      <w:r>
        <w:rPr>
          <w:b/>
          <w:bCs/>
          <w:i/>
          <w:iCs/>
          <w:szCs w:val="22"/>
        </w:rPr>
        <w:t>:</w:t>
      </w:r>
    </w:p>
    <w:p w14:paraId="2C84B5A8" w14:textId="7A39BE0D" w:rsidR="0035595C" w:rsidRDefault="0035595C" w:rsidP="0035595C">
      <w:pPr>
        <w:rPr>
          <w:b/>
          <w:bCs/>
          <w:i/>
          <w:iCs/>
          <w:szCs w:val="22"/>
        </w:rPr>
      </w:pPr>
    </w:p>
    <w:p w14:paraId="143CF8A1" w14:textId="021AEE5E" w:rsidR="0035595C" w:rsidRPr="0035595C" w:rsidRDefault="0035595C" w:rsidP="0035595C">
      <w:pPr>
        <w:rPr>
          <w:b/>
          <w:bCs/>
          <w:i/>
          <w:iCs/>
          <w:szCs w:val="22"/>
        </w:rPr>
      </w:pPr>
      <w:r w:rsidRPr="0035595C">
        <w:rPr>
          <w:b/>
          <w:bCs/>
          <w:szCs w:val="22"/>
        </w:rPr>
        <w:t>10.25.11.5 Receive reordering buffer control operation</w:t>
      </w:r>
    </w:p>
    <w:p w14:paraId="60FB8008" w14:textId="77777777" w:rsidR="0035595C" w:rsidRDefault="0035595C" w:rsidP="0035595C">
      <w:pPr>
        <w:pStyle w:val="ListParagraph"/>
        <w:ind w:left="0"/>
        <w:rPr>
          <w:rFonts w:ascii="Times New Roman" w:hAnsi="Times New Roman" w:cs="Times New Roman"/>
          <w:lang w:val="en-GB"/>
        </w:rPr>
      </w:pPr>
    </w:p>
    <w:p w14:paraId="3817D704" w14:textId="4EB69EA3" w:rsidR="0035595C" w:rsidRDefault="0035595C" w:rsidP="0035595C">
      <w:pPr>
        <w:pStyle w:val="ListParagraph"/>
        <w:ind w:left="0"/>
        <w:rPr>
          <w:rFonts w:ascii="Times New Roman" w:hAnsi="Times New Roman" w:cs="Times New Roman"/>
          <w:lang w:val="en-GB"/>
        </w:rPr>
      </w:pPr>
      <w:r>
        <w:rPr>
          <w:rFonts w:ascii="Times New Roman" w:hAnsi="Times New Roman" w:cs="Times New Roman"/>
          <w:lang w:val="en-GB"/>
        </w:rPr>
        <w:t>P245L14</w:t>
      </w:r>
    </w:p>
    <w:p w14:paraId="4EF0A58F" w14:textId="60A8C31B" w:rsidR="0035595C" w:rsidRDefault="0035595C" w:rsidP="0035595C">
      <w:pPr>
        <w:pStyle w:val="ListParagraph"/>
        <w:ind w:left="0"/>
        <w:rPr>
          <w:rFonts w:ascii="Times New Roman" w:hAnsi="Times New Roman" w:cs="Times New Roman"/>
        </w:rPr>
      </w:pPr>
      <w:r w:rsidRPr="0035595C">
        <w:rPr>
          <w:rFonts w:ascii="Times New Roman" w:hAnsi="Times New Roman" w:cs="Times New Roman"/>
        </w:rPr>
        <w:t xml:space="preserve">Remove the text that starts with "For each unsolicited block ack extension agreement, the recipient…" and ends with "... the </w:t>
      </w:r>
      <w:proofErr w:type="spellStart"/>
      <w:r w:rsidRPr="0035595C">
        <w:rPr>
          <w:rFonts w:ascii="Times New Roman" w:hAnsi="Times New Roman" w:cs="Times New Roman"/>
        </w:rPr>
        <w:t>NextExpectedSequenceNumber</w:t>
      </w:r>
      <w:proofErr w:type="spellEnd"/>
      <w:r w:rsidRPr="0035595C">
        <w:rPr>
          <w:rFonts w:ascii="Times New Roman" w:hAnsi="Times New Roman" w:cs="Times New Roman"/>
        </w:rPr>
        <w:t xml:space="preserve"> for that unsolicited block ack extension agreement, then the MPDU shall be passed up to the next MAC process."</w:t>
      </w:r>
    </w:p>
    <w:p w14:paraId="4551D4ED" w14:textId="6F625413" w:rsidR="0035595C" w:rsidRDefault="0035595C" w:rsidP="0035595C">
      <w:pPr>
        <w:pStyle w:val="ListParagraph"/>
        <w:ind w:left="0"/>
        <w:rPr>
          <w:rFonts w:ascii="Times New Roman" w:hAnsi="Times New Roman" w:cs="Times New Roman"/>
        </w:rPr>
      </w:pPr>
    </w:p>
    <w:p w14:paraId="2A403DC9" w14:textId="6B8525E1" w:rsidR="0035595C" w:rsidRPr="005E0972" w:rsidRDefault="0035595C" w:rsidP="0035595C">
      <w:pPr>
        <w:pStyle w:val="ListParagraph"/>
        <w:ind w:left="0"/>
        <w:rPr>
          <w:rFonts w:ascii="Times New Roman" w:hAnsi="Times New Roman" w:cs="Times New Roman"/>
        </w:rPr>
      </w:pPr>
      <w:r w:rsidRPr="005E0972">
        <w:rPr>
          <w:rFonts w:ascii="Times New Roman" w:hAnsi="Times New Roman" w:cs="Times New Roman"/>
        </w:rPr>
        <w:t>P245L3</w:t>
      </w:r>
    </w:p>
    <w:p w14:paraId="6E0B214C" w14:textId="0A3A8015" w:rsidR="0035595C" w:rsidRDefault="0035595C" w:rsidP="0035595C">
      <w:pPr>
        <w:pStyle w:val="ListParagraph"/>
        <w:ind w:left="0"/>
        <w:rPr>
          <w:rFonts w:ascii="Times New Roman" w:eastAsia="Times New Roman" w:hAnsi="Times New Roman" w:cs="Times New Roman"/>
        </w:rPr>
      </w:pPr>
      <w:r w:rsidRPr="005E0972">
        <w:rPr>
          <w:rFonts w:ascii="Times New Roman" w:hAnsi="Times New Roman" w:cs="Times New Roman"/>
        </w:rPr>
        <w:t xml:space="preserve">Replace 10.25.6.5 by </w:t>
      </w:r>
      <w:r w:rsidRPr="005E0972">
        <w:rPr>
          <w:rFonts w:ascii="Times New Roman" w:eastAsia="Times New Roman" w:hAnsi="Times New Roman" w:cs="Times New Roman"/>
        </w:rPr>
        <w:t>10.25.6.6</w:t>
      </w:r>
      <w:r w:rsidR="00622078">
        <w:rPr>
          <w:rFonts w:ascii="Times New Roman" w:eastAsia="Times New Roman" w:hAnsi="Times New Roman" w:cs="Times New Roman"/>
        </w:rPr>
        <w:t xml:space="preserve"> </w:t>
      </w:r>
    </w:p>
    <w:p w14:paraId="4CB2D743" w14:textId="03F90FF7" w:rsidR="00622078" w:rsidRDefault="00622078" w:rsidP="0035595C">
      <w:pPr>
        <w:pStyle w:val="ListParagraph"/>
        <w:ind w:left="0"/>
        <w:rPr>
          <w:rFonts w:ascii="Times New Roman" w:eastAsia="Times New Roman" w:hAnsi="Times New Roman" w:cs="Times New Roman"/>
        </w:rPr>
      </w:pPr>
    </w:p>
    <w:p w14:paraId="04E63C6B" w14:textId="01506625" w:rsidR="00622078" w:rsidRDefault="00622078" w:rsidP="0035595C">
      <w:pPr>
        <w:pStyle w:val="ListParagraph"/>
        <w:ind w:left="0"/>
        <w:rPr>
          <w:rFonts w:ascii="Times New Roman" w:eastAsia="Times New Roman" w:hAnsi="Times New Roman" w:cs="Times New Roman"/>
        </w:rPr>
      </w:pPr>
      <w:r>
        <w:rPr>
          <w:rFonts w:ascii="Times New Roman" w:eastAsia="Times New Roman" w:hAnsi="Times New Roman" w:cs="Times New Roman"/>
        </w:rPr>
        <w:t>CID 6112</w:t>
      </w:r>
    </w:p>
    <w:p w14:paraId="67490C54" w14:textId="1392947F" w:rsidR="00622078" w:rsidRDefault="0047743F" w:rsidP="0035595C">
      <w:pPr>
        <w:pStyle w:val="ListParagraph"/>
        <w:ind w:left="0"/>
        <w:rPr>
          <w:rFonts w:ascii="Times New Roman" w:eastAsia="Times New Roman" w:hAnsi="Times New Roman" w:cs="Times New Roman"/>
        </w:rPr>
      </w:pPr>
      <w:r w:rsidRPr="0047743F">
        <w:rPr>
          <w:rFonts w:ascii="Times New Roman" w:eastAsia="Times New Roman" w:hAnsi="Times New Roman" w:cs="Times New Roman"/>
        </w:rPr>
        <w:t>Discussion. As is was mentioned by the review of the r0 the normative text shall refer to the relevant statistics fields the reset conditions apply to.</w:t>
      </w:r>
    </w:p>
    <w:p w14:paraId="7957921E" w14:textId="77777777" w:rsidR="0047743F" w:rsidRDefault="0047743F" w:rsidP="0035595C">
      <w:pPr>
        <w:pStyle w:val="ListParagraph"/>
        <w:ind w:left="0"/>
        <w:rPr>
          <w:b/>
          <w:bCs/>
          <w:sz w:val="20"/>
          <w:szCs w:val="20"/>
        </w:rPr>
      </w:pPr>
    </w:p>
    <w:p w14:paraId="3E9CEBC3" w14:textId="250D7A5F" w:rsidR="00622078" w:rsidRDefault="00622078" w:rsidP="00622078">
      <w:pPr>
        <w:rPr>
          <w:b/>
          <w:bCs/>
          <w:i/>
          <w:iCs/>
          <w:szCs w:val="22"/>
        </w:rPr>
      </w:pPr>
      <w:r w:rsidRPr="00AB2BC2">
        <w:rPr>
          <w:b/>
          <w:bCs/>
          <w:i/>
          <w:iCs/>
          <w:szCs w:val="22"/>
        </w:rPr>
        <w:t>TGay editor change as follows</w:t>
      </w:r>
      <w:r>
        <w:rPr>
          <w:b/>
          <w:bCs/>
          <w:i/>
          <w:iCs/>
          <w:szCs w:val="22"/>
        </w:rPr>
        <w:t>:</w:t>
      </w:r>
    </w:p>
    <w:p w14:paraId="111C62E2" w14:textId="77777777" w:rsidR="00622078" w:rsidRDefault="00622078" w:rsidP="00622078">
      <w:pPr>
        <w:rPr>
          <w:b/>
          <w:bCs/>
          <w:i/>
          <w:iCs/>
          <w:szCs w:val="22"/>
        </w:rPr>
      </w:pPr>
    </w:p>
    <w:p w14:paraId="0341C9E5" w14:textId="77777777" w:rsidR="007E3917" w:rsidRDefault="00622078" w:rsidP="007E3917">
      <w:pPr>
        <w:pStyle w:val="ListParagraph"/>
        <w:ind w:left="0"/>
        <w:rPr>
          <w:rFonts w:ascii="Times New Roman" w:hAnsi="Times New Roman" w:cs="Times New Roman"/>
        </w:rPr>
      </w:pPr>
      <w:r w:rsidRPr="00622078">
        <w:rPr>
          <w:rFonts w:ascii="Times New Roman" w:hAnsi="Times New Roman" w:cs="Times New Roman"/>
        </w:rPr>
        <w:t xml:space="preserve">P130L23, P130L35, P131L5, P131L28, P131L53, P131L40, P132L24, P132L28. </w:t>
      </w:r>
    </w:p>
    <w:p w14:paraId="0503BB75" w14:textId="77777777" w:rsidR="007E3917" w:rsidRDefault="00622078" w:rsidP="007E3917">
      <w:pPr>
        <w:pStyle w:val="ListParagraph"/>
        <w:ind w:left="0"/>
        <w:rPr>
          <w:rFonts w:ascii="Times New Roman" w:hAnsi="Times New Roman" w:cs="Times New Roman"/>
          <w:b/>
          <w:bCs/>
          <w:i/>
          <w:iCs/>
        </w:rPr>
      </w:pPr>
      <w:r w:rsidRPr="007E3917">
        <w:rPr>
          <w:rFonts w:ascii="Times New Roman" w:hAnsi="Times New Roman" w:cs="Times New Roman"/>
          <w:b/>
          <w:bCs/>
          <w:i/>
          <w:iCs/>
        </w:rPr>
        <w:t>Remove sentence that starts with "This statistic is reset when the reset condition…"</w:t>
      </w:r>
    </w:p>
    <w:p w14:paraId="0DBC0CD7" w14:textId="72CEDD11" w:rsidR="007E3917" w:rsidRDefault="00622078" w:rsidP="007E3917">
      <w:pPr>
        <w:pStyle w:val="ListParagraph"/>
        <w:ind w:left="0"/>
        <w:rPr>
          <w:rFonts w:ascii="Times New Roman" w:hAnsi="Times New Roman" w:cs="Times New Roman"/>
        </w:rPr>
      </w:pPr>
      <w:r w:rsidRPr="007E3917">
        <w:rPr>
          <w:rFonts w:ascii="Times New Roman" w:hAnsi="Times New Roman" w:cs="Times New Roman"/>
          <w:b/>
          <w:bCs/>
          <w:i/>
          <w:iCs/>
        </w:rPr>
        <w:br/>
      </w:r>
      <w:r w:rsidRPr="00622078">
        <w:rPr>
          <w:rFonts w:ascii="Times New Roman" w:hAnsi="Times New Roman" w:cs="Times New Roman"/>
        </w:rPr>
        <w:t xml:space="preserve">P132L7 </w:t>
      </w:r>
    </w:p>
    <w:p w14:paraId="75DF177B" w14:textId="5C10C488" w:rsidR="00107E52" w:rsidRDefault="00622078" w:rsidP="00107E52">
      <w:pPr>
        <w:pStyle w:val="ListParagraph"/>
        <w:ind w:left="0"/>
        <w:rPr>
          <w:rFonts w:ascii="Times New Roman" w:hAnsi="Times New Roman" w:cs="Times New Roman"/>
        </w:rPr>
      </w:pPr>
      <w:r w:rsidRPr="007E3917">
        <w:rPr>
          <w:rFonts w:ascii="Times New Roman" w:hAnsi="Times New Roman" w:cs="Times New Roman"/>
          <w:b/>
          <w:bCs/>
          <w:i/>
          <w:iCs/>
        </w:rPr>
        <w:t>change as follows:</w:t>
      </w:r>
      <w:r w:rsidRPr="00622078">
        <w:rPr>
          <w:rFonts w:ascii="Times New Roman" w:hAnsi="Times New Roman" w:cs="Times New Roman"/>
        </w:rPr>
        <w:t xml:space="preserve"> </w:t>
      </w:r>
    </w:p>
    <w:p w14:paraId="0A507757" w14:textId="1C7620A4" w:rsidR="00107E52" w:rsidRPr="00107E52" w:rsidRDefault="00107E52" w:rsidP="00107E52">
      <w:pPr>
        <w:pStyle w:val="ListParagraph"/>
        <w:ind w:left="0"/>
        <w:rPr>
          <w:rFonts w:asciiTheme="majorBidi" w:hAnsiTheme="majorBidi" w:cstheme="majorBidi"/>
        </w:rPr>
      </w:pPr>
      <w:r w:rsidRPr="00107E52">
        <w:rPr>
          <w:rFonts w:asciiTheme="majorBidi" w:hAnsiTheme="majorBidi" w:cstheme="majorBidi"/>
          <w:b/>
          <w:bCs/>
        </w:rPr>
        <w:t>Replace</w:t>
      </w:r>
      <w:r w:rsidRPr="00107E52">
        <w:rPr>
          <w:rFonts w:asciiTheme="majorBidi" w:hAnsiTheme="majorBidi" w:cstheme="majorBidi"/>
        </w:rPr>
        <w:t xml:space="preserve"> </w:t>
      </w:r>
      <w:r>
        <w:rPr>
          <w:rFonts w:asciiTheme="majorBidi" w:hAnsiTheme="majorBidi" w:cstheme="majorBidi"/>
        </w:rPr>
        <w:t>“</w:t>
      </w:r>
      <w:r w:rsidRPr="00107E52">
        <w:rPr>
          <w:rFonts w:asciiTheme="majorBidi" w:hAnsiTheme="majorBidi" w:cstheme="majorBidi"/>
        </w:rPr>
        <w:t>The reset condition is defined as follows:</w:t>
      </w:r>
      <w:r>
        <w:rPr>
          <w:rFonts w:asciiTheme="majorBidi" w:hAnsiTheme="majorBidi" w:cstheme="majorBidi"/>
        </w:rPr>
        <w:t>”</w:t>
      </w:r>
      <w:r w:rsidRPr="00107E52">
        <w:rPr>
          <w:rFonts w:asciiTheme="majorBidi" w:hAnsiTheme="majorBidi" w:cstheme="majorBidi"/>
        </w:rPr>
        <w:t xml:space="preserve"> </w:t>
      </w:r>
      <w:bookmarkStart w:id="4" w:name="_GoBack"/>
      <w:r w:rsidRPr="00107E52">
        <w:rPr>
          <w:rFonts w:asciiTheme="majorBidi" w:hAnsiTheme="majorBidi" w:cstheme="majorBidi"/>
          <w:b/>
          <w:bCs/>
        </w:rPr>
        <w:t>by</w:t>
      </w:r>
      <w:bookmarkEnd w:id="4"/>
    </w:p>
    <w:p w14:paraId="74E5562F" w14:textId="748D2614" w:rsidR="00107E52" w:rsidRPr="00107E52" w:rsidRDefault="00107E52" w:rsidP="00107E52">
      <w:pPr>
        <w:pStyle w:val="ListParagraph"/>
        <w:ind w:left="0"/>
        <w:rPr>
          <w:rFonts w:ascii="Times New Roman" w:hAnsi="Times New Roman" w:cs="Times New Roman"/>
          <w:color w:val="000000" w:themeColor="text1"/>
          <w:u w:val="single"/>
        </w:rPr>
      </w:pPr>
      <w:r w:rsidRPr="00107E52">
        <w:rPr>
          <w:rFonts w:ascii="Times New Roman" w:hAnsi="Times New Roman" w:cs="Times New Roman"/>
          <w:color w:val="000000" w:themeColor="text1"/>
          <w:u w:val="single"/>
        </w:rPr>
        <w:t>When the reset condition defined below is met, the following</w:t>
      </w:r>
      <w:r w:rsidRPr="00107E52">
        <w:rPr>
          <w:rFonts w:ascii="Times New Roman" w:hAnsi="Times New Roman" w:cs="Times New Roman"/>
          <w:strike/>
          <w:color w:val="000000" w:themeColor="text1"/>
          <w:u w:val="single"/>
        </w:rPr>
        <w:t xml:space="preserve"> </w:t>
      </w:r>
      <w:r w:rsidRPr="00107E52">
        <w:rPr>
          <w:rFonts w:ascii="Times New Roman" w:hAnsi="Times New Roman" w:cs="Times New Roman"/>
          <w:color w:val="000000" w:themeColor="text1"/>
          <w:u w:val="single"/>
        </w:rPr>
        <w:t>statistics shall be reset: RX Chain Statistics (9.4.2.142.4 RX Chain Statistics field), PPDU Statistics (9.4.2.142.5 PPDU Statistics field), LDPC statistics (9.4.2.142.6 LDPC Statistics field), and SC/OFDM Statistics (9.4.2.142.7 SC/OFDM Statistics field)</w:t>
      </w:r>
    </w:p>
    <w:p w14:paraId="279674BD" w14:textId="77777777" w:rsidR="007E3917" w:rsidRDefault="007E3917" w:rsidP="0035595C">
      <w:pPr>
        <w:pStyle w:val="ListParagraph"/>
        <w:ind w:left="0"/>
        <w:rPr>
          <w:rFonts w:ascii="Times New Roman" w:hAnsi="Times New Roman" w:cs="Times New Roman"/>
          <w:b/>
          <w:bCs/>
          <w:i/>
          <w:iCs/>
        </w:rPr>
      </w:pPr>
    </w:p>
    <w:p w14:paraId="5571F0C0" w14:textId="7B3B28BA" w:rsidR="00622078" w:rsidRPr="007E3917" w:rsidRDefault="00622078" w:rsidP="0035595C">
      <w:pPr>
        <w:pStyle w:val="ListParagraph"/>
        <w:ind w:left="0"/>
        <w:rPr>
          <w:rFonts w:ascii="Times New Roman" w:hAnsi="Times New Roman" w:cs="Times New Roman"/>
          <w:b/>
          <w:bCs/>
          <w:i/>
          <w:iCs/>
        </w:rPr>
      </w:pPr>
      <w:r w:rsidRPr="007E3917">
        <w:rPr>
          <w:rFonts w:ascii="Times New Roman" w:hAnsi="Times New Roman" w:cs="Times New Roman"/>
          <w:b/>
          <w:bCs/>
          <w:i/>
          <w:iCs/>
        </w:rPr>
        <w:t>Move the text from P132L7 till end of the subclause to the subclause 10.44.5 TDD link maintenance on P355L3.</w:t>
      </w:r>
    </w:p>
    <w:p w14:paraId="4480E99D" w14:textId="77777777" w:rsidR="0035595C" w:rsidRPr="0035595C" w:rsidRDefault="0035595C" w:rsidP="0035595C">
      <w:pPr>
        <w:pStyle w:val="ListParagraph"/>
        <w:ind w:left="0"/>
        <w:rPr>
          <w:rFonts w:ascii="Times New Roman" w:hAnsi="Times New Roman" w:cs="Times New Roman"/>
          <w:lang w:val="en-GB"/>
        </w:rPr>
      </w:pPr>
    </w:p>
    <w:bookmarkEnd w:id="3"/>
    <w:p w14:paraId="186B3688" w14:textId="4EC3E8F0" w:rsidR="00C4032E" w:rsidRDefault="00C4032E" w:rsidP="00A44D68">
      <w:pPr>
        <w:pStyle w:val="Default"/>
        <w:rPr>
          <w:sz w:val="22"/>
          <w:szCs w:val="22"/>
        </w:rPr>
      </w:pPr>
      <w:r>
        <w:rPr>
          <w:szCs w:val="22"/>
        </w:rPr>
        <w:t xml:space="preserve"> </w:t>
      </w:r>
      <w:r w:rsidRPr="009E606E">
        <w:rPr>
          <w:szCs w:val="22"/>
        </w:rPr>
        <w:t xml:space="preserve"> </w:t>
      </w:r>
      <w:r>
        <w:rPr>
          <w:szCs w:val="22"/>
        </w:rPr>
        <w:t xml:space="preserve"> </w:t>
      </w:r>
    </w:p>
    <w:p w14:paraId="340B4791" w14:textId="77777777" w:rsidR="00A44D68" w:rsidRPr="00A108BF" w:rsidRDefault="00A44D68" w:rsidP="00A108BF">
      <w:pPr>
        <w:pStyle w:val="Default"/>
        <w:rPr>
          <w:sz w:val="22"/>
          <w:szCs w:val="22"/>
        </w:rPr>
      </w:pPr>
    </w:p>
    <w:p w14:paraId="2FC55C5F" w14:textId="77777777" w:rsidR="00A108BF" w:rsidRPr="00A108BF" w:rsidRDefault="00A108BF">
      <w:pPr>
        <w:rPr>
          <w:lang w:val="en-US"/>
        </w:rPr>
      </w:pPr>
    </w:p>
    <w:p w14:paraId="4175790F" w14:textId="77777777" w:rsidR="00CA09B2" w:rsidRDefault="00CA09B2">
      <w:pPr>
        <w:rPr>
          <w:b/>
          <w:sz w:val="24"/>
        </w:rPr>
      </w:pPr>
      <w:r>
        <w:br w:type="page"/>
      </w:r>
      <w:r>
        <w:rPr>
          <w:b/>
          <w:sz w:val="24"/>
        </w:rPr>
        <w:lastRenderedPageBreak/>
        <w:t>References:</w:t>
      </w:r>
    </w:p>
    <w:p w14:paraId="52B21867" w14:textId="77777777" w:rsidR="00CA09B2" w:rsidRPr="000159D5" w:rsidRDefault="000159D5" w:rsidP="000159D5">
      <w:pPr>
        <w:numPr>
          <w:ilvl w:val="0"/>
          <w:numId w:val="1"/>
        </w:numPr>
        <w:rPr>
          <w:sz w:val="24"/>
          <w:szCs w:val="24"/>
        </w:rPr>
      </w:pPr>
      <w:r w:rsidRPr="000159D5">
        <w:rPr>
          <w:sz w:val="24"/>
          <w:szCs w:val="24"/>
        </w:rPr>
        <w:t>IEEE P802.11ay/D5.0, October 2019</w:t>
      </w:r>
    </w:p>
    <w:sectPr w:rsidR="00CA09B2" w:rsidRPr="000159D5">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C8ED7" w14:textId="77777777" w:rsidR="00B1741F" w:rsidRDefault="00B1741F">
      <w:r>
        <w:separator/>
      </w:r>
    </w:p>
  </w:endnote>
  <w:endnote w:type="continuationSeparator" w:id="0">
    <w:p w14:paraId="0668C9E7" w14:textId="77777777" w:rsidR="00B1741F" w:rsidRDefault="00B1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690E7" w14:textId="77777777" w:rsidR="0029020B" w:rsidRDefault="00C16BC4">
    <w:pPr>
      <w:pStyle w:val="Footer"/>
      <w:tabs>
        <w:tab w:val="clear" w:pos="6480"/>
        <w:tab w:val="center" w:pos="4680"/>
        <w:tab w:val="right" w:pos="9360"/>
      </w:tabs>
    </w:pPr>
    <w:fldSimple w:instr=" SUBJECT  \* MERGEFORMAT ">
      <w:r w:rsidR="00847B0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02739E">
      <w:t>Solomon Trainin, Qualcomm</w:t>
    </w:r>
  </w:p>
  <w:p w14:paraId="44B1AAF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4E650" w14:textId="77777777" w:rsidR="00B1741F" w:rsidRDefault="00B1741F">
      <w:r>
        <w:separator/>
      </w:r>
    </w:p>
  </w:footnote>
  <w:footnote w:type="continuationSeparator" w:id="0">
    <w:p w14:paraId="63157F14" w14:textId="77777777" w:rsidR="00B1741F" w:rsidRDefault="00B17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2D08B" w14:textId="6D5CA5E1" w:rsidR="0029020B" w:rsidRDefault="0002739E">
    <w:pPr>
      <w:pStyle w:val="Header"/>
      <w:tabs>
        <w:tab w:val="clear" w:pos="6480"/>
        <w:tab w:val="center" w:pos="4680"/>
        <w:tab w:val="right" w:pos="9360"/>
      </w:tabs>
    </w:pPr>
    <w:r>
      <w:t>January 2020</w:t>
    </w:r>
    <w:r w:rsidR="0029020B">
      <w:tab/>
    </w:r>
    <w:r w:rsidR="0029020B">
      <w:tab/>
    </w:r>
    <w:fldSimple w:instr=" TITLE  \* MERGEFORMAT ">
      <w:r w:rsidR="00847B07">
        <w:t>doc.: IEEE 802.11-</w:t>
      </w:r>
      <w:r>
        <w:t>20</w:t>
      </w:r>
      <w:r w:rsidR="00847B07">
        <w:t>/</w:t>
      </w:r>
      <w:r w:rsidR="00363BF6">
        <w:t>0157</w:t>
      </w:r>
      <w:r w:rsidR="00847B07">
        <w:t>r</w:t>
      </w:r>
      <w:r w:rsidR="00CC4484">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C76C9"/>
    <w:multiLevelType w:val="hybridMultilevel"/>
    <w:tmpl w:val="A96AE1F4"/>
    <w:lvl w:ilvl="0" w:tplc="A34E99A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7B6B95"/>
    <w:multiLevelType w:val="hybridMultilevel"/>
    <w:tmpl w:val="F96C50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07"/>
    <w:rsid w:val="000159D5"/>
    <w:rsid w:val="0002739E"/>
    <w:rsid w:val="00053968"/>
    <w:rsid w:val="00057B73"/>
    <w:rsid w:val="00107E52"/>
    <w:rsid w:val="001459A9"/>
    <w:rsid w:val="00155ED8"/>
    <w:rsid w:val="001C76BD"/>
    <w:rsid w:val="001D723B"/>
    <w:rsid w:val="002774A6"/>
    <w:rsid w:val="0029020B"/>
    <w:rsid w:val="002D20C5"/>
    <w:rsid w:val="002D44BE"/>
    <w:rsid w:val="0035595C"/>
    <w:rsid w:val="003631C5"/>
    <w:rsid w:val="00363BF6"/>
    <w:rsid w:val="003A37FC"/>
    <w:rsid w:val="003A5C26"/>
    <w:rsid w:val="003C16FA"/>
    <w:rsid w:val="00442037"/>
    <w:rsid w:val="0044711A"/>
    <w:rsid w:val="0047743F"/>
    <w:rsid w:val="0048120B"/>
    <w:rsid w:val="004B064B"/>
    <w:rsid w:val="00524F66"/>
    <w:rsid w:val="00556687"/>
    <w:rsid w:val="005E0972"/>
    <w:rsid w:val="00622078"/>
    <w:rsid w:val="0062440B"/>
    <w:rsid w:val="006C0727"/>
    <w:rsid w:val="006E145F"/>
    <w:rsid w:val="00742E5D"/>
    <w:rsid w:val="00770572"/>
    <w:rsid w:val="00787700"/>
    <w:rsid w:val="007E3917"/>
    <w:rsid w:val="008070D6"/>
    <w:rsid w:val="00847B07"/>
    <w:rsid w:val="008A73D6"/>
    <w:rsid w:val="008C022C"/>
    <w:rsid w:val="009B3ABA"/>
    <w:rsid w:val="009E606E"/>
    <w:rsid w:val="009F2FBC"/>
    <w:rsid w:val="00A108BF"/>
    <w:rsid w:val="00A126A0"/>
    <w:rsid w:val="00A44D68"/>
    <w:rsid w:val="00AA427C"/>
    <w:rsid w:val="00AB2BC2"/>
    <w:rsid w:val="00AC2159"/>
    <w:rsid w:val="00B1741F"/>
    <w:rsid w:val="00B5549D"/>
    <w:rsid w:val="00B95709"/>
    <w:rsid w:val="00BC2DF6"/>
    <w:rsid w:val="00BE68C2"/>
    <w:rsid w:val="00C16BC4"/>
    <w:rsid w:val="00C4032E"/>
    <w:rsid w:val="00C53C88"/>
    <w:rsid w:val="00CA09B2"/>
    <w:rsid w:val="00CC4484"/>
    <w:rsid w:val="00D078F5"/>
    <w:rsid w:val="00D13FFD"/>
    <w:rsid w:val="00D604D7"/>
    <w:rsid w:val="00DC5A7B"/>
    <w:rsid w:val="00E7629A"/>
    <w:rsid w:val="00EA5074"/>
    <w:rsid w:val="00F355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857D57"/>
  <w15:chartTrackingRefBased/>
  <w15:docId w15:val="{A070B5DB-218C-4FB9-A2D7-5513D96B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AB2BC2"/>
    <w:pPr>
      <w:autoSpaceDE w:val="0"/>
      <w:autoSpaceDN w:val="0"/>
      <w:adjustRightInd w:val="0"/>
    </w:pPr>
    <w:rPr>
      <w:color w:val="000000"/>
      <w:sz w:val="24"/>
      <w:szCs w:val="24"/>
    </w:rPr>
  </w:style>
  <w:style w:type="paragraph" w:styleId="ListParagraph">
    <w:name w:val="List Paragraph"/>
    <w:basedOn w:val="Normal"/>
    <w:uiPriority w:val="34"/>
    <w:qFormat/>
    <w:rsid w:val="00C4032E"/>
    <w:pPr>
      <w:ind w:left="720"/>
    </w:pPr>
    <w:rPr>
      <w:rFonts w:ascii="Calibri" w:eastAsiaTheme="minorHAnsi" w:hAnsi="Calibri" w:cs="Calibri"/>
      <w:szCs w:val="22"/>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185623">
      <w:bodyDiv w:val="1"/>
      <w:marLeft w:val="0"/>
      <w:marRight w:val="0"/>
      <w:marTop w:val="0"/>
      <w:marBottom w:val="0"/>
      <w:divBdr>
        <w:top w:val="none" w:sz="0" w:space="0" w:color="auto"/>
        <w:left w:val="none" w:sz="0" w:space="0" w:color="auto"/>
        <w:bottom w:val="none" w:sz="0" w:space="0" w:color="auto"/>
        <w:right w:val="none" w:sz="0" w:space="0" w:color="auto"/>
      </w:divBdr>
    </w:div>
    <w:div w:id="708451422">
      <w:bodyDiv w:val="1"/>
      <w:marLeft w:val="0"/>
      <w:marRight w:val="0"/>
      <w:marTop w:val="0"/>
      <w:marBottom w:val="0"/>
      <w:divBdr>
        <w:top w:val="none" w:sz="0" w:space="0" w:color="auto"/>
        <w:left w:val="none" w:sz="0" w:space="0" w:color="auto"/>
        <w:bottom w:val="none" w:sz="0" w:space="0" w:color="auto"/>
        <w:right w:val="none" w:sz="0" w:space="0" w:color="auto"/>
      </w:divBdr>
    </w:div>
    <w:div w:id="909538253">
      <w:bodyDiv w:val="1"/>
      <w:marLeft w:val="0"/>
      <w:marRight w:val="0"/>
      <w:marTop w:val="0"/>
      <w:marBottom w:val="0"/>
      <w:divBdr>
        <w:top w:val="none" w:sz="0" w:space="0" w:color="auto"/>
        <w:left w:val="none" w:sz="0" w:space="0" w:color="auto"/>
        <w:bottom w:val="none" w:sz="0" w:space="0" w:color="auto"/>
        <w:right w:val="none" w:sz="0" w:space="0" w:color="auto"/>
      </w:divBdr>
    </w:div>
    <w:div w:id="920136301">
      <w:bodyDiv w:val="1"/>
      <w:marLeft w:val="0"/>
      <w:marRight w:val="0"/>
      <w:marTop w:val="0"/>
      <w:marBottom w:val="0"/>
      <w:divBdr>
        <w:top w:val="none" w:sz="0" w:space="0" w:color="auto"/>
        <w:left w:val="none" w:sz="0" w:space="0" w:color="auto"/>
        <w:bottom w:val="none" w:sz="0" w:space="0" w:color="auto"/>
        <w:right w:val="none" w:sz="0" w:space="0" w:color="auto"/>
      </w:divBdr>
    </w:div>
    <w:div w:id="940407878">
      <w:bodyDiv w:val="1"/>
      <w:marLeft w:val="0"/>
      <w:marRight w:val="0"/>
      <w:marTop w:val="0"/>
      <w:marBottom w:val="0"/>
      <w:divBdr>
        <w:top w:val="none" w:sz="0" w:space="0" w:color="auto"/>
        <w:left w:val="none" w:sz="0" w:space="0" w:color="auto"/>
        <w:bottom w:val="none" w:sz="0" w:space="0" w:color="auto"/>
        <w:right w:val="none" w:sz="0" w:space="0" w:color="auto"/>
      </w:divBdr>
    </w:div>
    <w:div w:id="1051346407">
      <w:bodyDiv w:val="1"/>
      <w:marLeft w:val="0"/>
      <w:marRight w:val="0"/>
      <w:marTop w:val="0"/>
      <w:marBottom w:val="0"/>
      <w:divBdr>
        <w:top w:val="none" w:sz="0" w:space="0" w:color="auto"/>
        <w:left w:val="none" w:sz="0" w:space="0" w:color="auto"/>
        <w:bottom w:val="none" w:sz="0" w:space="0" w:color="auto"/>
        <w:right w:val="none" w:sz="0" w:space="0" w:color="auto"/>
      </w:divBdr>
    </w:div>
    <w:div w:id="1242375840">
      <w:bodyDiv w:val="1"/>
      <w:marLeft w:val="0"/>
      <w:marRight w:val="0"/>
      <w:marTop w:val="0"/>
      <w:marBottom w:val="0"/>
      <w:divBdr>
        <w:top w:val="none" w:sz="0" w:space="0" w:color="auto"/>
        <w:left w:val="none" w:sz="0" w:space="0" w:color="auto"/>
        <w:bottom w:val="none" w:sz="0" w:space="0" w:color="auto"/>
        <w:right w:val="none" w:sz="0" w:space="0" w:color="auto"/>
      </w:divBdr>
    </w:div>
    <w:div w:id="1413889088">
      <w:bodyDiv w:val="1"/>
      <w:marLeft w:val="0"/>
      <w:marRight w:val="0"/>
      <w:marTop w:val="0"/>
      <w:marBottom w:val="0"/>
      <w:divBdr>
        <w:top w:val="none" w:sz="0" w:space="0" w:color="auto"/>
        <w:left w:val="none" w:sz="0" w:space="0" w:color="auto"/>
        <w:bottom w:val="none" w:sz="0" w:space="0" w:color="auto"/>
        <w:right w:val="none" w:sz="0" w:space="0" w:color="auto"/>
      </w:divBdr>
    </w:div>
    <w:div w:id="1497724217">
      <w:bodyDiv w:val="1"/>
      <w:marLeft w:val="0"/>
      <w:marRight w:val="0"/>
      <w:marTop w:val="0"/>
      <w:marBottom w:val="0"/>
      <w:divBdr>
        <w:top w:val="none" w:sz="0" w:space="0" w:color="auto"/>
        <w:left w:val="none" w:sz="0" w:space="0" w:color="auto"/>
        <w:bottom w:val="none" w:sz="0" w:space="0" w:color="auto"/>
        <w:right w:val="none" w:sz="0" w:space="0" w:color="auto"/>
      </w:divBdr>
    </w:div>
    <w:div w:id="1603488952">
      <w:bodyDiv w:val="1"/>
      <w:marLeft w:val="0"/>
      <w:marRight w:val="0"/>
      <w:marTop w:val="0"/>
      <w:marBottom w:val="0"/>
      <w:divBdr>
        <w:top w:val="none" w:sz="0" w:space="0" w:color="auto"/>
        <w:left w:val="none" w:sz="0" w:space="0" w:color="auto"/>
        <w:bottom w:val="none" w:sz="0" w:space="0" w:color="auto"/>
        <w:right w:val="none" w:sz="0" w:space="0" w:color="auto"/>
      </w:divBdr>
    </w:div>
    <w:div w:id="1659849067">
      <w:bodyDiv w:val="1"/>
      <w:marLeft w:val="0"/>
      <w:marRight w:val="0"/>
      <w:marTop w:val="0"/>
      <w:marBottom w:val="0"/>
      <w:divBdr>
        <w:top w:val="none" w:sz="0" w:space="0" w:color="auto"/>
        <w:left w:val="none" w:sz="0" w:space="0" w:color="auto"/>
        <w:bottom w:val="none" w:sz="0" w:space="0" w:color="auto"/>
        <w:right w:val="none" w:sz="0" w:space="0" w:color="auto"/>
      </w:divBdr>
    </w:div>
    <w:div w:id="1794395878">
      <w:bodyDiv w:val="1"/>
      <w:marLeft w:val="0"/>
      <w:marRight w:val="0"/>
      <w:marTop w:val="0"/>
      <w:marBottom w:val="0"/>
      <w:divBdr>
        <w:top w:val="none" w:sz="0" w:space="0" w:color="auto"/>
        <w:left w:val="none" w:sz="0" w:space="0" w:color="auto"/>
        <w:bottom w:val="none" w:sz="0" w:space="0" w:color="auto"/>
        <w:right w:val="none" w:sz="0" w:space="0" w:color="auto"/>
      </w:divBdr>
    </w:div>
    <w:div w:id="1815951488">
      <w:bodyDiv w:val="1"/>
      <w:marLeft w:val="0"/>
      <w:marRight w:val="0"/>
      <w:marTop w:val="0"/>
      <w:marBottom w:val="0"/>
      <w:divBdr>
        <w:top w:val="none" w:sz="0" w:space="0" w:color="auto"/>
        <w:left w:val="none" w:sz="0" w:space="0" w:color="auto"/>
        <w:bottom w:val="none" w:sz="0" w:space="0" w:color="auto"/>
        <w:right w:val="none" w:sz="0" w:space="0" w:color="auto"/>
      </w:divBdr>
    </w:div>
    <w:div w:id="1894460608">
      <w:bodyDiv w:val="1"/>
      <w:marLeft w:val="0"/>
      <w:marRight w:val="0"/>
      <w:marTop w:val="0"/>
      <w:marBottom w:val="0"/>
      <w:divBdr>
        <w:top w:val="none" w:sz="0" w:space="0" w:color="auto"/>
        <w:left w:val="none" w:sz="0" w:space="0" w:color="auto"/>
        <w:bottom w:val="none" w:sz="0" w:space="0" w:color="auto"/>
        <w:right w:val="none" w:sz="0" w:space="0" w:color="auto"/>
      </w:divBdr>
    </w:div>
    <w:div w:id="213470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(11)</Template>
  <TotalTime>62</TotalTime>
  <Pages>5</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Month Year</cp:keywords>
  <dc:description>John Doe, Some Company</dc:description>
  <cp:lastModifiedBy>Solomon Trainin</cp:lastModifiedBy>
  <cp:revision>6</cp:revision>
  <cp:lastPrinted>1899-12-31T22:00:00Z</cp:lastPrinted>
  <dcterms:created xsi:type="dcterms:W3CDTF">2020-01-14T17:32:00Z</dcterms:created>
  <dcterms:modified xsi:type="dcterms:W3CDTF">2020-01-14T19:26:00Z</dcterms:modified>
</cp:coreProperties>
</file>