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8A691" w14:textId="77777777"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3AB73BC2" w14:textId="32A48981" w:rsidR="009A22C8" w:rsidRDefault="009A22C8" w:rsidP="00E45D0F">
            <w:pPr>
              <w:pStyle w:val="T2"/>
            </w:pPr>
            <w:r w:rsidRPr="009A22C8">
              <w:t>Proposed Resolution for CID 4108</w:t>
            </w:r>
          </w:p>
          <w:p w14:paraId="013AE31E" w14:textId="6F9ED0A5" w:rsidR="00D12542" w:rsidRDefault="00020455" w:rsidP="00E45D0F">
            <w:pPr>
              <w:pStyle w:val="T2"/>
            </w:pPr>
            <w:r>
              <w:t xml:space="preserve">5.9 GHz </w:t>
            </w:r>
            <w:r w:rsidRPr="00020455">
              <w:t xml:space="preserve">(5.850-5.895 GHz) </w:t>
            </w:r>
            <w:r>
              <w:t>for Unlicensed Use</w:t>
            </w:r>
          </w:p>
        </w:tc>
      </w:tr>
      <w:tr w:rsidR="00D12542" w14:paraId="5A795543" w14:textId="77777777" w:rsidTr="008A6911">
        <w:trPr>
          <w:trHeight w:val="359"/>
          <w:jc w:val="center"/>
        </w:trPr>
        <w:tc>
          <w:tcPr>
            <w:tcW w:w="5000" w:type="pct"/>
            <w:gridSpan w:val="5"/>
            <w:vAlign w:val="center"/>
          </w:tcPr>
          <w:p w14:paraId="4CFB29A4" w14:textId="0FCDD958"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F260C8">
              <w:rPr>
                <w:b w:val="0"/>
                <w:sz w:val="20"/>
              </w:rPr>
              <w:t>1</w:t>
            </w:r>
            <w:r>
              <w:rPr>
                <w:b w:val="0"/>
                <w:sz w:val="20"/>
              </w:rPr>
              <w:t>-</w:t>
            </w:r>
            <w:r w:rsidR="00420FFD">
              <w:rPr>
                <w:b w:val="0"/>
                <w:sz w:val="20"/>
              </w:rPr>
              <w:t>1</w:t>
            </w:r>
            <w:r w:rsidR="00F260C8">
              <w:rPr>
                <w:b w:val="0"/>
                <w:sz w:val="20"/>
              </w:rPr>
              <w:t>3</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AC59E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4"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AC59E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4"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AC59EA">
        <w:trPr>
          <w:jc w:val="center"/>
        </w:trPr>
        <w:tc>
          <w:tcPr>
            <w:tcW w:w="936" w:type="pct"/>
            <w:vAlign w:val="center"/>
          </w:tcPr>
          <w:p w14:paraId="5A9FD94D" w14:textId="07316942" w:rsidR="00E45D0F" w:rsidRDefault="00DA7F8E" w:rsidP="00F260C8">
            <w:pPr>
              <w:pStyle w:val="T2"/>
              <w:spacing w:after="0"/>
              <w:ind w:left="0" w:right="0"/>
              <w:jc w:val="left"/>
              <w:rPr>
                <w:b w:val="0"/>
                <w:sz w:val="20"/>
              </w:rPr>
            </w:pPr>
            <w:r>
              <w:rPr>
                <w:b w:val="0"/>
                <w:sz w:val="20"/>
              </w:rPr>
              <w:t>Thomas Derham</w:t>
            </w:r>
          </w:p>
        </w:tc>
        <w:tc>
          <w:tcPr>
            <w:tcW w:w="622" w:type="pct"/>
            <w:vAlign w:val="center"/>
          </w:tcPr>
          <w:p w14:paraId="416036B7" w14:textId="07CECB3A" w:rsidR="00E45D0F" w:rsidRDefault="00DA7F8E" w:rsidP="00F260C8">
            <w:pPr>
              <w:pStyle w:val="T2"/>
              <w:spacing w:after="0"/>
              <w:ind w:left="0" w:right="0"/>
              <w:jc w:val="left"/>
              <w:rPr>
                <w:b w:val="0"/>
                <w:sz w:val="20"/>
              </w:rPr>
            </w:pPr>
            <w:r>
              <w:rPr>
                <w:b w:val="0"/>
                <w:sz w:val="20"/>
              </w:rPr>
              <w:t>Broadcom</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4" w:type="pct"/>
            <w:vAlign w:val="center"/>
          </w:tcPr>
          <w:p w14:paraId="008811FD" w14:textId="5BCF11C3" w:rsidR="00E45D0F" w:rsidRPr="00385B28" w:rsidRDefault="00385B28" w:rsidP="00385B28">
            <w:pPr>
              <w:pStyle w:val="T2"/>
              <w:spacing w:after="0"/>
              <w:ind w:left="0" w:right="0"/>
              <w:jc w:val="left"/>
              <w:rPr>
                <w:b w:val="0"/>
                <w:bCs/>
                <w:sz w:val="20"/>
              </w:rPr>
            </w:pPr>
            <w:r w:rsidRPr="00385B28">
              <w:rPr>
                <w:b w:val="0"/>
                <w:bCs/>
                <w:sz w:val="20"/>
              </w:rPr>
              <w:t>Thomas.derham@broadcom.com</w:t>
            </w:r>
          </w:p>
        </w:tc>
      </w:tr>
      <w:tr w:rsidR="00385B28" w14:paraId="21AEBAAD" w14:textId="77777777" w:rsidTr="00AC59EA">
        <w:trPr>
          <w:jc w:val="center"/>
        </w:trPr>
        <w:tc>
          <w:tcPr>
            <w:tcW w:w="936" w:type="pct"/>
            <w:vAlign w:val="center"/>
          </w:tcPr>
          <w:p w14:paraId="0F59FC31" w14:textId="60B92A59" w:rsidR="00E45D0F" w:rsidRDefault="00DA7F8E" w:rsidP="00F260C8">
            <w:pPr>
              <w:pStyle w:val="T2"/>
              <w:spacing w:after="0"/>
              <w:ind w:left="0" w:right="0"/>
              <w:jc w:val="left"/>
              <w:rPr>
                <w:b w:val="0"/>
                <w:sz w:val="20"/>
              </w:rPr>
            </w:pPr>
            <w:r>
              <w:rPr>
                <w:b w:val="0"/>
                <w:sz w:val="20"/>
              </w:rPr>
              <w:t>Carol Ansley</w:t>
            </w:r>
          </w:p>
        </w:tc>
        <w:tc>
          <w:tcPr>
            <w:tcW w:w="622" w:type="pct"/>
            <w:vAlign w:val="center"/>
          </w:tcPr>
          <w:p w14:paraId="0A2C9BC7" w14:textId="62964015" w:rsidR="00E45D0F" w:rsidRDefault="00D81578" w:rsidP="00F260C8">
            <w:pPr>
              <w:pStyle w:val="T2"/>
              <w:spacing w:after="0"/>
              <w:ind w:left="0" w:right="0"/>
              <w:jc w:val="left"/>
              <w:rPr>
                <w:b w:val="0"/>
                <w:sz w:val="20"/>
              </w:rPr>
            </w:pPr>
            <w:r>
              <w:rPr>
                <w:b w:val="0"/>
                <w:sz w:val="20"/>
              </w:rPr>
              <w:t>CommScope</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4" w:type="pct"/>
            <w:vAlign w:val="center"/>
          </w:tcPr>
          <w:p w14:paraId="28A3743B" w14:textId="10E7F8BF" w:rsidR="00E45D0F" w:rsidRPr="00385B28" w:rsidRDefault="00385B28" w:rsidP="00385B28">
            <w:pPr>
              <w:pStyle w:val="T2"/>
              <w:spacing w:after="0"/>
              <w:ind w:left="0" w:right="0"/>
              <w:jc w:val="left"/>
              <w:rPr>
                <w:b w:val="0"/>
                <w:bCs/>
                <w:sz w:val="20"/>
              </w:rPr>
            </w:pPr>
            <w:r w:rsidRPr="00385B28">
              <w:rPr>
                <w:b w:val="0"/>
                <w:bCs/>
                <w:sz w:val="20"/>
              </w:rPr>
              <w:t>carol.ansley@commscope.com</w:t>
            </w:r>
          </w:p>
        </w:tc>
      </w:tr>
      <w:tr w:rsidR="00385B28" w14:paraId="590CAF24" w14:textId="77777777" w:rsidTr="00AC59EA">
        <w:trPr>
          <w:jc w:val="center"/>
        </w:trPr>
        <w:tc>
          <w:tcPr>
            <w:tcW w:w="936" w:type="pct"/>
            <w:vAlign w:val="center"/>
          </w:tcPr>
          <w:p w14:paraId="473C3E03" w14:textId="62E57DBE" w:rsidR="002455FA" w:rsidRPr="00941269" w:rsidRDefault="002455FA" w:rsidP="00F260C8">
            <w:pPr>
              <w:pStyle w:val="T2"/>
              <w:spacing w:after="0"/>
              <w:ind w:left="0" w:right="0"/>
              <w:jc w:val="left"/>
              <w:rPr>
                <w:b w:val="0"/>
                <w:sz w:val="20"/>
              </w:rPr>
            </w:pPr>
          </w:p>
        </w:tc>
        <w:tc>
          <w:tcPr>
            <w:tcW w:w="622" w:type="pct"/>
            <w:vAlign w:val="center"/>
          </w:tcPr>
          <w:p w14:paraId="6D23D7A6" w14:textId="2379A5E4" w:rsidR="002455FA" w:rsidRDefault="002455FA" w:rsidP="00F260C8">
            <w:pPr>
              <w:pStyle w:val="T2"/>
              <w:spacing w:after="0"/>
              <w:ind w:left="0" w:right="0"/>
              <w:jc w:val="left"/>
              <w:rPr>
                <w:b w:val="0"/>
                <w:sz w:val="20"/>
              </w:rPr>
            </w:pPr>
          </w:p>
        </w:tc>
        <w:tc>
          <w:tcPr>
            <w:tcW w:w="723" w:type="pct"/>
            <w:vAlign w:val="center"/>
          </w:tcPr>
          <w:p w14:paraId="1314DDFD" w14:textId="77777777" w:rsidR="002455FA" w:rsidRDefault="002455FA" w:rsidP="00674C7F">
            <w:pPr>
              <w:pStyle w:val="T2"/>
              <w:spacing w:after="0"/>
              <w:ind w:left="0" w:right="0"/>
              <w:rPr>
                <w:b w:val="0"/>
                <w:sz w:val="20"/>
              </w:rPr>
            </w:pPr>
          </w:p>
        </w:tc>
        <w:tc>
          <w:tcPr>
            <w:tcW w:w="1006" w:type="pct"/>
            <w:vAlign w:val="center"/>
          </w:tcPr>
          <w:p w14:paraId="2294EEEE" w14:textId="77777777" w:rsidR="002455FA" w:rsidRDefault="002455FA" w:rsidP="00674C7F">
            <w:pPr>
              <w:pStyle w:val="T2"/>
              <w:spacing w:after="0"/>
              <w:ind w:left="0" w:right="0"/>
              <w:rPr>
                <w:b w:val="0"/>
                <w:sz w:val="20"/>
              </w:rPr>
            </w:pPr>
          </w:p>
        </w:tc>
        <w:tc>
          <w:tcPr>
            <w:tcW w:w="1714" w:type="pct"/>
            <w:vAlign w:val="center"/>
          </w:tcPr>
          <w:p w14:paraId="469EE6E5" w14:textId="6717B0F3" w:rsidR="002455FA" w:rsidRPr="00385B28" w:rsidRDefault="002455FA" w:rsidP="008A78F1">
            <w:pPr>
              <w:pStyle w:val="T2"/>
              <w:spacing w:after="0"/>
              <w:ind w:left="0" w:right="0"/>
              <w:rPr>
                <w:sz w:val="20"/>
              </w:rPr>
            </w:pP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1BAD40BC" w:rsidR="00DA7F8E" w:rsidRPr="00D24E6B" w:rsidRDefault="00DA7F8E" w:rsidP="00513DEF">
                            <w:pPr>
                              <w:jc w:val="both"/>
                              <w:rPr>
                                <w:lang w:val="en-US"/>
                              </w:rPr>
                            </w:pPr>
                            <w:r w:rsidRPr="00D24E6B">
                              <w:rPr>
                                <w:szCs w:val="22"/>
                              </w:rPr>
                              <w:t>On December 12th, 2019, the FCC issued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1BAD40BC" w:rsidR="00DA7F8E" w:rsidRPr="00D24E6B" w:rsidRDefault="00DA7F8E" w:rsidP="00513DEF">
                      <w:pPr>
                        <w:jc w:val="both"/>
                        <w:rPr>
                          <w:lang w:val="en-US"/>
                        </w:rPr>
                      </w:pPr>
                      <w:r w:rsidRPr="00D24E6B">
                        <w:rPr>
                          <w:szCs w:val="22"/>
                        </w:rPr>
                        <w:t>On December 12th, 2019, the FCC issued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1" w:name="RTF37363431303a2048322c312e"/>
    </w:p>
    <w:p w14:paraId="6205910B" w14:textId="77777777" w:rsidR="00D34585" w:rsidRDefault="0007235A" w:rsidP="00D34585">
      <w:r w:rsidRPr="00F40A12">
        <w:rPr>
          <w:b/>
        </w:rPr>
        <w:lastRenderedPageBreak/>
        <w:t>Discussion</w:t>
      </w:r>
      <w:r>
        <w:t>:</w:t>
      </w:r>
      <w:r w:rsidR="00E45D0F">
        <w:t xml:space="preserve"> </w:t>
      </w:r>
    </w:p>
    <w:p w14:paraId="0A9A4172" w14:textId="77777777" w:rsidR="00E8644E" w:rsidRDefault="00E8644E" w:rsidP="00D34585"/>
    <w:p w14:paraId="3E1F7553" w14:textId="3B0C2695" w:rsidR="00817CAD" w:rsidRDefault="00D24E6B" w:rsidP="00817CAD">
      <w:pPr>
        <w:autoSpaceDE w:val="0"/>
        <w:autoSpaceDN w:val="0"/>
        <w:adjustRightInd w:val="0"/>
        <w:rPr>
          <w:szCs w:val="22"/>
        </w:rPr>
      </w:pPr>
      <w:r w:rsidRPr="00D24E6B">
        <w:rPr>
          <w:szCs w:val="22"/>
        </w:rPr>
        <w:t xml:space="preserve">On December 12th, 2019, the FCC issued a Notice of Proposed Rulemaking </w:t>
      </w:r>
      <w:r w:rsidR="0098290E">
        <w:rPr>
          <w:szCs w:val="22"/>
        </w:rPr>
        <w:t xml:space="preserve">[1] </w:t>
      </w:r>
      <w:r w:rsidRPr="00D24E6B">
        <w:rPr>
          <w:szCs w:val="22"/>
        </w:rPr>
        <w:t xml:space="preserve">proposing the lower 45 megahertz of the 5.9 GHz band </w:t>
      </w:r>
      <w:r w:rsidR="00417DD4">
        <w:rPr>
          <w:szCs w:val="22"/>
        </w:rPr>
        <w:t>(</w:t>
      </w:r>
      <w:r w:rsidR="00417DD4">
        <w:t>5.850-5.895 GHz) f</w:t>
      </w:r>
      <w:r w:rsidRPr="00D24E6B">
        <w:rPr>
          <w:szCs w:val="22"/>
        </w:rPr>
        <w:t>or unlicensed uses (not under DFS rules).</w:t>
      </w:r>
      <w:r>
        <w:rPr>
          <w:szCs w:val="22"/>
        </w:rPr>
        <w:t xml:space="preserve"> </w:t>
      </w:r>
      <w:r w:rsidR="00817CAD">
        <w:rPr>
          <w:szCs w:val="22"/>
        </w:rPr>
        <w:t>This additional 45 MHz spectrum</w:t>
      </w:r>
      <w:r w:rsidR="008E2DB3">
        <w:rPr>
          <w:szCs w:val="22"/>
        </w:rPr>
        <w:t>, depicted below in the proposed U-NII-4 band,</w:t>
      </w:r>
      <w:r w:rsidR="00817CAD">
        <w:rPr>
          <w:szCs w:val="22"/>
        </w:rPr>
        <w:t xml:space="preserve"> accommodates an additional </w:t>
      </w:r>
      <w:r w:rsidR="008E2DB3">
        <w:rPr>
          <w:szCs w:val="22"/>
        </w:rPr>
        <w:t>two</w:t>
      </w:r>
      <w:r w:rsidR="00817CAD">
        <w:rPr>
          <w:szCs w:val="22"/>
        </w:rPr>
        <w:t xml:space="preserve"> 40 MHz channels, one 80 MHz channel, and one 160 MHz channel. </w:t>
      </w:r>
    </w:p>
    <w:p w14:paraId="57E4B3FD" w14:textId="77777777" w:rsidR="00817CAD" w:rsidRDefault="00817CAD" w:rsidP="00817CAD">
      <w:pPr>
        <w:autoSpaceDE w:val="0"/>
        <w:autoSpaceDN w:val="0"/>
        <w:adjustRightInd w:val="0"/>
        <w:rPr>
          <w:szCs w:val="22"/>
        </w:rPr>
      </w:pPr>
    </w:p>
    <w:p w14:paraId="7A86E168" w14:textId="7BD9CBA5" w:rsidR="00D24E6B" w:rsidRDefault="00D24E6B" w:rsidP="002455FA">
      <w:pPr>
        <w:autoSpaceDE w:val="0"/>
        <w:autoSpaceDN w:val="0"/>
        <w:adjustRightInd w:val="0"/>
        <w:rPr>
          <w:szCs w:val="22"/>
        </w:rPr>
      </w:pPr>
    </w:p>
    <w:p w14:paraId="5996C0A4" w14:textId="12A53045" w:rsidR="00D24E6B" w:rsidRDefault="00D24E6B" w:rsidP="00D24E6B">
      <w:pPr>
        <w:autoSpaceDE w:val="0"/>
        <w:autoSpaceDN w:val="0"/>
        <w:adjustRightInd w:val="0"/>
        <w:jc w:val="center"/>
        <w:rPr>
          <w:szCs w:val="22"/>
        </w:rPr>
      </w:pPr>
      <w:r>
        <w:rPr>
          <w:noProof/>
          <w:szCs w:val="22"/>
        </w:rPr>
        <w:drawing>
          <wp:inline distT="0" distB="0" distL="0" distR="0" wp14:anchorId="3D899D6B" wp14:editId="5D8356C8">
            <wp:extent cx="5462270" cy="37312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270" cy="3731260"/>
                    </a:xfrm>
                    <a:prstGeom prst="rect">
                      <a:avLst/>
                    </a:prstGeom>
                    <a:noFill/>
                  </pic:spPr>
                </pic:pic>
              </a:graphicData>
            </a:graphic>
          </wp:inline>
        </w:drawing>
      </w:r>
    </w:p>
    <w:p w14:paraId="215D681D" w14:textId="176FE8FE" w:rsidR="00417DD4" w:rsidRDefault="00417DD4" w:rsidP="002455FA">
      <w:pPr>
        <w:autoSpaceDE w:val="0"/>
        <w:autoSpaceDN w:val="0"/>
        <w:adjustRightInd w:val="0"/>
        <w:rPr>
          <w:i/>
        </w:rPr>
      </w:pPr>
    </w:p>
    <w:p w14:paraId="3B4A248D" w14:textId="5CF83936" w:rsidR="00417DD4" w:rsidRDefault="00817CAD" w:rsidP="002455FA">
      <w:pPr>
        <w:autoSpaceDE w:val="0"/>
        <w:autoSpaceDN w:val="0"/>
        <w:adjustRightInd w:val="0"/>
      </w:pPr>
      <w:r>
        <w:t xml:space="preserve">The NPRM also </w:t>
      </w:r>
      <w:r w:rsidR="00417DD4">
        <w:t>propose</w:t>
      </w:r>
      <w:r>
        <w:t>s</w:t>
      </w:r>
      <w:r w:rsidR="00417DD4">
        <w:t xml:space="preserve"> that U-NII-4 devices be subject to similar technical and operational rules that apply to the U-NII-3 band</w:t>
      </w:r>
      <w:r>
        <w:t xml:space="preserve"> and</w:t>
      </w:r>
      <w:r w:rsidR="00417DD4">
        <w:t xml:space="preserve"> that U-NII-4 devices be permitted to operate at the same power levels as U-NII-3 devices</w:t>
      </w:r>
      <w:r>
        <w:t>.</w:t>
      </w:r>
    </w:p>
    <w:p w14:paraId="39B7C64D" w14:textId="5A3F5136" w:rsidR="000D0887" w:rsidRDefault="000D0887" w:rsidP="002455FA">
      <w:pPr>
        <w:autoSpaceDE w:val="0"/>
        <w:autoSpaceDN w:val="0"/>
        <w:adjustRightInd w:val="0"/>
      </w:pPr>
    </w:p>
    <w:p w14:paraId="4A1B6B45" w14:textId="18EF0A10" w:rsidR="000D0887" w:rsidRDefault="000D0887" w:rsidP="002455FA">
      <w:pPr>
        <w:autoSpaceDE w:val="0"/>
        <w:autoSpaceDN w:val="0"/>
        <w:adjustRightInd w:val="0"/>
      </w:pPr>
    </w:p>
    <w:p w14:paraId="56E50452" w14:textId="5F66B6B8" w:rsidR="000D0887" w:rsidRDefault="000D0887" w:rsidP="000D0887">
      <w:r>
        <w:rPr>
          <w:b/>
        </w:rPr>
        <w:t>Proposed changes</w:t>
      </w:r>
      <w:r w:rsidR="00513DEF">
        <w:rPr>
          <w:b/>
        </w:rPr>
        <w:t xml:space="preserve"> (red)</w:t>
      </w:r>
      <w:r>
        <w:t xml:space="preserve">: </w:t>
      </w:r>
    </w:p>
    <w:p w14:paraId="2561D30B" w14:textId="34EA0E8F" w:rsidR="000D0887" w:rsidRDefault="000D0887" w:rsidP="002455FA">
      <w:pPr>
        <w:autoSpaceDE w:val="0"/>
        <w:autoSpaceDN w:val="0"/>
        <w:adjustRightInd w:val="0"/>
      </w:pPr>
    </w:p>
    <w:p w14:paraId="123D5B52" w14:textId="2F6204BE" w:rsidR="000D0887" w:rsidRPr="00513DEF" w:rsidRDefault="000D0887" w:rsidP="002455FA">
      <w:pPr>
        <w:autoSpaceDE w:val="0"/>
        <w:autoSpaceDN w:val="0"/>
        <w:adjustRightInd w:val="0"/>
        <w:rPr>
          <w:b/>
          <w:bCs/>
        </w:rPr>
      </w:pPr>
      <w:r w:rsidRPr="00513DEF">
        <w:rPr>
          <w:b/>
          <w:bCs/>
        </w:rPr>
        <w:t>Annex E – Table E-4 - Global operating classes</w:t>
      </w:r>
      <w:r w:rsidRPr="00513DEF">
        <w:rPr>
          <w:b/>
          <w:bCs/>
        </w:rPr>
        <w:fldChar w:fldCharType="begin"/>
      </w:r>
      <w:r w:rsidRPr="00513DEF">
        <w:rPr>
          <w:b/>
          <w:bCs/>
        </w:rPr>
        <w:instrText xml:space="preserve"> FILENAME </w:instrText>
      </w:r>
      <w:r w:rsidRPr="00513DEF">
        <w:rPr>
          <w:b/>
          <w:bCs/>
        </w:rPr>
        <w:fldChar w:fldCharType="separate"/>
      </w:r>
      <w:r w:rsidRPr="00513DEF">
        <w:rPr>
          <w:b/>
          <w:bCs/>
        </w:rPr>
        <w:t> </w:t>
      </w:r>
      <w:r w:rsidRPr="00513DEF">
        <w:rPr>
          <w:b/>
          <w:bCs/>
        </w:rPr>
        <w:fldChar w:fldCharType="end"/>
      </w:r>
      <w:r w:rsidRPr="00513DEF">
        <w:rPr>
          <w:b/>
          <w:bCs/>
        </w:rPr>
        <w:t xml:space="preserve">Operating classes </w:t>
      </w:r>
    </w:p>
    <w:p w14:paraId="5E5CBE52" w14:textId="0C95AC10" w:rsidR="000D0887" w:rsidRDefault="000D0887" w:rsidP="002455FA">
      <w:pPr>
        <w:autoSpaceDE w:val="0"/>
        <w:autoSpaceDN w:val="0"/>
        <w:adjustRightInd w:val="0"/>
      </w:pPr>
    </w:p>
    <w:tbl>
      <w:tblPr>
        <w:tblW w:w="10157" w:type="dxa"/>
        <w:jc w:val="center"/>
        <w:tblLayout w:type="fixed"/>
        <w:tblCellMar>
          <w:top w:w="120" w:type="dxa"/>
          <w:left w:w="120" w:type="dxa"/>
          <w:bottom w:w="60" w:type="dxa"/>
          <w:right w:w="120" w:type="dxa"/>
        </w:tblCellMar>
        <w:tblLook w:val="0000" w:firstRow="0" w:lastRow="0" w:firstColumn="0" w:lastColumn="0" w:noHBand="0" w:noVBand="0"/>
      </w:tblPr>
      <w:tblGrid>
        <w:gridCol w:w="1427"/>
        <w:gridCol w:w="1170"/>
        <w:gridCol w:w="1080"/>
        <w:gridCol w:w="990"/>
        <w:gridCol w:w="1530"/>
        <w:gridCol w:w="1440"/>
        <w:gridCol w:w="2520"/>
      </w:tblGrid>
      <w:tr w:rsidR="003C7209" w:rsidRPr="003C7209" w14:paraId="5483EFF7" w14:textId="77777777" w:rsidTr="003C7209">
        <w:trPr>
          <w:trHeight w:val="1040"/>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805EAF" w14:textId="77777777" w:rsidR="003C7209" w:rsidRPr="003C7209" w:rsidRDefault="003C7209" w:rsidP="00DA7F8E">
            <w:pPr>
              <w:pStyle w:val="CellHeading"/>
              <w:rPr>
                <w:sz w:val="20"/>
              </w:rPr>
            </w:pPr>
            <w:r w:rsidRPr="003C7209">
              <w:rPr>
                <w:sz w:val="20"/>
              </w:rPr>
              <w:t>Operating class</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BD2809" w14:textId="77777777" w:rsidR="003C7209" w:rsidRPr="003C7209" w:rsidRDefault="003C7209" w:rsidP="00DA7F8E">
            <w:pPr>
              <w:pStyle w:val="CellHeading"/>
              <w:rPr>
                <w:sz w:val="20"/>
              </w:rPr>
            </w:pPr>
            <w:r w:rsidRPr="003C7209">
              <w:rPr>
                <w:sz w:val="20"/>
              </w:rPr>
              <w:t>Nonglobal operating class(es)</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B5872E" w14:textId="77777777" w:rsidR="003C7209" w:rsidRPr="003C7209" w:rsidRDefault="003C7209" w:rsidP="00DA7F8E">
            <w:pPr>
              <w:pStyle w:val="CellHeading"/>
              <w:rPr>
                <w:sz w:val="20"/>
              </w:rPr>
            </w:pPr>
            <w:r w:rsidRPr="003C7209">
              <w:rPr>
                <w:sz w:val="2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FEC78" w14:textId="77777777" w:rsidR="003C7209" w:rsidRPr="003C7209" w:rsidRDefault="003C7209" w:rsidP="00DA7F8E">
            <w:pPr>
              <w:pStyle w:val="CellHeading"/>
              <w:rPr>
                <w:sz w:val="20"/>
              </w:rPr>
            </w:pPr>
            <w:r w:rsidRPr="003C7209">
              <w:rPr>
                <w:sz w:val="20"/>
              </w:rPr>
              <w:t>Channel spacing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F7BB4" w14:textId="77777777" w:rsidR="003C7209" w:rsidRPr="003C7209" w:rsidRDefault="003C7209" w:rsidP="00DA7F8E">
            <w:pPr>
              <w:pStyle w:val="CellHeading"/>
              <w:rPr>
                <w:sz w:val="20"/>
              </w:rPr>
            </w:pPr>
            <w:r w:rsidRPr="003C7209">
              <w:rPr>
                <w:sz w:val="20"/>
              </w:rPr>
              <w:t>Channel set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98681" w14:textId="77777777" w:rsidR="003C7209" w:rsidRPr="003C7209" w:rsidRDefault="003C7209" w:rsidP="00DA7F8E">
            <w:pPr>
              <w:pStyle w:val="CellHeading"/>
              <w:rPr>
                <w:sz w:val="20"/>
              </w:rPr>
            </w:pPr>
            <w:r w:rsidRPr="003C7209">
              <w:rPr>
                <w:sz w:val="20"/>
              </w:rPr>
              <w:t>Channel center frequency index</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59BBBB" w14:textId="77777777" w:rsidR="003C7209" w:rsidRPr="003C7209" w:rsidRDefault="003C7209" w:rsidP="00DA7F8E">
            <w:pPr>
              <w:pStyle w:val="CellHeading"/>
              <w:rPr>
                <w:sz w:val="20"/>
              </w:rPr>
            </w:pPr>
            <w:r w:rsidRPr="003C7209">
              <w:rPr>
                <w:sz w:val="20"/>
              </w:rPr>
              <w:t>Behavior limits set</w:t>
            </w:r>
          </w:p>
        </w:tc>
      </w:tr>
      <w:tr w:rsidR="003C7209" w:rsidRPr="003C7209" w14:paraId="1CC0E5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BCC08A" w14:textId="3A1242A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125</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334AD3" w14:textId="0353467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E-1-5, </w:t>
            </w:r>
            <w:r w:rsidRPr="000D0887">
              <w:rPr>
                <w:rFonts w:ascii="Times New Roman" w:eastAsia="Times New Roman" w:hAnsi="Times New Roman" w:cs="Times New Roman"/>
                <w:b w:val="0"/>
                <w:bCs w:val="0"/>
                <w:kern w:val="24"/>
              </w:rPr>
              <w:br/>
              <w:t>E-2-17,</w:t>
            </w:r>
            <w:r w:rsidRPr="000D0887">
              <w:rPr>
                <w:rFonts w:ascii="Times New Roman" w:eastAsia="Times New Roman" w:hAnsi="Times New Roman" w:cs="Times New Roman"/>
                <w:b w:val="0"/>
                <w:bCs w:val="0"/>
                <w:kern w:val="24"/>
              </w:rPr>
              <w:br/>
              <w:t>E-5-3</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837" w14:textId="3A20FA0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759C39" w14:textId="7E9A9D9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20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7132C" w14:textId="481CEB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149, 153, 157, 161, 165, 169, </w:t>
            </w:r>
            <w:r w:rsidRPr="003C7209">
              <w:rPr>
                <w:rFonts w:ascii="Times New Roman" w:eastAsia="Times New Roman" w:hAnsi="Times New Roman" w:cs="Times New Roman"/>
                <w:color w:val="FF0000"/>
                <w:kern w:val="24"/>
              </w:rPr>
              <w:t>173, 177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73802" w14:textId="791F2F0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C60F8" w14:textId="26A4BC0E"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LicenseExemptBehavior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5D5109E4"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E96E9" w14:textId="5EF91AE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03C57" w14:textId="19E21D5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E-1-25,26,</w:t>
            </w:r>
            <w:r w:rsidRPr="000D0887">
              <w:rPr>
                <w:rFonts w:ascii="Times New Roman" w:eastAsia="Times New Roman" w:hAnsi="Times New Roman" w:cs="Times New Roman"/>
                <w:b w:val="0"/>
                <w:bCs w:val="0"/>
                <w:kern w:val="24"/>
              </w:rPr>
              <w:br/>
              <w:t>E-5-6</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7AB52" w14:textId="514045F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46134" w14:textId="1919AF6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1B778" w14:textId="6104F98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149, 157, </w:t>
            </w:r>
            <w:r w:rsidRPr="003C7209">
              <w:rPr>
                <w:rFonts w:ascii="Times New Roman" w:eastAsia="Times New Roman" w:hAnsi="Times New Roman" w:cs="Times New Roman"/>
                <w:color w:val="FF0000"/>
                <w:kern w:val="24"/>
              </w:rPr>
              <w:t>165, 17</w:t>
            </w:r>
            <w:r w:rsidR="00422EB9">
              <w:rPr>
                <w:rFonts w:ascii="Times New Roman" w:eastAsia="Times New Roman" w:hAnsi="Times New Roman" w:cs="Times New Roman"/>
                <w:color w:val="FF0000"/>
                <w:kern w:val="24"/>
              </w:rPr>
              <w:t>3</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85D8C" w14:textId="455FE52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98D5D" w14:textId="48BBD56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PrimaryChannelLowerBehavior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7D077D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55942" w14:textId="30EFAFD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lastRenderedPageBreak/>
              <w:t>127</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6DDBE5" w14:textId="7B0C4A9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E-1-30,31</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9AC64" w14:textId="1F32B8A4"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6E1E" w14:textId="38BA0EA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C83D0F" w14:textId="00685C9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153, 161,</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169, 177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B18DB" w14:textId="1A8578E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54A12" w14:textId="6553DDC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PrimaryChannelUpperBehavior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0F9734F3"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6416EB" w14:textId="120C0BA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CFF822" w14:textId="028A50B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E-1-128,</w:t>
            </w:r>
            <w:r w:rsidRPr="000D0887">
              <w:rPr>
                <w:rFonts w:ascii="Times New Roman" w:eastAsia="Times New Roman" w:hAnsi="Times New Roman" w:cs="Times New Roman"/>
                <w:b w:val="0"/>
                <w:bCs w:val="0"/>
                <w:kern w:val="24"/>
              </w:rPr>
              <w:br/>
              <w:t>E-2-128,</w:t>
            </w:r>
            <w:r w:rsidRPr="000D0887">
              <w:rPr>
                <w:rFonts w:ascii="Times New Roman" w:eastAsia="Times New Roman" w:hAnsi="Times New Roman" w:cs="Times New Roman"/>
                <w:b w:val="0"/>
                <w:bCs w:val="0"/>
                <w:kern w:val="24"/>
              </w:rPr>
              <w:br/>
              <w:t>E-3-128</w:t>
            </w:r>
            <w:r w:rsidRPr="000D0887">
              <w:rPr>
                <w:rFonts w:ascii="Times New Roman" w:eastAsia="Times New Roman" w:hAnsi="Times New Roman" w:cs="Times New Roman"/>
                <w:b w:val="0"/>
                <w:bCs w:val="0"/>
                <w:kern w:val="24"/>
              </w:rPr>
              <w:br/>
              <w:t>E-5-128</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F041F" w14:textId="198B864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F5F2" w14:textId="268B9321"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13935" w14:textId="0B709F6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C5622" w14:textId="266FF68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42, 58, 106, 122, 138, 155,</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32D0" w14:textId="3CF4D1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580997FA"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D70A85" w14:textId="47FBE32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129</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B6BA7" w14:textId="3F55BD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E-1-129,</w:t>
            </w:r>
            <w:r w:rsidRPr="000D0887">
              <w:rPr>
                <w:rFonts w:ascii="Times New Roman" w:eastAsia="Times New Roman" w:hAnsi="Times New Roman" w:cs="Times New Roman"/>
                <w:b w:val="0"/>
                <w:bCs w:val="0"/>
                <w:kern w:val="24"/>
              </w:rPr>
              <w:br/>
              <w:t>E-2-129,</w:t>
            </w:r>
            <w:r w:rsidRPr="000D0887">
              <w:rPr>
                <w:rFonts w:ascii="Times New Roman" w:eastAsia="Times New Roman" w:hAnsi="Times New Roman" w:cs="Times New Roman"/>
                <w:b w:val="0"/>
                <w:bCs w:val="0"/>
                <w:kern w:val="24"/>
              </w:rPr>
              <w:br/>
              <w:t>E-3-129</w:t>
            </w:r>
            <w:r w:rsidRPr="000D0887">
              <w:rPr>
                <w:rFonts w:ascii="Times New Roman" w:eastAsia="Times New Roman" w:hAnsi="Times New Roman" w:cs="Times New Roman"/>
                <w:b w:val="0"/>
                <w:bCs w:val="0"/>
                <w:kern w:val="24"/>
              </w:rPr>
              <w:br/>
              <w:t>E-5-129</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DCF9F" w14:textId="02DAC63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B43E" w14:textId="7015E15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160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9922E" w14:textId="3CF8BF3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9B884" w14:textId="1B8E51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50, 114, </w:t>
            </w:r>
            <w:r w:rsidRPr="003C7209">
              <w:rPr>
                <w:rFonts w:ascii="Times New Roman" w:eastAsia="Times New Roman" w:hAnsi="Times New Roman" w:cs="Times New Roman"/>
                <w:color w:val="FF0000"/>
                <w:kern w:val="24"/>
              </w:rPr>
              <w:t>163</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987692" w14:textId="3741C75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1F6AE30B"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1842F7" w14:textId="537DB26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130</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DBBD8" w14:textId="4B5A2A2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E-1-130,</w:t>
            </w:r>
            <w:r w:rsidRPr="000D0887">
              <w:rPr>
                <w:rFonts w:ascii="Times New Roman" w:eastAsia="Times New Roman" w:hAnsi="Times New Roman" w:cs="Times New Roman"/>
                <w:b w:val="0"/>
                <w:bCs w:val="0"/>
                <w:kern w:val="24"/>
              </w:rPr>
              <w:br/>
              <w:t>E-2-130,</w:t>
            </w:r>
            <w:r w:rsidRPr="000D0887">
              <w:rPr>
                <w:rFonts w:ascii="Times New Roman" w:eastAsia="Times New Roman" w:hAnsi="Times New Roman" w:cs="Times New Roman"/>
                <w:b w:val="0"/>
                <w:bCs w:val="0"/>
                <w:kern w:val="24"/>
              </w:rPr>
              <w:br/>
              <w:t>E-3-130</w:t>
            </w:r>
            <w:r w:rsidRPr="000D0887">
              <w:rPr>
                <w:rFonts w:ascii="Times New Roman" w:eastAsia="Times New Roman" w:hAnsi="Times New Roman" w:cs="Times New Roman"/>
                <w:b w:val="0"/>
                <w:bCs w:val="0"/>
                <w:kern w:val="24"/>
              </w:rPr>
              <w:br/>
              <w:t>E-5-130</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3D90" w14:textId="63AA448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2A3F7" w14:textId="7E7EA209"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90EE1" w14:textId="3D8CBAF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5C808A" w14:textId="6EABAE3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42, 58, 106, 122, 138, 155,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69C994" w14:textId="77777777" w:rsidR="003C7209" w:rsidRPr="000D0887" w:rsidRDefault="003C7209" w:rsidP="003C7209">
            <w:pPr>
              <w:spacing w:line="200" w:lineRule="exact"/>
              <w:jc w:val="center"/>
              <w:rPr>
                <w:rFonts w:eastAsia="Times New Roman"/>
                <w:sz w:val="20"/>
                <w:lang w:val="en-US"/>
              </w:rPr>
            </w:pPr>
            <w:r w:rsidRPr="000D0887">
              <w:rPr>
                <w:rFonts w:eastAsia="Times New Roman"/>
                <w:color w:val="000000"/>
                <w:kern w:val="24"/>
                <w:sz w:val="20"/>
                <w:lang w:val="en-US"/>
              </w:rPr>
              <w:t>80+,</w:t>
            </w:r>
          </w:p>
          <w:p w14:paraId="4EBC0DD1" w14:textId="276721B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bl>
    <w:p w14:paraId="64F69E21" w14:textId="7CCAEDF8" w:rsidR="000D0887" w:rsidRPr="003C7209" w:rsidRDefault="000D0887" w:rsidP="002455FA">
      <w:pPr>
        <w:autoSpaceDE w:val="0"/>
        <w:autoSpaceDN w:val="0"/>
        <w:adjustRightInd w:val="0"/>
        <w:rPr>
          <w:sz w:val="20"/>
        </w:rPr>
      </w:pPr>
    </w:p>
    <w:bookmarkEnd w:id="1"/>
    <w:p w14:paraId="4930E4A1" w14:textId="77777777" w:rsidR="005F3EB1" w:rsidRDefault="005F3EB1" w:rsidP="005F3EB1">
      <w:pPr>
        <w:rPr>
          <w:b/>
          <w:sz w:val="28"/>
        </w:rPr>
      </w:pPr>
    </w:p>
    <w:p w14:paraId="73BFCB07" w14:textId="77777777" w:rsidR="005F3EB1" w:rsidRPr="00233425" w:rsidRDefault="005F3EB1" w:rsidP="005F3EB1">
      <w:pPr>
        <w:rPr>
          <w:b/>
          <w:szCs w:val="22"/>
        </w:rPr>
      </w:pPr>
      <w:r w:rsidRPr="00233425">
        <w:rPr>
          <w:b/>
          <w:szCs w:val="22"/>
        </w:rPr>
        <w:t>Reference:</w:t>
      </w:r>
    </w:p>
    <w:p w14:paraId="73535DC9" w14:textId="23EA8E10" w:rsidR="005F3EB1" w:rsidRDefault="005F3EB1" w:rsidP="0098290E">
      <w:pPr>
        <w:rPr>
          <w:szCs w:val="22"/>
        </w:rPr>
      </w:pPr>
      <w:r>
        <w:rPr>
          <w:szCs w:val="22"/>
        </w:rPr>
        <w:t xml:space="preserve">[1] </w:t>
      </w:r>
      <w:hyperlink r:id="rId9" w:history="1">
        <w:hyperlink r:id="rId10" w:history="1">
          <w:r w:rsidR="0098290E" w:rsidRPr="0098290E">
            <w:rPr>
              <w:rStyle w:val="Hyperlink"/>
            </w:rPr>
            <w:t>https://mentor.ieee.org/802.18/dcn/19/18-19-0163-00-0000-fcc19-138-nprm-revisiting-use-of-the-5-850-5-925-ghz-band.docx</w:t>
          </w:r>
        </w:hyperlink>
      </w:hyperlink>
    </w:p>
    <w:p w14:paraId="6041DA0F" w14:textId="77777777" w:rsidR="00E4473A" w:rsidRDefault="00E4473A" w:rsidP="00BE14CD">
      <w:pPr>
        <w:pStyle w:val="T"/>
        <w:rPr>
          <w:w w:val="100"/>
        </w:rPr>
      </w:pPr>
    </w:p>
    <w:sectPr w:rsidR="00E4473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4E10" w14:textId="77777777" w:rsidR="00A7259D" w:rsidRDefault="00A7259D">
      <w:r>
        <w:separator/>
      </w:r>
    </w:p>
  </w:endnote>
  <w:endnote w:type="continuationSeparator" w:id="0">
    <w:p w14:paraId="47B8B310" w14:textId="77777777" w:rsidR="00A7259D" w:rsidRDefault="00A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86E8" w14:textId="77777777" w:rsidR="00A7259D" w:rsidRDefault="00A7259D">
      <w:r>
        <w:separator/>
      </w:r>
    </w:p>
  </w:footnote>
  <w:footnote w:type="continuationSeparator" w:id="0">
    <w:p w14:paraId="3239D187" w14:textId="77777777" w:rsidR="00A7259D" w:rsidRDefault="00A7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89EB" w14:textId="235E09E8" w:rsidR="00DA7F8E" w:rsidRPr="008419E7" w:rsidRDefault="00DA7F8E" w:rsidP="00F704F2">
    <w:pPr>
      <w:pStyle w:val="Header"/>
      <w:tabs>
        <w:tab w:val="clear" w:pos="6480"/>
        <w:tab w:val="center" w:pos="4680"/>
        <w:tab w:val="right" w:pos="9360"/>
      </w:tabs>
      <w:rPr>
        <w:lang w:eastAsia="ko-KR"/>
      </w:rPr>
    </w:pPr>
    <w:r>
      <w:rPr>
        <w:lang w:eastAsia="ko-KR"/>
      </w:rPr>
      <w:t xml:space="preserve">Jan 2020                                                                   </w:t>
    </w:r>
    <w:r>
      <w:rPr>
        <w:lang w:eastAsia="ko-KR"/>
      </w:rPr>
      <w:tab/>
      <w:t xml:space="preserve">         doc.: IEEE 802.11-20/</w:t>
    </w:r>
    <w:r w:rsidR="009A22C8">
      <w:rPr>
        <w:lang w:eastAsia="ko-KR"/>
      </w:rPr>
      <w:t>0143</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num w:numId="1">
    <w:abstractNumId w:val="17"/>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6"/>
  </w:num>
  <w:num w:numId="25">
    <w:abstractNumId w:val="15"/>
  </w:num>
  <w:num w:numId="26">
    <w:abstractNumId w:val="1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5DC"/>
    <w:rsid w:val="00AC7FB6"/>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8/dcn/19/18-19-0163-00-0000-fcc19-138-nprm-revisiting-use-of-the-5-850-5-925-ghz-band.docx" TargetMode="External"/><Relationship Id="rId4" Type="http://schemas.openxmlformats.org/officeDocument/2006/relationships/settings" Target="settings.xml"/><Relationship Id="rId9" Type="http://schemas.openxmlformats.org/officeDocument/2006/relationships/hyperlink" Target="https://mentor.ieee.org/802.18/dcn/19/18-19-0163-00-0000-fcc19-138-nprm-revisiting-use-of-the-5-850-5-925-ghz-band.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TotalTime>
  <Pages>3</Pages>
  <Words>332</Words>
  <Characters>1895</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10</cp:revision>
  <cp:lastPrinted>2008-01-21T07:29:00Z</cp:lastPrinted>
  <dcterms:created xsi:type="dcterms:W3CDTF">2020-01-13T17:08:00Z</dcterms:created>
  <dcterms:modified xsi:type="dcterms:W3CDTF">2020-01-15T16:14:00Z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