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E3EC" w14:textId="77777777"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7BF0C293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78CD962C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58C8B" w14:textId="16C76A4B"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Section </w:t>
            </w:r>
            <w:r>
              <w:rPr>
                <w:lang w:eastAsia="ko-KR"/>
              </w:rPr>
              <w:t>33.</w:t>
            </w:r>
            <w:r w:rsidR="005A49E0">
              <w:rPr>
                <w:lang w:eastAsia="ko-KR"/>
              </w:rPr>
              <w:t>1</w:t>
            </w:r>
            <w:r>
              <w:rPr>
                <w:lang w:eastAsia="ko-KR"/>
              </w:rPr>
              <w:t xml:space="preserve"> (</w:t>
            </w:r>
            <w:r w:rsidR="005A49E0">
              <w:rPr>
                <w:lang w:eastAsia="ko-KR"/>
              </w:rPr>
              <w:t>Introduction</w:t>
            </w:r>
            <w:r w:rsidR="00907568">
              <w:rPr>
                <w:lang w:eastAsia="ko-KR"/>
              </w:rPr>
              <w:t>)</w:t>
            </w:r>
          </w:p>
        </w:tc>
        <w:bookmarkStart w:id="0" w:name="_GoBack"/>
        <w:bookmarkEnd w:id="0"/>
      </w:tr>
      <w:tr w:rsidR="00C723BC" w:rsidRPr="00183F4C" w14:paraId="61F7031F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7027C" w14:textId="77777777"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F1C1E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0FCFDC37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3F9F51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BE4087F" w14:textId="77777777" w:rsidTr="00491DB3">
        <w:trPr>
          <w:jc w:val="center"/>
        </w:trPr>
        <w:tc>
          <w:tcPr>
            <w:tcW w:w="1548" w:type="dxa"/>
            <w:vAlign w:val="center"/>
          </w:tcPr>
          <w:p w14:paraId="343FF223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438FF7C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9ADF88F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2256ED9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11A6010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14:paraId="07EB4606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626E34E" w14:textId="1B15CAE2" w:rsidR="00DC69E8" w:rsidRDefault="00B4098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14:paraId="3CEAED65" w14:textId="066821AD" w:rsidR="00DC69E8" w:rsidRDefault="00B4098E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BA20F2A" w14:textId="77777777"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2C7F12" w14:textId="77777777"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3B3F3" w14:textId="29312055" w:rsidR="00DC69E8" w:rsidRDefault="00B4098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qinghua.li@intel.com</w:t>
            </w:r>
          </w:p>
        </w:tc>
      </w:tr>
      <w:tr w:rsidR="00D7027C" w:rsidRPr="00183F4C" w14:paraId="5BE8B3AC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67EA185D" w14:textId="50DBE594" w:rsidR="00D7027C" w:rsidRDefault="00B4098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Feng Jiang</w:t>
            </w:r>
          </w:p>
        </w:tc>
        <w:tc>
          <w:tcPr>
            <w:tcW w:w="1440" w:type="dxa"/>
            <w:vAlign w:val="center"/>
          </w:tcPr>
          <w:p w14:paraId="1AB58CDE" w14:textId="65F2B123" w:rsidR="00D7027C" w:rsidRDefault="00B4098E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41E9D566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2AC7F19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E94C223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F6DB3" w:rsidRPr="00183F4C" w14:paraId="51D0A951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6808B558" w14:textId="466FE7A8" w:rsidR="006F6DB3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121D752" w14:textId="0DDEA822" w:rsidR="006F6DB3" w:rsidRDefault="006F6DB3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7A4E4345" w14:textId="77777777" w:rsidR="006F6DB3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77B025" w14:textId="77777777" w:rsidR="006F6DB3" w:rsidRPr="00183F4C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AD3B82" w14:textId="77777777" w:rsidR="006F6DB3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F6DB3" w:rsidRPr="00183F4C" w14:paraId="5CBD42BA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7AC08974" w14:textId="60806A1D" w:rsidR="006F6DB3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47661D3A" w14:textId="011576DD" w:rsidR="006F6DB3" w:rsidRDefault="006F6DB3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337C1E1A" w14:textId="77777777" w:rsidR="006F6DB3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B91BB" w14:textId="77777777" w:rsidR="006F6DB3" w:rsidRPr="00183F4C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A3274F2" w14:textId="77777777" w:rsidR="006F6DB3" w:rsidRDefault="006F6DB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14:paraId="329CBF4A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0941AA2D" w14:textId="02B9619F" w:rsidR="00D7027C" w:rsidRDefault="00B4098E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B4098E">
              <w:rPr>
                <w:b w:val="0"/>
                <w:sz w:val="18"/>
                <w:szCs w:val="18"/>
                <w:lang w:eastAsia="ko-KR"/>
              </w:rPr>
              <w:t xml:space="preserve">Bahareh Sadeghi </w:t>
            </w:r>
          </w:p>
        </w:tc>
        <w:tc>
          <w:tcPr>
            <w:tcW w:w="1440" w:type="dxa"/>
            <w:vAlign w:val="center"/>
          </w:tcPr>
          <w:p w14:paraId="372A27E9" w14:textId="5CE6EBC5" w:rsidR="00D7027C" w:rsidRDefault="00B4098E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749EBE3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EB3FEE" w14:textId="77777777"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00467B" w14:textId="77777777"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2635538" w14:textId="77777777" w:rsidR="005E768D" w:rsidRPr="004D2D75" w:rsidRDefault="005E768D" w:rsidP="005E768D"/>
    <w:p w14:paraId="77C92F4A" w14:textId="77777777"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4580C8" wp14:editId="146A696D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BC4E1" w14:textId="77777777" w:rsidR="006F6DB3" w:rsidRDefault="006F6DB3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0CE86B" w14:textId="491AC3B9" w:rsidR="006F6DB3" w:rsidRDefault="006F6DB3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for Sec. 33.1 (Introduction) to be incorporated in P802.11bd D0.1. The text reflects the related passed motions recorded in 11-19/0514r10.</w:t>
                            </w:r>
                          </w:p>
                          <w:p w14:paraId="563D344D" w14:textId="77777777" w:rsidR="006F6DB3" w:rsidRDefault="006F6DB3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50C493D" w14:textId="77777777" w:rsidR="006F6DB3" w:rsidRDefault="006F6DB3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36265C7" w14:textId="77777777" w:rsidR="006F6DB3" w:rsidRDefault="006F6DB3" w:rsidP="00C11809">
                            <w:pPr>
                              <w:jc w:val="both"/>
                            </w:pPr>
                          </w:p>
                          <w:p w14:paraId="30E75B1C" w14:textId="77777777" w:rsidR="006F6DB3" w:rsidRDefault="006F6DB3" w:rsidP="00B930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69F1684" w14:textId="75E6411E" w:rsidR="006F6DB3" w:rsidRDefault="006F6DB3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  <w:p w14:paraId="67985914" w14:textId="6901FF75" w:rsidR="00A32793" w:rsidRDefault="00A32793" w:rsidP="00A32793">
                            <w:pPr>
                              <w:pStyle w:val="T1"/>
                              <w:spacing w:after="120"/>
                              <w:jc w:val="both"/>
                              <w:rPr>
                                <w:rFonts w:eastAsia="SimSun"/>
                                <w:b w:val="0"/>
                                <w:bCs/>
                                <w:i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SimSun"/>
                                <w:b w:val="0"/>
                                <w:bCs/>
                                <w:i/>
                                <w:sz w:val="22"/>
                                <w:highlight w:val="yellow"/>
                                <w:lang w:val="en-US" w:eastAsia="zh-CN"/>
                              </w:rPr>
                              <w:t>---------------------Below is the proposed clause 33.</w:t>
                            </w:r>
                            <w:r>
                              <w:rPr>
                                <w:rFonts w:eastAsia="SimSun"/>
                                <w:b w:val="0"/>
                                <w:bCs/>
                                <w:i/>
                                <w:sz w:val="22"/>
                                <w:highlight w:val="yellow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eastAsia="SimSun"/>
                                <w:b w:val="0"/>
                                <w:bCs/>
                                <w:i/>
                                <w:sz w:val="22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b w:val="0"/>
                                <w:bCs/>
                                <w:i/>
                                <w:sz w:val="22"/>
                                <w:highlight w:val="yellow"/>
                                <w:lang w:val="en-US" w:eastAsia="zh-CN"/>
                              </w:rPr>
                              <w:t>Introduction</w:t>
                            </w:r>
                            <w:r>
                              <w:rPr>
                                <w:rFonts w:eastAsia="SimSun"/>
                                <w:b w:val="0"/>
                                <w:bCs/>
                                <w:i/>
                                <w:sz w:val="22"/>
                                <w:highlight w:val="yellow"/>
                                <w:lang w:val="en-US" w:eastAsia="zh-CN"/>
                              </w:rPr>
                              <w:t>-----------------</w:t>
                            </w:r>
                          </w:p>
                          <w:p w14:paraId="1D5D228C" w14:textId="77777777" w:rsidR="00A32793" w:rsidRPr="00A32793" w:rsidRDefault="00A32793" w:rsidP="00C11809">
                            <w:pPr>
                              <w:jc w:val="both"/>
                              <w:rPr>
                                <w:b/>
                                <w:bCs/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58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14:paraId="7B8BC4E1" w14:textId="77777777" w:rsidR="006F6DB3" w:rsidRDefault="006F6DB3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0CE86B" w14:textId="491AC3B9" w:rsidR="006F6DB3" w:rsidRDefault="006F6DB3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for Sec. 33.1 (Introduction) to be incorporated in P802.11bd D0.1. The text reflects the related passed motions recorded in 11-19/0514r10.</w:t>
                      </w:r>
                    </w:p>
                    <w:p w14:paraId="563D344D" w14:textId="77777777" w:rsidR="006F6DB3" w:rsidRDefault="006F6DB3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50C493D" w14:textId="77777777" w:rsidR="006F6DB3" w:rsidRDefault="006F6DB3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436265C7" w14:textId="77777777" w:rsidR="006F6DB3" w:rsidRDefault="006F6DB3" w:rsidP="00C11809">
                      <w:pPr>
                        <w:jc w:val="both"/>
                      </w:pPr>
                    </w:p>
                    <w:p w14:paraId="30E75B1C" w14:textId="77777777" w:rsidR="006F6DB3" w:rsidRDefault="006F6DB3" w:rsidP="00B930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369F1684" w14:textId="75E6411E" w:rsidR="006F6DB3" w:rsidRDefault="006F6DB3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  <w:p w14:paraId="67985914" w14:textId="6901FF75" w:rsidR="00A32793" w:rsidRDefault="00A32793" w:rsidP="00A32793">
                      <w:pPr>
                        <w:pStyle w:val="T1"/>
                        <w:spacing w:after="120"/>
                        <w:jc w:val="both"/>
                        <w:rPr>
                          <w:rFonts w:eastAsia="SimSun"/>
                          <w:b w:val="0"/>
                          <w:bCs/>
                          <w:i/>
                          <w:sz w:val="22"/>
                          <w:lang w:val="en-US" w:eastAsia="zh-CN"/>
                        </w:rPr>
                      </w:pPr>
                      <w:r>
                        <w:rPr>
                          <w:rFonts w:eastAsia="SimSun"/>
                          <w:b w:val="0"/>
                          <w:bCs/>
                          <w:i/>
                          <w:sz w:val="22"/>
                          <w:highlight w:val="yellow"/>
                          <w:lang w:val="en-US" w:eastAsia="zh-CN"/>
                        </w:rPr>
                        <w:t>---------------------Below is the proposed clause 33.</w:t>
                      </w:r>
                      <w:r>
                        <w:rPr>
                          <w:rFonts w:eastAsia="SimSun"/>
                          <w:b w:val="0"/>
                          <w:bCs/>
                          <w:i/>
                          <w:sz w:val="22"/>
                          <w:highlight w:val="yellow"/>
                          <w:lang w:val="en-US" w:eastAsia="zh-CN"/>
                        </w:rPr>
                        <w:t>1</w:t>
                      </w:r>
                      <w:r>
                        <w:rPr>
                          <w:rFonts w:eastAsia="SimSun"/>
                          <w:b w:val="0"/>
                          <w:bCs/>
                          <w:i/>
                          <w:sz w:val="22"/>
                          <w:highlight w:val="yellow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b w:val="0"/>
                          <w:bCs/>
                          <w:i/>
                          <w:sz w:val="22"/>
                          <w:highlight w:val="yellow"/>
                          <w:lang w:val="en-US" w:eastAsia="zh-CN"/>
                        </w:rPr>
                        <w:t>Introduction</w:t>
                      </w:r>
                      <w:r>
                        <w:rPr>
                          <w:rFonts w:eastAsia="SimSun"/>
                          <w:b w:val="0"/>
                          <w:bCs/>
                          <w:i/>
                          <w:sz w:val="22"/>
                          <w:highlight w:val="yellow"/>
                          <w:lang w:val="en-US" w:eastAsia="zh-CN"/>
                        </w:rPr>
                        <w:t>-----------------</w:t>
                      </w:r>
                    </w:p>
                    <w:p w14:paraId="1D5D228C" w14:textId="77777777" w:rsidR="00A32793" w:rsidRPr="00A32793" w:rsidRDefault="00A32793" w:rsidP="00C11809">
                      <w:pPr>
                        <w:jc w:val="both"/>
                        <w:rPr>
                          <w:b/>
                          <w:bCs/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23F0" w14:textId="77777777" w:rsidR="0041099B" w:rsidRDefault="005E768D" w:rsidP="00C11809">
      <w:pPr>
        <w:rPr>
          <w:b/>
        </w:rPr>
      </w:pPr>
      <w:r w:rsidRPr="004D2D75">
        <w:br w:type="page"/>
      </w:r>
      <w:bookmarkStart w:id="1" w:name="RTF5f546f633332393836383735"/>
    </w:p>
    <w:p w14:paraId="2AF7AA58" w14:textId="77777777" w:rsidR="0041099B" w:rsidRDefault="0041099B" w:rsidP="00787289">
      <w:pPr>
        <w:pStyle w:val="H1"/>
        <w:rPr>
          <w:w w:val="100"/>
        </w:rPr>
      </w:pPr>
      <w:r>
        <w:rPr>
          <w:w w:val="100"/>
        </w:rPr>
        <w:lastRenderedPageBreak/>
        <w:t>33. Next Generation V2X (NGV) PHY speci</w:t>
      </w:r>
      <w:bookmarkEnd w:id="1"/>
      <w:r>
        <w:rPr>
          <w:w w:val="100"/>
        </w:rPr>
        <w:t>fication</w:t>
      </w:r>
    </w:p>
    <w:p w14:paraId="7A4ECB0E" w14:textId="77777777" w:rsidR="00C56A53" w:rsidRDefault="00C56A53" w:rsidP="00C56A53">
      <w:pPr>
        <w:pStyle w:val="T"/>
        <w:rPr>
          <w:w w:val="100"/>
        </w:rPr>
      </w:pPr>
      <w:bookmarkStart w:id="2" w:name="RTF33313231353a2048332c312e"/>
    </w:p>
    <w:p w14:paraId="55DB427E" w14:textId="4E119621" w:rsidR="00C56A53" w:rsidRDefault="00C56A53" w:rsidP="00C56A53">
      <w:pPr>
        <w:pStyle w:val="H4"/>
        <w:rPr>
          <w:w w:val="100"/>
        </w:rPr>
      </w:pPr>
      <w:bookmarkStart w:id="3" w:name="RTF35303239313a2048342c312e"/>
      <w:r>
        <w:rPr>
          <w:w w:val="100"/>
        </w:rPr>
        <w:t xml:space="preserve">33.1 </w:t>
      </w:r>
      <w:bookmarkEnd w:id="3"/>
      <w:r w:rsidR="006F6DB3">
        <w:rPr>
          <w:w w:val="100"/>
        </w:rPr>
        <w:t>Introduction</w:t>
      </w:r>
    </w:p>
    <w:p w14:paraId="13B960D5" w14:textId="55995DAE" w:rsidR="006F6DB3" w:rsidRPr="003A2D76" w:rsidRDefault="006F6DB3" w:rsidP="003A2D76">
      <w:pPr>
        <w:pStyle w:val="H4"/>
        <w:rPr>
          <w:w w:val="100"/>
        </w:rPr>
      </w:pPr>
      <w:r>
        <w:rPr>
          <w:w w:val="100"/>
        </w:rPr>
        <w:t>33.1.1 Introduction to the NGV PH</w:t>
      </w:r>
      <w:r w:rsidR="003A2D76">
        <w:rPr>
          <w:w w:val="100"/>
        </w:rPr>
        <w:t>Y</w:t>
      </w:r>
    </w:p>
    <w:p w14:paraId="2E748815" w14:textId="1CF59DB2" w:rsidR="00793DA9" w:rsidRPr="00A15CF0" w:rsidRDefault="003A2D76" w:rsidP="00C56A53">
      <w:pPr>
        <w:pStyle w:val="T"/>
        <w:rPr>
          <w:rStyle w:val="fontstyle01"/>
        </w:rPr>
      </w:pPr>
      <w:r>
        <w:rPr>
          <w:rStyle w:val="fontstyle01"/>
        </w:rPr>
        <w:t>Clause 33 (Next Generation Vehicle-to-Everything (NGV) PHY specification) specifies the PHY entity for a</w:t>
      </w:r>
      <w:r w:rsidR="00A15CF0">
        <w:rPr>
          <w:rStyle w:val="fontstyle01"/>
        </w:rPr>
        <w:t>n</w:t>
      </w:r>
      <w:r>
        <w:rPr>
          <w:rStyle w:val="fontstyle01"/>
        </w:rPr>
        <w:t xml:space="preserve"> </w:t>
      </w:r>
      <w:r w:rsidR="00793DA9">
        <w:rPr>
          <w:rStyle w:val="fontstyle01"/>
        </w:rPr>
        <w:t>NGV</w:t>
      </w:r>
      <w:r>
        <w:rPr>
          <w:rFonts w:ascii="TimesNewRomanPSMT" w:hAnsi="TimesNewRomanPSMT"/>
        </w:rPr>
        <w:br/>
      </w:r>
      <w:r>
        <w:rPr>
          <w:rStyle w:val="fontstyle01"/>
        </w:rPr>
        <w:t xml:space="preserve">orthogonal frequency division multiplexing (OFDM) system. In addition to the requirements in Clause </w:t>
      </w:r>
      <w:r w:rsidR="00793DA9">
        <w:rPr>
          <w:rStyle w:val="fontstyle01"/>
        </w:rPr>
        <w:t>33</w:t>
      </w:r>
      <w:r>
        <w:rPr>
          <w:rFonts w:ascii="TimesNewRomanPSMT" w:hAnsi="TimesNewRomanPSMT"/>
        </w:rPr>
        <w:br/>
      </w:r>
      <w:r>
        <w:rPr>
          <w:rStyle w:val="fontstyle01"/>
        </w:rPr>
        <w:t>(</w:t>
      </w:r>
      <w:r w:rsidR="00793DA9" w:rsidRPr="00A15CF0">
        <w:rPr>
          <w:rStyle w:val="fontstyle01"/>
        </w:rPr>
        <w:t>Next Generation V2X</w:t>
      </w:r>
      <w:r w:rsidRPr="00A15CF0">
        <w:rPr>
          <w:rStyle w:val="fontstyle01"/>
        </w:rPr>
        <w:t xml:space="preserve"> (</w:t>
      </w:r>
      <w:r w:rsidR="00793DA9" w:rsidRPr="00A15CF0">
        <w:rPr>
          <w:rStyle w:val="fontstyle01"/>
        </w:rPr>
        <w:t>NGV</w:t>
      </w:r>
      <w:r w:rsidRPr="00A15CF0">
        <w:rPr>
          <w:rStyle w:val="fontstyle01"/>
        </w:rPr>
        <w:t xml:space="preserve">) PHY specification), an </w:t>
      </w:r>
      <w:r w:rsidR="00793DA9" w:rsidRPr="00A15CF0">
        <w:rPr>
          <w:rStyle w:val="fontstyle01"/>
        </w:rPr>
        <w:t>NGV</w:t>
      </w:r>
      <w:r w:rsidRPr="00A15CF0">
        <w:rPr>
          <w:rStyle w:val="fontstyle01"/>
        </w:rPr>
        <w:t xml:space="preserve"> STA shall be capable of transmitting and receiving</w:t>
      </w:r>
      <w:r w:rsidRPr="00A15CF0">
        <w:rPr>
          <w:rFonts w:ascii="TimesNewRomanPSMT" w:hAnsi="TimesNewRomanPSMT"/>
        </w:rPr>
        <w:br/>
      </w:r>
      <w:r w:rsidRPr="00A15CF0">
        <w:rPr>
          <w:rStyle w:val="fontstyle01"/>
        </w:rPr>
        <w:t>PPDUs that are compliant with the mandatory requirements of the following PHY specification:</w:t>
      </w:r>
    </w:p>
    <w:p w14:paraId="4850880B" w14:textId="7EC3A98A" w:rsidR="00793DA9" w:rsidRPr="00A15CF0" w:rsidRDefault="003A2D76" w:rsidP="00883092">
      <w:pPr>
        <w:pStyle w:val="T"/>
        <w:numPr>
          <w:ilvl w:val="0"/>
          <w:numId w:val="23"/>
        </w:numPr>
        <w:jc w:val="left"/>
        <w:rPr>
          <w:rStyle w:val="fontstyle01"/>
        </w:rPr>
      </w:pPr>
      <w:r w:rsidRPr="00A15CF0">
        <w:rPr>
          <w:rStyle w:val="fontstyle01"/>
        </w:rPr>
        <w:t xml:space="preserve">Clause </w:t>
      </w:r>
      <w:r w:rsidR="00A15CF0" w:rsidRPr="00A15CF0">
        <w:rPr>
          <w:rStyle w:val="fontstyle01"/>
        </w:rPr>
        <w:t>17</w:t>
      </w:r>
      <w:r w:rsidRPr="00A15CF0">
        <w:rPr>
          <w:rStyle w:val="fontstyle01"/>
        </w:rPr>
        <w:t xml:space="preserve"> </w:t>
      </w:r>
      <w:r w:rsidR="00A0385E" w:rsidRPr="00A15CF0">
        <w:rPr>
          <w:rStyle w:val="fontstyle01"/>
        </w:rPr>
        <w:t>(</w:t>
      </w:r>
      <w:r w:rsidR="00A15CF0" w:rsidRPr="00A15CF0">
        <w:rPr>
          <w:rStyle w:val="fontstyle01"/>
        </w:rPr>
        <w:t>Orthogonal frequency division multiplexing (OFDM) PHY specification</w:t>
      </w:r>
      <w:r w:rsidR="00A0385E" w:rsidRPr="00A15CF0">
        <w:rPr>
          <w:rStyle w:val="fontstyle01"/>
        </w:rPr>
        <w:t>)</w:t>
      </w:r>
    </w:p>
    <w:p w14:paraId="63B9053D" w14:textId="67567706" w:rsidR="005775C6" w:rsidRDefault="003A2D76" w:rsidP="005775C6">
      <w:pPr>
        <w:pStyle w:val="T"/>
        <w:rPr>
          <w:rStyle w:val="fontstyle01"/>
        </w:rPr>
      </w:pPr>
      <w:r w:rsidRPr="00A15CF0">
        <w:rPr>
          <w:rStyle w:val="fontstyle01"/>
        </w:rPr>
        <w:t xml:space="preserve">The </w:t>
      </w:r>
      <w:r w:rsidR="00883092" w:rsidRPr="00A15CF0">
        <w:rPr>
          <w:rStyle w:val="fontstyle01"/>
        </w:rPr>
        <w:t>NGV</w:t>
      </w:r>
      <w:r w:rsidRPr="00A15CF0">
        <w:rPr>
          <w:rStyle w:val="fontstyle01"/>
        </w:rPr>
        <w:t xml:space="preserve"> PHY is </w:t>
      </w:r>
      <w:r w:rsidR="00F55C6A" w:rsidRPr="00A15CF0">
        <w:rPr>
          <w:rStyle w:val="fontstyle01"/>
        </w:rPr>
        <w:t xml:space="preserve">mainly </w:t>
      </w:r>
      <w:r w:rsidRPr="00A15CF0">
        <w:rPr>
          <w:rStyle w:val="fontstyle01"/>
        </w:rPr>
        <w:t>based on the VHT PHY defined in</w:t>
      </w:r>
      <w:r w:rsidR="00883092" w:rsidRPr="00A15CF0">
        <w:rPr>
          <w:rFonts w:ascii="TimesNewRomanPSMT" w:hAnsi="TimesNewRomanPSMT"/>
        </w:rPr>
        <w:t xml:space="preserve"> </w:t>
      </w:r>
      <w:r w:rsidRPr="00A15CF0">
        <w:rPr>
          <w:rStyle w:val="fontstyle01"/>
        </w:rPr>
        <w:t>Clause 21 (Very High Throughput (VHT) PHY specification), which in turn is based on the HT PHY</w:t>
      </w:r>
      <w:r w:rsidR="00883092" w:rsidRPr="00A15CF0">
        <w:rPr>
          <w:rFonts w:ascii="TimesNewRomanPSMT" w:hAnsi="TimesNewRomanPSMT"/>
        </w:rPr>
        <w:t xml:space="preserve"> </w:t>
      </w:r>
      <w:r w:rsidRPr="00A15CF0">
        <w:rPr>
          <w:rStyle w:val="fontstyle01"/>
        </w:rPr>
        <w:t>defined</w:t>
      </w:r>
      <w:r>
        <w:rPr>
          <w:rStyle w:val="fontstyle01"/>
        </w:rPr>
        <w:t xml:space="preserve"> in Clause 19 (High Throughput (HT) PHY specification), which in turn is further based on the</w:t>
      </w:r>
      <w:r w:rsidR="00883092">
        <w:rPr>
          <w:rFonts w:ascii="TimesNewRomanPSMT" w:hAnsi="TimesNewRomanPSMT"/>
        </w:rPr>
        <w:t xml:space="preserve"> </w:t>
      </w:r>
      <w:r>
        <w:rPr>
          <w:rStyle w:val="fontstyle01"/>
        </w:rPr>
        <w:t>OFDM PHY defined in Clause 17 (Orthogonal frequency division multiplexing</w:t>
      </w:r>
      <w:r w:rsidR="005775C6">
        <w:rPr>
          <w:rStyle w:val="fontstyle01"/>
        </w:rPr>
        <w:t xml:space="preserve"> </w:t>
      </w:r>
      <w:r>
        <w:rPr>
          <w:rStyle w:val="fontstyle01"/>
        </w:rPr>
        <w:t>(OFDM)</w:t>
      </w:r>
      <w:r w:rsidR="005775C6">
        <w:rPr>
          <w:rStyle w:val="fontstyle01"/>
        </w:rPr>
        <w:t xml:space="preserve"> </w:t>
      </w:r>
      <w:r>
        <w:rPr>
          <w:rStyle w:val="fontstyle01"/>
        </w:rPr>
        <w:t>PHY</w:t>
      </w:r>
      <w:r w:rsidR="005775C6">
        <w:rPr>
          <w:rStyle w:val="fontstyle01"/>
        </w:rPr>
        <w:t xml:space="preserve"> </w:t>
      </w:r>
      <w:r>
        <w:rPr>
          <w:rStyle w:val="fontstyle01"/>
        </w:rPr>
        <w:t xml:space="preserve">specification). </w:t>
      </w:r>
      <w:r w:rsidR="005775C6">
        <w:rPr>
          <w:rStyle w:val="fontstyle01"/>
        </w:rPr>
        <w:t>The NGV PHY preamble structure, dual-carrier modulation (DCM), and mid-amble structure</w:t>
      </w:r>
      <w:r w:rsidR="005775C6">
        <w:rPr>
          <w:rFonts w:ascii="TimesNewRomanPSMT" w:hAnsi="TimesNewRomanPSMT"/>
        </w:rPr>
        <w:t xml:space="preserve"> </w:t>
      </w:r>
      <w:r w:rsidR="005775C6">
        <w:rPr>
          <w:rStyle w:val="fontstyle01"/>
        </w:rPr>
        <w:t xml:space="preserve">are based on the HE PHY defined in Clause 28 (High Efficiency (HE) PHY specification). </w:t>
      </w:r>
    </w:p>
    <w:p w14:paraId="7D77FE72" w14:textId="3F69B107" w:rsidR="00DB622A" w:rsidRDefault="003A2D76" w:rsidP="005775C6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Style w:val="fontstyle01"/>
        </w:rPr>
        <w:t xml:space="preserve">The </w:t>
      </w:r>
      <w:r w:rsidR="00BC0226">
        <w:rPr>
          <w:rStyle w:val="fontstyle01"/>
        </w:rPr>
        <w:t>NGV</w:t>
      </w:r>
      <w:r>
        <w:rPr>
          <w:rStyle w:val="fontstyle01"/>
        </w:rPr>
        <w:t xml:space="preserve"> PHY provides support for </w:t>
      </w:r>
      <w:r w:rsidR="005775C6">
        <w:rPr>
          <w:rStyle w:val="fontstyle01"/>
        </w:rPr>
        <w:t xml:space="preserve">both </w:t>
      </w:r>
      <w:r w:rsidR="00BC0226">
        <w:rPr>
          <w:rStyle w:val="fontstyle01"/>
        </w:rPr>
        <w:t>1</w:t>
      </w:r>
      <w:r>
        <w:rPr>
          <w:rStyle w:val="fontstyle01"/>
        </w:rPr>
        <w:t>0 MHz</w:t>
      </w:r>
      <w:r w:rsidR="00BC0226">
        <w:rPr>
          <w:rStyle w:val="fontstyle01"/>
        </w:rPr>
        <w:t xml:space="preserve"> and</w:t>
      </w:r>
      <w:r>
        <w:rPr>
          <w:rStyle w:val="fontstyle01"/>
        </w:rPr>
        <w:t xml:space="preserve"> </w:t>
      </w:r>
      <w:r w:rsidR="00BC0226">
        <w:rPr>
          <w:rStyle w:val="fontstyle01"/>
        </w:rPr>
        <w:t>2</w:t>
      </w:r>
      <w:r>
        <w:rPr>
          <w:rStyle w:val="fontstyle01"/>
        </w:rPr>
        <w:t>0 MHz contiguous channel widths</w:t>
      </w:r>
      <w:r w:rsidR="00F55C6A">
        <w:rPr>
          <w:rStyle w:val="fontstyle01"/>
        </w:rPr>
        <w:t>.</w:t>
      </w:r>
      <w:r>
        <w:t xml:space="preserve"> </w:t>
      </w:r>
      <w:bookmarkEnd w:id="2"/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t xml:space="preserve">The </w:t>
      </w:r>
      <w:r w:rsidR="005775C6">
        <w:rPr>
          <w:rFonts w:ascii="TimesNewRomanPSMT" w:eastAsia="Malgun Gothic" w:hAnsi="TimesNewRomanPSMT"/>
          <w:w w:val="100"/>
          <w:lang w:val="en-GB" w:eastAsia="en-US"/>
        </w:rPr>
        <w:t>NGV</w:t>
      </w:r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t xml:space="preserve"> PHY data subcarrier frequency spacing is</w:t>
      </w:r>
      <w:r w:rsidR="005775C6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t xml:space="preserve">a </w:t>
      </w:r>
      <w:r w:rsidR="005775C6">
        <w:rPr>
          <w:rFonts w:ascii="TimesNewRomanPSMT" w:eastAsia="Malgun Gothic" w:hAnsi="TimesNewRomanPSMT"/>
          <w:w w:val="100"/>
          <w:lang w:val="en-GB" w:eastAsia="en-US"/>
        </w:rPr>
        <w:t>half</w:t>
      </w:r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t xml:space="preserve"> of VHT PHY and HT PHY subcarrier frequency spacing defined in Clause 21 (Very High</w:t>
      </w:r>
      <w:r w:rsidR="005775C6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t>Throughput (VHT) PHY specification) and Clause 19 (High Throughput (HT) PHY specificati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>on</w:t>
      </w:r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t>,</w:t>
      </w:r>
      <w:r w:rsidR="00F55C6A" w:rsidRPr="00F55C6A">
        <w:rPr>
          <w:rFonts w:ascii="TimesNewRomanPSMT" w:eastAsia="Malgun Gothic" w:hAnsi="TimesNewRomanPSMT"/>
          <w:w w:val="100"/>
          <w:lang w:val="en-GB" w:eastAsia="en-US"/>
        </w:rPr>
        <w:br/>
        <w:t>respectively.</w:t>
      </w:r>
    </w:p>
    <w:p w14:paraId="3C24650D" w14:textId="0F559EB8" w:rsidR="00584CB1" w:rsidRDefault="00F55C6A" w:rsidP="005775C6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 w:rsidRPr="00F55C6A">
        <w:rPr>
          <w:rFonts w:ascii="TimesNewRomanPSMT" w:eastAsia="Malgun Gothic" w:hAnsi="TimesNewRomanPSMT"/>
          <w:w w:val="100"/>
          <w:lang w:val="en-GB" w:eastAsia="en-US"/>
        </w:rPr>
        <w:t xml:space="preserve">The 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F55C6A">
        <w:rPr>
          <w:rFonts w:ascii="TimesNewRomanPSMT" w:eastAsia="Malgun Gothic" w:hAnsi="TimesNewRomanPSMT"/>
          <w:w w:val="100"/>
          <w:lang w:val="en-GB" w:eastAsia="en-US"/>
        </w:rPr>
        <w:t xml:space="preserve"> PHY data subcarriers are modulated using binary phase shift keying (BPSK), BPSK dual-carrier</w:t>
      </w:r>
      <w:r w:rsidRPr="00F55C6A">
        <w:rPr>
          <w:rFonts w:ascii="TimesNewRomanPSMT" w:eastAsia="Malgun Gothic" w:hAnsi="TimesNewRomanPSMT"/>
          <w:w w:val="100"/>
          <w:lang w:val="en-GB" w:eastAsia="en-US"/>
        </w:rPr>
        <w:br/>
        <w:t xml:space="preserve">modulation (DCM), quadrature phase shift keying (QPSK), 16-quadrature amplitude modulation (16-QAM), 16-QAM DCM, 64-QAM, 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 xml:space="preserve">and </w:t>
      </w:r>
      <w:r w:rsidRPr="00F55C6A">
        <w:rPr>
          <w:rFonts w:ascii="TimesNewRomanPSMT" w:eastAsia="Malgun Gothic" w:hAnsi="TimesNewRomanPSMT"/>
          <w:w w:val="100"/>
          <w:lang w:val="en-GB" w:eastAsia="en-US"/>
        </w:rPr>
        <w:t>256-QAM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>.</w:t>
      </w:r>
      <w:r w:rsidRPr="00F55C6A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 xml:space="preserve">The NGV PHY preamble is encoded by convolution code and the NGV </w:t>
      </w:r>
      <w:r w:rsidR="00EB7357">
        <w:rPr>
          <w:rFonts w:ascii="TimesNewRomanPSMT" w:eastAsia="Malgun Gothic" w:hAnsi="TimesNewRomanPSMT"/>
          <w:w w:val="100"/>
          <w:lang w:val="en-GB" w:eastAsia="en-US"/>
        </w:rPr>
        <w:t xml:space="preserve">PHY 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 xml:space="preserve">data payload are encoded by </w:t>
      </w:r>
      <w:r w:rsidR="00DB622A" w:rsidRPr="00DB622A">
        <w:rPr>
          <w:rFonts w:ascii="TimesNewRomanPSMT" w:eastAsia="Malgun Gothic" w:hAnsi="TimesNewRomanPSMT"/>
          <w:w w:val="100"/>
          <w:lang w:val="en-GB" w:eastAsia="en-US"/>
        </w:rPr>
        <w:t>LDPC.</w:t>
      </w:r>
      <w:r w:rsidR="00DB622A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</w:p>
    <w:p w14:paraId="0C35D9B7" w14:textId="14528509" w:rsidR="00DB622A" w:rsidRDefault="00DB622A" w:rsidP="005775C6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 w:rsidRPr="00DB622A">
        <w:rPr>
          <w:rFonts w:ascii="TimesNewRomanPSMT" w:eastAsia="Malgun Gothic" w:hAnsi="TimesNewRomanPSMT"/>
          <w:w w:val="100"/>
          <w:lang w:val="en-GB" w:eastAsia="en-US"/>
        </w:rPr>
        <w:t xml:space="preserve">The 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DB622A">
        <w:rPr>
          <w:rFonts w:ascii="TimesNewRomanPSMT" w:eastAsia="Malgun Gothic" w:hAnsi="TimesNewRomanPSMT"/>
          <w:w w:val="100"/>
          <w:lang w:val="en-GB" w:eastAsia="en-US"/>
        </w:rPr>
        <w:t xml:space="preserve"> PHY supports the regulatory requirements in </w:t>
      </w:r>
      <w:proofErr w:type="spellStart"/>
      <w:r w:rsidRPr="00A32793">
        <w:rPr>
          <w:rFonts w:ascii="TimesNewRomanPSMT" w:eastAsia="Malgun Gothic" w:hAnsi="TimesNewRomanPSMT"/>
          <w:w w:val="100"/>
          <w:highlight w:val="yellow"/>
          <w:lang w:val="en-GB" w:eastAsia="en-US"/>
        </w:rPr>
        <w:t>xx.</w:t>
      </w:r>
      <w:proofErr w:type="gramStart"/>
      <w:r w:rsidRPr="00A32793">
        <w:rPr>
          <w:rFonts w:ascii="TimesNewRomanPSMT" w:eastAsia="Malgun Gothic" w:hAnsi="TimesNewRomanPSMT"/>
          <w:w w:val="100"/>
          <w:highlight w:val="yellow"/>
          <w:lang w:val="en-GB" w:eastAsia="en-US"/>
        </w:rPr>
        <w:t>yy.zz</w:t>
      </w:r>
      <w:proofErr w:type="spellEnd"/>
      <w:proofErr w:type="gramEnd"/>
      <w:r w:rsidRPr="00DB622A">
        <w:rPr>
          <w:rFonts w:ascii="TimesNewRomanPSMT" w:eastAsia="Malgun Gothic" w:hAnsi="TimesNewRomanPSMT"/>
          <w:w w:val="100"/>
          <w:lang w:val="en-GB" w:eastAsia="en-US"/>
        </w:rPr>
        <w:t xml:space="preserve"> (Regulatory requirements).</w:t>
      </w:r>
      <w:r w:rsidR="002017FA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</w:p>
    <w:p w14:paraId="0FB46DB7" w14:textId="75DF8FE5" w:rsidR="00EB7357" w:rsidRDefault="002017FA" w:rsidP="005775C6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 w:rsidRPr="002017FA">
        <w:rPr>
          <w:rFonts w:ascii="TimesNewRomanPSMT" w:eastAsia="Malgun Gothic" w:hAnsi="TimesNewRomanPSMT"/>
          <w:w w:val="100"/>
          <w:lang w:val="en-GB" w:eastAsia="en-US"/>
        </w:rPr>
        <w:t>An</w:t>
      </w:r>
      <w:r w:rsidR="00EB7357">
        <w:rPr>
          <w:rFonts w:ascii="TimesNewRomanPSMT" w:eastAsia="Malgun Gothic" w:hAnsi="TimesNewRomanPSMT"/>
          <w:w w:val="100"/>
          <w:lang w:val="en-GB" w:eastAsia="en-US"/>
        </w:rPr>
        <w:t xml:space="preserve"> NGV</w:t>
      </w:r>
      <w:r w:rsidRPr="002017FA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="00EB7357">
        <w:rPr>
          <w:rFonts w:ascii="TimesNewRomanPSMT" w:eastAsia="Malgun Gothic" w:hAnsi="TimesNewRomanPSMT"/>
          <w:w w:val="100"/>
          <w:lang w:val="en-GB" w:eastAsia="en-US"/>
        </w:rPr>
        <w:t>PHY</w:t>
      </w:r>
      <w:r w:rsidRPr="002017FA">
        <w:rPr>
          <w:rFonts w:ascii="TimesNewRomanPSMT" w:eastAsia="Malgun Gothic" w:hAnsi="TimesNewRomanPSMT"/>
          <w:w w:val="100"/>
          <w:lang w:val="en-GB" w:eastAsia="en-US"/>
        </w:rPr>
        <w:t xml:space="preserve"> shall support the following features:</w:t>
      </w:r>
    </w:p>
    <w:p w14:paraId="18054535" w14:textId="2BE058E2" w:rsidR="00EB7357" w:rsidRDefault="00F204D5" w:rsidP="00EB7357">
      <w:pPr>
        <w:pStyle w:val="T"/>
        <w:numPr>
          <w:ilvl w:val="0"/>
          <w:numId w:val="23"/>
        </w:numPr>
        <w:jc w:val="left"/>
        <w:rPr>
          <w:rStyle w:val="fontstyle01"/>
        </w:rPr>
      </w:pPr>
      <w:r>
        <w:rPr>
          <w:rStyle w:val="fontstyle01"/>
        </w:rPr>
        <w:t>Round trip time (RTT) based ranging using 10 and 20 MHz bandwidth PPDUs</w:t>
      </w:r>
    </w:p>
    <w:p w14:paraId="1850F767" w14:textId="14C27BA6" w:rsidR="00EB7357" w:rsidRPr="00A32793" w:rsidRDefault="00A32793" w:rsidP="00EB7357">
      <w:pPr>
        <w:pStyle w:val="T"/>
        <w:numPr>
          <w:ilvl w:val="0"/>
          <w:numId w:val="23"/>
        </w:numPr>
        <w:jc w:val="left"/>
        <w:rPr>
          <w:rStyle w:val="fontstyle01"/>
          <w:highlight w:val="yellow"/>
        </w:rPr>
      </w:pPr>
      <w:r>
        <w:rPr>
          <w:rStyle w:val="fontstyle01"/>
          <w:highlight w:val="yellow"/>
        </w:rPr>
        <w:t>TBD</w:t>
      </w:r>
    </w:p>
    <w:p w14:paraId="1A030653" w14:textId="354B6C67" w:rsidR="00EB7357" w:rsidRPr="00A32793" w:rsidRDefault="00A32793" w:rsidP="00EB7357">
      <w:pPr>
        <w:pStyle w:val="T"/>
        <w:numPr>
          <w:ilvl w:val="0"/>
          <w:numId w:val="23"/>
        </w:numPr>
        <w:jc w:val="left"/>
        <w:rPr>
          <w:rStyle w:val="fontstyle01"/>
          <w:highlight w:val="yellow"/>
        </w:rPr>
      </w:pPr>
      <w:r>
        <w:rPr>
          <w:rStyle w:val="fontstyle01"/>
          <w:highlight w:val="yellow"/>
        </w:rPr>
        <w:t>TBD</w:t>
      </w:r>
    </w:p>
    <w:p w14:paraId="5A7D8170" w14:textId="77777777" w:rsidR="00EB7357" w:rsidRPr="00EB7357" w:rsidRDefault="00EB7357" w:rsidP="00F204D5">
      <w:pPr>
        <w:pStyle w:val="T"/>
        <w:jc w:val="left"/>
        <w:rPr>
          <w:rFonts w:ascii="TimesNewRomanPSMT" w:hAnsi="TimesNewRomanPSMT"/>
        </w:rPr>
      </w:pPr>
      <w:r w:rsidRPr="00EB7357">
        <w:rPr>
          <w:rFonts w:ascii="TimesNewRomanPSMT" w:eastAsia="Malgun Gothic" w:hAnsi="TimesNewRomanPSMT"/>
          <w:w w:val="100"/>
          <w:lang w:val="en-GB" w:eastAsia="en-US"/>
        </w:rPr>
        <w:t xml:space="preserve">An 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EB7357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>
        <w:rPr>
          <w:rFonts w:ascii="TimesNewRomanPSMT" w:eastAsia="Malgun Gothic" w:hAnsi="TimesNewRomanPSMT"/>
          <w:w w:val="100"/>
          <w:lang w:val="en-GB" w:eastAsia="en-US"/>
        </w:rPr>
        <w:t>PHY</w:t>
      </w:r>
      <w:r w:rsidRPr="00EB7357">
        <w:rPr>
          <w:rFonts w:ascii="TimesNewRomanPSMT" w:eastAsia="Malgun Gothic" w:hAnsi="TimesNewRomanPSMT"/>
          <w:w w:val="100"/>
          <w:lang w:val="en-GB" w:eastAsia="en-US"/>
        </w:rPr>
        <w:t xml:space="preserve"> shall support the following features:</w:t>
      </w:r>
    </w:p>
    <w:p w14:paraId="416FBDA1" w14:textId="6941B6B1" w:rsidR="00EB7357" w:rsidRDefault="00F204D5" w:rsidP="00EB7357">
      <w:pPr>
        <w:pStyle w:val="T"/>
        <w:numPr>
          <w:ilvl w:val="0"/>
          <w:numId w:val="23"/>
        </w:numPr>
        <w:jc w:val="left"/>
        <w:rPr>
          <w:rStyle w:val="fontstyle01"/>
        </w:rPr>
      </w:pPr>
      <w:r>
        <w:rPr>
          <w:rStyle w:val="fontstyle01"/>
        </w:rPr>
        <w:t>Transmission and reception of single user (SU) MIMO with 2 spatial streams</w:t>
      </w:r>
    </w:p>
    <w:p w14:paraId="76CA9F6E" w14:textId="1A15EB83" w:rsidR="00EB7357" w:rsidRPr="00A32793" w:rsidRDefault="00A32793" w:rsidP="00EB7357">
      <w:pPr>
        <w:pStyle w:val="T"/>
        <w:numPr>
          <w:ilvl w:val="0"/>
          <w:numId w:val="23"/>
        </w:numPr>
        <w:jc w:val="left"/>
        <w:rPr>
          <w:rStyle w:val="fontstyle01"/>
          <w:highlight w:val="yellow"/>
        </w:rPr>
      </w:pPr>
      <w:r>
        <w:rPr>
          <w:rStyle w:val="fontstyle01"/>
          <w:highlight w:val="yellow"/>
        </w:rPr>
        <w:t>TBD</w:t>
      </w:r>
    </w:p>
    <w:p w14:paraId="565325E9" w14:textId="6CA04CE4" w:rsidR="00EB7357" w:rsidRPr="00A32793" w:rsidRDefault="00A32793" w:rsidP="00EB7357">
      <w:pPr>
        <w:pStyle w:val="T"/>
        <w:numPr>
          <w:ilvl w:val="0"/>
          <w:numId w:val="23"/>
        </w:numPr>
        <w:jc w:val="left"/>
        <w:rPr>
          <w:rStyle w:val="fontstyle01"/>
          <w:highlight w:val="yellow"/>
        </w:rPr>
      </w:pPr>
      <w:r>
        <w:rPr>
          <w:rStyle w:val="fontstyle01"/>
          <w:highlight w:val="yellow"/>
        </w:rPr>
        <w:t>TBD</w:t>
      </w:r>
    </w:p>
    <w:p w14:paraId="4D0CE656" w14:textId="02ED50DB" w:rsidR="000F364E" w:rsidRDefault="000F364E" w:rsidP="000F364E">
      <w:pPr>
        <w:pStyle w:val="T"/>
        <w:jc w:val="left"/>
        <w:rPr>
          <w:rStyle w:val="fontstyle01"/>
        </w:rPr>
      </w:pPr>
    </w:p>
    <w:p w14:paraId="65438C57" w14:textId="4754AE0C" w:rsidR="000F364E" w:rsidRDefault="000F364E" w:rsidP="000F364E">
      <w:pPr>
        <w:pStyle w:val="T"/>
        <w:jc w:val="left"/>
        <w:rPr>
          <w:rStyle w:val="fontstyle01"/>
        </w:rPr>
      </w:pPr>
      <w:r>
        <w:rPr>
          <w:rFonts w:ascii="Arial-BoldMT" w:eastAsia="Malgun Gothic" w:hAnsi="Arial-BoldMT"/>
          <w:b/>
          <w:bCs/>
          <w:w w:val="100"/>
          <w:lang w:val="en-GB" w:eastAsia="en-US"/>
        </w:rPr>
        <w:t>33</w:t>
      </w:r>
      <w:r w:rsidRPr="000F364E">
        <w:rPr>
          <w:rFonts w:ascii="Arial-BoldMT" w:eastAsia="Malgun Gothic" w:hAnsi="Arial-BoldMT"/>
          <w:b/>
          <w:bCs/>
          <w:w w:val="100"/>
          <w:lang w:val="en-GB" w:eastAsia="en-US"/>
        </w:rPr>
        <w:t>.1.2 Scope</w:t>
      </w:r>
      <w:r w:rsidRPr="000F364E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0F364E">
        <w:rPr>
          <w:rFonts w:ascii="TimesNewRomanPSMT" w:eastAsia="Malgun Gothic" w:hAnsi="TimesNewRomanPSMT"/>
          <w:w w:val="100"/>
          <w:lang w:val="en-GB" w:eastAsia="en-US"/>
        </w:rPr>
        <w:t xml:space="preserve">The services provided to the MAC by the 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0F364E">
        <w:rPr>
          <w:rFonts w:ascii="TimesNewRomanPSMT" w:eastAsia="Malgun Gothic" w:hAnsi="TimesNewRomanPSMT"/>
          <w:w w:val="100"/>
          <w:lang w:val="en-GB" w:eastAsia="en-US"/>
        </w:rPr>
        <w:t xml:space="preserve"> PHY consist of the following protocol functions:</w:t>
      </w:r>
    </w:p>
    <w:p w14:paraId="138B8582" w14:textId="14AC1205" w:rsidR="00EB7357" w:rsidRDefault="000F364E" w:rsidP="00EB7357">
      <w:pPr>
        <w:pStyle w:val="T"/>
        <w:jc w:val="left"/>
        <w:rPr>
          <w:rFonts w:ascii="TimesNewRomanPSMT" w:eastAsia="Malgun Gothic" w:hAnsi="TimesNewRomanPSMT"/>
          <w:w w:val="100"/>
          <w:lang w:val="en-GB" w:eastAsia="en-US"/>
        </w:rPr>
      </w:pPr>
      <w:r w:rsidRPr="000F364E">
        <w:rPr>
          <w:rFonts w:ascii="TimesNewRomanPSMT" w:eastAsia="Malgun Gothic" w:hAnsi="TimesNewRomanPSMT"/>
          <w:w w:val="100"/>
          <w:lang w:val="en-GB" w:eastAsia="en-US"/>
        </w:rPr>
        <w:t>a) A function that maps the PSDU received from the MAC into a PPDU for transmission to one or</w:t>
      </w:r>
      <w:r w:rsidR="00E8597F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F364E">
        <w:rPr>
          <w:rFonts w:ascii="TimesNewRomanPSMT" w:eastAsia="Malgun Gothic" w:hAnsi="TimesNewRomanPSMT"/>
          <w:w w:val="100"/>
          <w:lang w:val="en-GB" w:eastAsia="en-US"/>
        </w:rPr>
        <w:t>more receiving STAs.</w:t>
      </w:r>
      <w:r w:rsidRPr="000F364E">
        <w:rPr>
          <w:rFonts w:ascii="TimesNewRomanPSMT" w:eastAsia="Malgun Gothic" w:hAnsi="TimesNewRomanPSMT"/>
          <w:w w:val="100"/>
          <w:lang w:val="en-GB" w:eastAsia="en-US"/>
        </w:rPr>
        <w:br/>
      </w:r>
      <w:r w:rsidRPr="000F364E">
        <w:rPr>
          <w:rFonts w:ascii="TimesNewRomanPSMT" w:eastAsia="Malgun Gothic" w:hAnsi="TimesNewRomanPSMT"/>
          <w:w w:val="100"/>
          <w:lang w:val="en-GB" w:eastAsia="en-US"/>
        </w:rPr>
        <w:lastRenderedPageBreak/>
        <w:t>b) A function that defines the characteristics and method of transmitting and receiving data through a</w:t>
      </w:r>
      <w:r w:rsidR="00E8597F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F364E">
        <w:rPr>
          <w:rFonts w:ascii="TimesNewRomanPSMT" w:eastAsia="Malgun Gothic" w:hAnsi="TimesNewRomanPSMT"/>
          <w:w w:val="100"/>
          <w:lang w:val="en-GB" w:eastAsia="en-US"/>
        </w:rPr>
        <w:t>wireless medium between two or more STAs. Depending on the PPDU format, these STAs support</w:t>
      </w:r>
      <w:r w:rsidR="00E8597F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F364E">
        <w:rPr>
          <w:rFonts w:ascii="TimesNewRomanPSMT" w:eastAsia="Malgun Gothic" w:hAnsi="TimesNewRomanPSMT"/>
          <w:w w:val="100"/>
          <w:lang w:val="en-GB" w:eastAsia="en-US"/>
        </w:rPr>
        <w:t xml:space="preserve">a mixture of </w:t>
      </w:r>
      <w:r w:rsidR="00E8597F">
        <w:rPr>
          <w:rFonts w:ascii="TimesNewRomanPSMT" w:eastAsia="Malgun Gothic" w:hAnsi="TimesNewRomanPSMT"/>
          <w:w w:val="100"/>
          <w:lang w:val="en-GB" w:eastAsia="en-US"/>
        </w:rPr>
        <w:t xml:space="preserve">NGV and </w:t>
      </w:r>
      <w:r w:rsidR="00F22ACF" w:rsidRPr="00A15CF0">
        <w:rPr>
          <w:rStyle w:val="fontstyle01"/>
        </w:rPr>
        <w:t>Clause 17 (Orthogonal frequency division multiplexing (OFDM) PHY specification)</w:t>
      </w:r>
      <w:r w:rsidRPr="000F364E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proofErr w:type="spellStart"/>
      <w:r w:rsidRPr="000F364E">
        <w:rPr>
          <w:rFonts w:ascii="TimesNewRomanPSMT" w:eastAsia="Malgun Gothic" w:hAnsi="TimesNewRomanPSMT"/>
          <w:w w:val="100"/>
          <w:lang w:val="en-GB" w:eastAsia="en-US"/>
        </w:rPr>
        <w:t>PHYs.</w:t>
      </w:r>
      <w:proofErr w:type="spellEnd"/>
      <w:r w:rsidRPr="000F364E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</w:p>
    <w:p w14:paraId="7B42FD30" w14:textId="77777777" w:rsidR="00024768" w:rsidRDefault="00024768" w:rsidP="00EB7357">
      <w:pPr>
        <w:pStyle w:val="T"/>
        <w:jc w:val="left"/>
        <w:rPr>
          <w:rFonts w:ascii="TimesNewRomanPSMT" w:eastAsia="Malgun Gothic" w:hAnsi="TimesNewRomanPSMT"/>
          <w:w w:val="100"/>
          <w:lang w:val="en-GB" w:eastAsia="en-US"/>
        </w:rPr>
      </w:pPr>
    </w:p>
    <w:p w14:paraId="6BBDD4E9" w14:textId="2C40E45B" w:rsidR="00024768" w:rsidRDefault="00024768" w:rsidP="00EB7357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28.1.3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NGV</w:t>
      </w: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PHY functions</w:t>
      </w:r>
    </w:p>
    <w:p w14:paraId="093FDEEA" w14:textId="0C2190C3" w:rsidR="00024768" w:rsidRDefault="00024768" w:rsidP="00EB7357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br/>
        <w:t>28.1.3.1 General</w:t>
      </w: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The 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 PHY contains two functional entities: the PHY function, and the physical layer management function (i.e., the PLME). Both of these functions are described in detail in </w:t>
      </w:r>
      <w:r>
        <w:rPr>
          <w:rFonts w:ascii="TimesNewRomanPSMT" w:eastAsia="Malgun Gothic" w:hAnsi="TimesNewRomanPSMT"/>
          <w:w w:val="100"/>
          <w:lang w:val="en-GB" w:eastAsia="en-US"/>
        </w:rPr>
        <w:t>33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.3 (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 PHY) and </w:t>
      </w:r>
      <w:r>
        <w:rPr>
          <w:rFonts w:ascii="TimesNewRomanPSMT" w:eastAsia="Malgun Gothic" w:hAnsi="TimesNewRomanPSMT"/>
          <w:w w:val="100"/>
          <w:lang w:val="en-GB" w:eastAsia="en-US"/>
        </w:rPr>
        <w:t>33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.4 (</w:t>
      </w:r>
      <w:r>
        <w:rPr>
          <w:rFonts w:ascii="TimesNewRomanPSMT" w:eastAsia="Malgun Gothic" w:hAnsi="TimesNewRomanPSMT"/>
          <w:w w:val="100"/>
          <w:lang w:val="en-GB" w:eastAsia="en-US"/>
        </w:rPr>
        <w:t xml:space="preserve">NGV 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PLME). The 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 PHY service is provided to the MAC through the PHY service primitives defined in</w:t>
      </w:r>
      <w:r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Clause 8 (PHY service specification). The 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 PHY service interface is described in </w:t>
      </w:r>
      <w:r>
        <w:rPr>
          <w:rFonts w:ascii="TimesNewRomanPSMT" w:eastAsia="Malgun Gothic" w:hAnsi="TimesNewRomanPSMT"/>
          <w:w w:val="100"/>
          <w:lang w:val="en-GB" w:eastAsia="en-US"/>
        </w:rPr>
        <w:t>33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.2 (</w:t>
      </w:r>
      <w:r>
        <w:rPr>
          <w:rFonts w:ascii="TimesNewRomanPSMT" w:eastAsia="Malgun Gothic" w:hAnsi="TimesNewRomanPSMT"/>
          <w:w w:val="100"/>
          <w:lang w:val="en-GB" w:eastAsia="en-US"/>
        </w:rPr>
        <w:t>NGV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 xml:space="preserve"> PHY service</w:t>
      </w:r>
      <w:r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interface).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br/>
      </w:r>
    </w:p>
    <w:p w14:paraId="6476EAF2" w14:textId="77777777" w:rsidR="00024768" w:rsidRDefault="00024768" w:rsidP="00EB7357">
      <w:pPr>
        <w:pStyle w:val="T"/>
        <w:jc w:val="left"/>
        <w:rPr>
          <w:rFonts w:ascii="TimesNewRomanPSMT" w:eastAsia="Malgun Gothic" w:hAnsi="TimesNewRomanPSMT"/>
          <w:w w:val="100"/>
          <w:lang w:val="en-GB" w:eastAsia="en-US"/>
        </w:rPr>
      </w:pP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t>28.1.3.2 PHY management entity (PLME)</w:t>
      </w: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The PLME performs management of the local PHY functions in conjunction with the MLME.</w:t>
      </w:r>
      <w:r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</w:p>
    <w:p w14:paraId="39C48F00" w14:textId="77777777" w:rsidR="002C3852" w:rsidRDefault="00024768" w:rsidP="002C3852">
      <w:pPr>
        <w:pStyle w:val="T"/>
        <w:spacing w:before="120"/>
        <w:jc w:val="left"/>
        <w:rPr>
          <w:rFonts w:ascii="TimesNewRomanPSMT" w:eastAsia="Malgun Gothic" w:hAnsi="TimesNewRomanPSMT"/>
          <w:w w:val="100"/>
          <w:lang w:val="en-GB" w:eastAsia="en-US"/>
        </w:rPr>
      </w:pPr>
      <w:r w:rsidRPr="00024768">
        <w:rPr>
          <w:rFonts w:ascii="TimesNewRomanPSMT" w:eastAsia="Malgun Gothic" w:hAnsi="TimesNewRomanPSMT"/>
          <w:w w:val="100"/>
          <w:lang w:val="en-GB" w:eastAsia="en-US"/>
        </w:rPr>
        <w:br/>
      </w: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t>28.1.3.3 Service specification method</w:t>
      </w:r>
      <w:r w:rsidRPr="00024768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The models represented by figures and state diagrams are intended to be illustrations of the functions provided. It is important to distinguish between a model and a real implementation. The models are optimized</w:t>
      </w:r>
      <w:r w:rsidR="002C3852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for simplicity and clarity of presentation.</w:t>
      </w:r>
    </w:p>
    <w:p w14:paraId="6482310B" w14:textId="154D77B1" w:rsidR="00024768" w:rsidRPr="002C3852" w:rsidRDefault="00024768" w:rsidP="002C3852">
      <w:pPr>
        <w:pStyle w:val="T"/>
        <w:spacing w:before="120"/>
        <w:jc w:val="left"/>
        <w:rPr>
          <w:rFonts w:ascii="TimesNewRomanPSMT" w:eastAsia="Malgun Gothic" w:hAnsi="TimesNewRomanPSMT"/>
          <w:w w:val="100"/>
          <w:lang w:val="en-GB" w:eastAsia="en-US"/>
        </w:rPr>
      </w:pPr>
      <w:r w:rsidRPr="00024768">
        <w:rPr>
          <w:rFonts w:ascii="TimesNewRomanPSMT" w:eastAsia="Malgun Gothic" w:hAnsi="TimesNewRomanPSMT"/>
          <w:w w:val="100"/>
          <w:lang w:val="en-GB" w:eastAsia="en-US"/>
        </w:rPr>
        <w:br/>
        <w:t>The service of a layer is the set of capabilities that it offers to a user in the next higher layer. Abstract services are specified here by describing the service primitives and parameters that characterize each service.</w:t>
      </w:r>
      <w:r w:rsidR="00B639D6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024768">
        <w:rPr>
          <w:rFonts w:ascii="TimesNewRomanPSMT" w:eastAsia="Malgun Gothic" w:hAnsi="TimesNewRomanPSMT"/>
          <w:w w:val="100"/>
          <w:lang w:val="en-GB" w:eastAsia="en-US"/>
        </w:rPr>
        <w:t>This definition is independent of any particular implementation.</w:t>
      </w:r>
    </w:p>
    <w:p w14:paraId="7B37B03A" w14:textId="77777777" w:rsidR="00E8597F" w:rsidRDefault="00E8597F" w:rsidP="00EB7357">
      <w:pPr>
        <w:pStyle w:val="T"/>
        <w:jc w:val="left"/>
        <w:rPr>
          <w:rStyle w:val="fontstyle01"/>
        </w:rPr>
      </w:pPr>
    </w:p>
    <w:sectPr w:rsidR="00E8597F" w:rsidSect="00E8597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B4E5" w14:textId="77777777" w:rsidR="00026239" w:rsidRDefault="00026239">
      <w:r>
        <w:separator/>
      </w:r>
    </w:p>
  </w:endnote>
  <w:endnote w:type="continuationSeparator" w:id="0">
    <w:p w14:paraId="53B8A5AC" w14:textId="77777777" w:rsidR="00026239" w:rsidRDefault="0002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71F1" w14:textId="296D38E6" w:rsidR="006F6DB3" w:rsidRDefault="0002623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6DB3">
      <w:t>Submission</w:t>
    </w:r>
    <w:r>
      <w:fldChar w:fldCharType="end"/>
    </w:r>
    <w:r w:rsidR="006F6DB3">
      <w:tab/>
      <w:t xml:space="preserve">page </w:t>
    </w:r>
    <w:r w:rsidR="006F6DB3">
      <w:fldChar w:fldCharType="begin"/>
    </w:r>
    <w:r w:rsidR="006F6DB3">
      <w:instrText xml:space="preserve">page </w:instrText>
    </w:r>
    <w:r w:rsidR="006F6DB3">
      <w:fldChar w:fldCharType="separate"/>
    </w:r>
    <w:r w:rsidR="006F6DB3">
      <w:rPr>
        <w:noProof/>
      </w:rPr>
      <w:t>2</w:t>
    </w:r>
    <w:r w:rsidR="006F6DB3">
      <w:rPr>
        <w:noProof/>
      </w:rPr>
      <w:fldChar w:fldCharType="end"/>
    </w:r>
    <w:r w:rsidR="006F6DB3">
      <w:tab/>
    </w:r>
    <w:r w:rsidR="00D22061">
      <w:rPr>
        <w:lang w:eastAsia="ko-KR"/>
      </w:rPr>
      <w:t>Qinghua Li, Feng Jiang</w:t>
    </w:r>
    <w:r w:rsidR="006F6DB3">
      <w:t xml:space="preserve">, </w:t>
    </w:r>
    <w:r w:rsidR="006F6DB3" w:rsidRPr="00D22061">
      <w:rPr>
        <w:i/>
      </w:rPr>
      <w:t>et. al.</w:t>
    </w:r>
  </w:p>
  <w:p w14:paraId="653F2B5A" w14:textId="77777777" w:rsidR="006F6DB3" w:rsidRDefault="006F6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DF9F" w14:textId="77777777" w:rsidR="00026239" w:rsidRDefault="00026239">
      <w:r>
        <w:separator/>
      </w:r>
    </w:p>
  </w:footnote>
  <w:footnote w:type="continuationSeparator" w:id="0">
    <w:p w14:paraId="4BB6F19C" w14:textId="77777777" w:rsidR="00026239" w:rsidRDefault="0002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EFCB" w14:textId="77777777" w:rsidR="006F6DB3" w:rsidRDefault="006F6DB3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>
      <w:t>201</w:t>
    </w:r>
    <w:r>
      <w:rPr>
        <w:lang w:eastAsia="ko-KR"/>
      </w:rPr>
      <w:t>9</w:t>
    </w:r>
    <w:r>
      <w:tab/>
    </w:r>
    <w:r>
      <w:tab/>
    </w:r>
    <w:r w:rsidRPr="00A0477A">
      <w:t>Doc: IEEE 802.11-1</w:t>
    </w:r>
    <w:r>
      <w:t>9</w:t>
    </w:r>
    <w:r w:rsidRPr="00A0477A">
      <w:t>/</w:t>
    </w:r>
    <w:r>
      <w:t>xxxx</w:t>
    </w:r>
    <w:r w:rsidRPr="00A0477A">
      <w:t>r0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0A83759"/>
    <w:multiLevelType w:val="hybridMultilevel"/>
    <w:tmpl w:val="B99E7E5C"/>
    <w:lvl w:ilvl="0" w:tplc="A7DC1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2"/>
  </w:num>
  <w:num w:numId="22">
    <w:abstractNumId w:val="1"/>
  </w:num>
  <w:num w:numId="2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4768"/>
    <w:rsid w:val="0002573C"/>
    <w:rsid w:val="00026239"/>
    <w:rsid w:val="00026A52"/>
    <w:rsid w:val="00027D05"/>
    <w:rsid w:val="000301FE"/>
    <w:rsid w:val="00036257"/>
    <w:rsid w:val="000405C4"/>
    <w:rsid w:val="00043ADB"/>
    <w:rsid w:val="000451EC"/>
    <w:rsid w:val="00052123"/>
    <w:rsid w:val="00053B1D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589"/>
    <w:rsid w:val="000E4B82"/>
    <w:rsid w:val="000E720C"/>
    <w:rsid w:val="000F364E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22C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17F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852"/>
    <w:rsid w:val="002C3F4B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5078"/>
    <w:rsid w:val="00305D6E"/>
    <w:rsid w:val="00306547"/>
    <w:rsid w:val="003065D9"/>
    <w:rsid w:val="0030782E"/>
    <w:rsid w:val="00307F5F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6AF0"/>
    <w:rsid w:val="003713CA"/>
    <w:rsid w:val="003729FC"/>
    <w:rsid w:val="00372FCA"/>
    <w:rsid w:val="0037455E"/>
    <w:rsid w:val="003762E4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2D76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56F8"/>
    <w:rsid w:val="00430648"/>
    <w:rsid w:val="004344A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0EBE"/>
    <w:rsid w:val="00462172"/>
    <w:rsid w:val="00464778"/>
    <w:rsid w:val="00464A0A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61429"/>
    <w:rsid w:val="00565BA7"/>
    <w:rsid w:val="00567661"/>
    <w:rsid w:val="00567934"/>
    <w:rsid w:val="005702B6"/>
    <w:rsid w:val="005703A1"/>
    <w:rsid w:val="00571583"/>
    <w:rsid w:val="00572E7A"/>
    <w:rsid w:val="00575D4A"/>
    <w:rsid w:val="00575F3C"/>
    <w:rsid w:val="005775C6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A49E0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6DB3"/>
    <w:rsid w:val="006F709C"/>
    <w:rsid w:val="00700285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3DA9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1AC5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3092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A352B"/>
    <w:rsid w:val="008A4228"/>
    <w:rsid w:val="008A5AFD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6053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F8F"/>
    <w:rsid w:val="0091118D"/>
    <w:rsid w:val="00913A45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925EC"/>
    <w:rsid w:val="009A0E5E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27CC"/>
    <w:rsid w:val="00A0385E"/>
    <w:rsid w:val="00A0477A"/>
    <w:rsid w:val="00A049E2"/>
    <w:rsid w:val="00A12321"/>
    <w:rsid w:val="00A1344B"/>
    <w:rsid w:val="00A13FBF"/>
    <w:rsid w:val="00A14639"/>
    <w:rsid w:val="00A157EB"/>
    <w:rsid w:val="00A15CF0"/>
    <w:rsid w:val="00A219E7"/>
    <w:rsid w:val="00A21EC6"/>
    <w:rsid w:val="00A22B2A"/>
    <w:rsid w:val="00A2417A"/>
    <w:rsid w:val="00A24F38"/>
    <w:rsid w:val="00A25AF8"/>
    <w:rsid w:val="00A269A5"/>
    <w:rsid w:val="00A26D8D"/>
    <w:rsid w:val="00A32793"/>
    <w:rsid w:val="00A33C93"/>
    <w:rsid w:val="00A3456B"/>
    <w:rsid w:val="00A34B85"/>
    <w:rsid w:val="00A373C7"/>
    <w:rsid w:val="00A40884"/>
    <w:rsid w:val="00A41F6A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741DE"/>
    <w:rsid w:val="00A80E2F"/>
    <w:rsid w:val="00A8262D"/>
    <w:rsid w:val="00A844CE"/>
    <w:rsid w:val="00A850DB"/>
    <w:rsid w:val="00A90385"/>
    <w:rsid w:val="00A91EAA"/>
    <w:rsid w:val="00A9264B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1C6C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098E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9D6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0226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AA2"/>
    <w:rsid w:val="00C473F5"/>
    <w:rsid w:val="00C52C31"/>
    <w:rsid w:val="00C52EF2"/>
    <w:rsid w:val="00C54102"/>
    <w:rsid w:val="00C542F0"/>
    <w:rsid w:val="00C55F0E"/>
    <w:rsid w:val="00C56A53"/>
    <w:rsid w:val="00C57CDB"/>
    <w:rsid w:val="00C60A9B"/>
    <w:rsid w:val="00C6108B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74EA"/>
    <w:rsid w:val="00CB03C7"/>
    <w:rsid w:val="00CB2673"/>
    <w:rsid w:val="00CB285C"/>
    <w:rsid w:val="00CB6EF7"/>
    <w:rsid w:val="00CB7A46"/>
    <w:rsid w:val="00CC3806"/>
    <w:rsid w:val="00CC470E"/>
    <w:rsid w:val="00CC76CE"/>
    <w:rsid w:val="00CD0ABD"/>
    <w:rsid w:val="00CD259C"/>
    <w:rsid w:val="00CD3012"/>
    <w:rsid w:val="00CD5588"/>
    <w:rsid w:val="00CD57EF"/>
    <w:rsid w:val="00CE2DF1"/>
    <w:rsid w:val="00CE3DDC"/>
    <w:rsid w:val="00CE63EE"/>
    <w:rsid w:val="00CE7394"/>
    <w:rsid w:val="00CF0B50"/>
    <w:rsid w:val="00CF0C93"/>
    <w:rsid w:val="00CF16FB"/>
    <w:rsid w:val="00CF2295"/>
    <w:rsid w:val="00CF3BDE"/>
    <w:rsid w:val="00CF5724"/>
    <w:rsid w:val="00D068E6"/>
    <w:rsid w:val="00D07ABE"/>
    <w:rsid w:val="00D12917"/>
    <w:rsid w:val="00D143A8"/>
    <w:rsid w:val="00D176B5"/>
    <w:rsid w:val="00D17DC1"/>
    <w:rsid w:val="00D21ACF"/>
    <w:rsid w:val="00D22061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41F6"/>
    <w:rsid w:val="00DB5542"/>
    <w:rsid w:val="00DB579D"/>
    <w:rsid w:val="00DB622A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839"/>
    <w:rsid w:val="00E07E4A"/>
    <w:rsid w:val="00E109DB"/>
    <w:rsid w:val="00E11E47"/>
    <w:rsid w:val="00E23CF0"/>
    <w:rsid w:val="00E25D2A"/>
    <w:rsid w:val="00E309E1"/>
    <w:rsid w:val="00E3110D"/>
    <w:rsid w:val="00E31B24"/>
    <w:rsid w:val="00E33B8F"/>
    <w:rsid w:val="00E369A4"/>
    <w:rsid w:val="00E371A6"/>
    <w:rsid w:val="00E443DD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597F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918"/>
    <w:rsid w:val="00EB2CB7"/>
    <w:rsid w:val="00EB5ADB"/>
    <w:rsid w:val="00EB7357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204D5"/>
    <w:rsid w:val="00F21E00"/>
    <w:rsid w:val="00F224EA"/>
    <w:rsid w:val="00F22ACF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5C6A"/>
    <w:rsid w:val="00F56DEE"/>
    <w:rsid w:val="00F63EA1"/>
    <w:rsid w:val="00F65695"/>
    <w:rsid w:val="00F659E1"/>
    <w:rsid w:val="00F71BD3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51702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fontstyle01">
    <w:name w:val="fontstyle01"/>
    <w:basedOn w:val="DefaultParagraphFont"/>
    <w:rsid w:val="003A2D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F364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4EA1156B-EBBF-4791-BB8C-B6F6DA76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636</Words>
  <Characters>3454</Characters>
  <Application>Microsoft Office Word</Application>
  <DocSecurity>0</DocSecurity>
  <Lines>98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4057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CTPClassification=CTP_NT</cp:keywords>
  <cp:lastModifiedBy>Li, Qinghua</cp:lastModifiedBy>
  <cp:revision>18</cp:revision>
  <cp:lastPrinted>2010-05-04T03:47:00Z</cp:lastPrinted>
  <dcterms:created xsi:type="dcterms:W3CDTF">2019-11-11T20:14:00Z</dcterms:created>
  <dcterms:modified xsi:type="dcterms:W3CDTF">2019-11-12T22:23:00Z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ed83d93a-f432-4b0b-9385-b5a3175a61a9</vt:lpwstr>
  </property>
  <property fmtid="{D5CDD505-2E9C-101B-9397-08002B2CF9AE}" pid="4" name="CTP_TimeStamp">
    <vt:lpwstr>2019-11-12 22:23:17Z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